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sz w:val="4"/>
                <w:szCs w:val="4"/>
              </w:rPr>
            </w:pPr>
            <w:r>
              <w:rPr>
                <w:sz w:val="4"/>
                <w:szCs w:val="4"/>
              </w:rPr>
            </w:r>
          </w:p>
        </w:tc>
        <w:tc>
          <w:tcPr>
            <w:tcW w:w="989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both"/>
              <w:rPr>
                <w:caps w:val="false"/>
                <w:smallCaps w:val="false"/>
              </w:rPr>
            </w:pPr>
            <w:bookmarkStart w:id="3" w:name="xdx_90F_edei--DocumentQuarterlyReport_c2"/>
            <w:bookmarkEnd w:id="3"/>
            <w:r>
              <w:rPr>
                <w:caps w:val="false"/>
                <w:smallCaps w:val="false"/>
              </w:rPr>
              <w:t>☒</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A_edei--DocumentPeriodEndDate_c202"/>
            <w:bookmarkEnd w:id="4"/>
            <w:r>
              <w:rPr>
                <w:rFonts w:ascii="Times New Roman;Times;Serif" w:hAnsi="Times New Roman;Times;Serif"/>
                <w:b/>
                <w:i w:val="false"/>
                <w:caps w:val="false"/>
                <w:smallCaps w:val="false"/>
                <w:sz w:val="20"/>
              </w:rPr>
              <w:t xml:space="preserve">June 30, </w:t>
            </w:r>
            <w:bookmarkStart w:id="5" w:name="xdx_900_edei--DocumentFiscalYearFocus_c2"/>
            <w:bookmarkEnd w:id="5"/>
            <w:r>
              <w:rPr>
                <w:rFonts w:ascii="Times New Roman;Times;Serif" w:hAnsi="Times New Roman;Times;Serif"/>
                <w:b/>
                <w:i w:val="false"/>
                <w:caps w:val="false"/>
                <w:smallCaps w:val="false"/>
                <w:sz w:val="20"/>
              </w:rPr>
              <w:t>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sz w:val="4"/>
                <w:szCs w:val="4"/>
              </w:rPr>
            </w:pPr>
            <w:r>
              <w:rPr>
                <w:sz w:val="4"/>
                <w:szCs w:val="4"/>
              </w:rPr>
            </w:r>
          </w:p>
        </w:tc>
        <w:tc>
          <w:tcPr>
            <w:tcW w:w="987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both"/>
              <w:rPr>
                <w:caps w:val="false"/>
                <w:smallCaps w:val="false"/>
              </w:rPr>
            </w:pPr>
            <w:bookmarkStart w:id="6" w:name="xdx_908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3_edei--EntityFileNumber_c20250101"/>
      <w:bookmarkEnd w:id="7"/>
      <w:r>
        <w:rPr>
          <w:rFonts w:ascii="Times New Roman;Times;Serif" w:hAnsi="Times New Roman;Times;Serif"/>
          <w:b/>
          <w:i w:val="false"/>
          <w:caps w:val="false"/>
          <w:smallCaps w:val="false"/>
          <w:sz w:val="20"/>
        </w:rPr>
        <w:t>001-38821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D_edei--EntityRegistrantName_c2025"/>
      <w:bookmarkEnd w:id="8"/>
      <w:r>
        <w:rPr>
          <w:rFonts w:ascii="Times New Roman;Times;Serif" w:hAnsi="Times New Roman;Times;Serif"/>
          <w:b/>
          <w:i w:val="false"/>
          <w:caps w:val="false"/>
          <w:smallCaps w:val="false"/>
          <w:sz w:val="36"/>
        </w:rPr>
        <w:t>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72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2_edei--EntityIncorporationStateCo"/>
            <w:bookmarkEnd w:id="9"/>
            <w:r>
              <w:rPr>
                <w:rFonts w:ascii="Times New Roman;Times;Serif" w:hAnsi="Times New Roman;Times;Serif"/>
                <w:b/>
                <w:i w:val="false"/>
                <w:caps w:val="false"/>
                <w:smallCaps w:val="false"/>
                <w:sz w:val="20"/>
              </w:rPr>
              <w:t>Delaware</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C_edei--EntityTaxIdentificationNum"/>
            <w:bookmarkEnd w:id="10"/>
            <w:r>
              <w:rPr>
                <w:rFonts w:ascii="Times New Roman;Times;Serif" w:hAnsi="Times New Roman;Times;Serif"/>
                <w:b/>
                <w:i w:val="false"/>
                <w:caps w:val="false"/>
                <w:smallCaps w:val="false"/>
                <w:sz w:val="20"/>
              </w:rPr>
              <w:t xml:space="preserve">83-2533239 </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C_edei--EntityAddressAddressLine1_"/>
      <w:bookmarkEnd w:id="11"/>
      <w:r>
        <w:rPr>
          <w:rFonts w:ascii="Times New Roman;Times;Serif" w:hAnsi="Times New Roman;Times;Serif"/>
          <w:b/>
          <w:i w:val="false"/>
          <w:caps w:val="false"/>
          <w:smallCaps w:val="false"/>
          <w:sz w:val="20"/>
        </w:rPr>
        <w:t>1700 Broadway, 19th Floor</w:t>
      </w:r>
    </w:p>
    <w:p>
      <w:pPr>
        <w:pStyle w:val="TextBody"/>
        <w:bidi w:val="0"/>
        <w:spacing w:before="0" w:after="0"/>
        <w:jc w:val="center"/>
        <w:rPr>
          <w:rFonts w:ascii="Times New Roman;Times;Serif" w:hAnsi="Times New Roman;Times;Serif"/>
          <w:b/>
          <w:i w:val="false"/>
          <w:caps w:val="false"/>
          <w:smallCaps w:val="false"/>
          <w:sz w:val="20"/>
        </w:rPr>
      </w:pPr>
      <w:bookmarkStart w:id="12" w:name="xdx_901_edei--EntityAddressCityOrTown_c2"/>
      <w:bookmarkEnd w:id="12"/>
      <w:r>
        <w:rPr>
          <w:rFonts w:ascii="Times New Roman;Times;Serif" w:hAnsi="Times New Roman;Times;Serif"/>
          <w:b/>
          <w:i w:val="false"/>
          <w:caps w:val="false"/>
          <w:smallCaps w:val="false"/>
          <w:sz w:val="20"/>
        </w:rPr>
        <w:t xml:space="preserve">New York, </w:t>
      </w:r>
      <w:bookmarkStart w:id="13" w:name="xdx_903_edei--EntityAddressStateOrProvin"/>
      <w:bookmarkEnd w:id="13"/>
      <w:r>
        <w:rPr>
          <w:rFonts w:ascii="Times New Roman;Times;Serif" w:hAnsi="Times New Roman;Times;Serif"/>
          <w:b/>
          <w:i w:val="false"/>
          <w:caps w:val="false"/>
          <w:smallCaps w:val="false"/>
          <w:sz w:val="20"/>
        </w:rPr>
        <w:t xml:space="preserve">New York </w:t>
      </w:r>
      <w:bookmarkStart w:id="14" w:name="xdx_900_edei--EntityAddressPostalZipCode"/>
      <w:bookmarkEnd w:id="14"/>
      <w:r>
        <w:rPr>
          <w:rFonts w:ascii="Times New Roman;Times;Serif" w:hAnsi="Times New Roman;Times;Serif"/>
          <w:b/>
          <w:i w:val="false"/>
          <w:caps w:val="false"/>
          <w:smallCaps w:val="false"/>
          <w:sz w:val="20"/>
        </w:rPr>
        <w:t>10019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5" w:name="xdx_909_edei--CityAreaCode_c20250101__20"/>
      <w:bookmarkEnd w:id="15"/>
      <w:r>
        <w:rPr>
          <w:rFonts w:ascii="Times New Roman;Times;Serif" w:hAnsi="Times New Roman;Times;Serif"/>
          <w:b/>
          <w:i w:val="false"/>
          <w:caps w:val="false"/>
          <w:smallCaps w:val="false"/>
          <w:sz w:val="20"/>
        </w:rPr>
        <w:t xml:space="preserve">(212) </w:t>
      </w:r>
      <w:bookmarkStart w:id="16" w:name="xdx_908_edei--LocalPhoneNumber_c20250101"/>
      <w:bookmarkEnd w:id="16"/>
      <w:r>
        <w:rPr>
          <w:rFonts w:ascii="Times New Roman;Times;Serif" w:hAnsi="Times New Roman;Times;Serif"/>
          <w:b/>
          <w:i w:val="false"/>
          <w:caps w:val="false"/>
          <w:smallCaps w:val="false"/>
          <w:sz w:val="20"/>
        </w:rPr>
        <w:t>202-2200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7" w:name="xdx_900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18" w:name="xdx_90C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465"/>
        <w:gridCol w:w="2450"/>
        <w:gridCol w:w="195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9_edei--EntityFilerCategory_c20250"/>
            <w:bookmarkEnd w:id="19"/>
            <w:r>
              <w:rPr>
                <w:rFonts w:ascii="Times New Roman;Times;Serif" w:hAnsi="Times New Roman;Times;Serif"/>
                <w:b w:val="false"/>
                <w:i w:val="false"/>
                <w:caps w:val="false"/>
                <w:smallCaps w:val="false"/>
                <w:sz w:val="20"/>
              </w:rPr>
              <w:t>Non-accelerated filer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3_edei--EntitySmallBusiness_c20250"/>
            <w:bookmarkEnd w:id="20"/>
            <w:r>
              <w:rPr>
                <w:rFonts w:ascii="Times New Roman;Times;Serif" w:hAnsi="Times New Roman;Times;Serif"/>
                <w:b w:val="false"/>
                <w:i w:val="false"/>
                <w:caps w:val="false"/>
                <w:smallCaps w:val="false"/>
                <w:sz w:val="20"/>
              </w:rPr>
              <w:t>☒</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w:t>
      </w:r>
      <w:bookmarkStart w:id="22" w:name="xdx_907_edei--EntityShellCompany_dbT_c20"/>
      <w:bookmarkEnd w:id="22"/>
      <w:r>
        <w:rPr>
          <w:rFonts w:ascii="Times New Roman;Times;Serif" w:hAnsi="Times New Roman;Times;Serif"/>
          <w:b w:val="false"/>
          <w:i w:val="false"/>
          <w:caps w:val="false"/>
          <w:smallCaps w:val="false"/>
          <w:sz w:val="20"/>
        </w:rPr>
        <w:t>☒ No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all documents and reports required to be filed by Section 12, 13 or 15(d) of the Securities Exchange Act of 1934 subsequent to the distribution of securities under a plan confirmed by a court. </w:t>
      </w:r>
      <w:bookmarkStart w:id="23" w:name="xdx_900_edei--EntityBankruptcyProceeding"/>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6, 2025, there were </w:t>
      </w:r>
      <w:bookmarkStart w:id="24" w:name="xdx_90F_edei--EntityCommonStockSharesOut"/>
      <w:bookmarkEnd w:id="24"/>
      <w:r>
        <w:rPr>
          <w:rFonts w:ascii="Times New Roman;Times;Serif" w:hAnsi="Times New Roman;Times;Serif"/>
          <w:b w:val="false"/>
          <w:i w:val="false"/>
          <w:caps w:val="false"/>
          <w:smallCaps w:val="false"/>
          <w:sz w:val="20"/>
        </w:rPr>
        <w:t>16,096,296 shares of the registrant’s Class A common stock were outstanding.</w:t>
      </w:r>
    </w:p>
    <w:p>
      <w:pPr>
        <w:pStyle w:val="TextBody"/>
        <w:bidi w:val="0"/>
        <w:spacing w:before="0" w:after="0"/>
        <w:jc w:val="center"/>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3"/>
        <w:gridCol w:w="9076"/>
        <w:gridCol w:w="456"/>
      </w:tblGrid>
      <w:tr>
        <w:trPr/>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9076"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9076"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sz w:val="4"/>
                <w:szCs w:val="4"/>
              </w:rPr>
            </w:pPr>
            <w:r>
              <w:rPr>
                <w:sz w:val="4"/>
                <w:szCs w:val="4"/>
              </w:rPr>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76"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June 30, 2025 and December 31, 2024</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and Comprehensive Income (Loss) for the three and six months ended June 30, 2025 and 2024</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2025 and 2024</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2025 and 2024</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76"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76"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Risk</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76"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9076"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76"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76"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76"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76"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76"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76"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76"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our Annual Report on Form 10-K for the year ended December 31, 2024. You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report to the “Company,” “Lordstown,” “Debtors,” “we,” “us,” “our” and similar terms refer to Nu Ride Inc. (f/k/a Lordstown Motors Corp.; f/k/a DiamondPeak Holdings Corp.) and its consolidated subsidiaries (including Legacy Lordstown (as defined below)).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rFonts w:ascii="Times New Roman;Times;Serif" w:hAnsi="Times New Roman;Times;Serif"/>
          <w:b/>
          <w:i w:val="false"/>
          <w:caps w:val="false"/>
          <w:smallCaps w:val="false"/>
          <w:sz w:val="20"/>
        </w:rPr>
      </w:pPr>
      <w:bookmarkStart w:id="25" w:name="a_001"/>
      <w:bookmarkEnd w:id="25"/>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02"/>
      <w:bookmarkEnd w:id="26"/>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27" w:name="a_003"/>
      <w:bookmarkEnd w:id="27"/>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xdx_305_111_pn3n3_z7yBMDXb1Vh5"/>
      <w:bookmarkStart w:id="29" w:name="xdx_305_111_pn3n3_z7yBMDXb1Vh5"/>
      <w:bookmarkEnd w:id="29"/>
    </w:p>
    <w:tbl>
      <w:tblPr>
        <w:tblW w:w="10205" w:type="dxa"/>
        <w:jc w:val="left"/>
        <w:tblInd w:w="0" w:type="dxa"/>
        <w:tblLayout w:type="fixed"/>
        <w:tblCellMar>
          <w:top w:w="0" w:type="dxa"/>
          <w:left w:w="0" w:type="dxa"/>
          <w:bottom w:w="0" w:type="dxa"/>
          <w:right w:w="0" w:type="dxa"/>
        </w:tblCellMar>
      </w:tblPr>
      <w:tblGrid>
        <w:gridCol w:w="7142"/>
        <w:gridCol w:w="60"/>
        <w:gridCol w:w="148"/>
        <w:gridCol w:w="1123"/>
        <w:gridCol w:w="95"/>
        <w:gridCol w:w="60"/>
        <w:gridCol w:w="171"/>
        <w:gridCol w:w="1293"/>
        <w:gridCol w:w="113"/>
      </w:tblGrid>
      <w:tr>
        <w:trPr/>
        <w:tc>
          <w:tcPr>
            <w:tcW w:w="7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 w:name="xdx_49E_20250630_znv1TP6trRb4"/>
            <w:bookmarkEnd w:id="30"/>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C_20241231_zo9ozLXHnS93"/>
            <w:bookmarkEnd w:id="31"/>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3" w:type="dxa"/>
            <w:tcBorders/>
            <w:vAlign w:val="center"/>
          </w:tcPr>
          <w:p>
            <w:pPr>
              <w:pStyle w:val="TableContents"/>
              <w:bidi w:val="0"/>
              <w:spacing w:before="0" w:after="283"/>
              <w:jc w:val="left"/>
              <w:rPr/>
            </w:pPr>
            <w:r>
              <w:rPr/>
              <w:t> </w:t>
            </w:r>
            <w:bookmarkStart w:id="32" w:name="xdx_406_eus-gaap--AssetsAbstract_iB_zdHp"/>
            <w:bookmarkEnd w:id="32"/>
          </w:p>
        </w:tc>
      </w:tr>
      <w:tr>
        <w:trPr/>
        <w:tc>
          <w:tcPr>
            <w:tcW w:w="7142"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3" w:name="xdx_407_eus-gaap--AssetsCurrentAbstract_"/>
            <w:bookmarkEnd w:id="33"/>
          </w:p>
        </w:tc>
      </w:tr>
      <w:tr>
        <w:trPr/>
        <w:tc>
          <w:tcPr>
            <w:tcW w:w="714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4" w:name="xdx_408_eus-gaap--CashAndCashEquivalents"/>
            <w:bookmarkEnd w:id="34"/>
          </w:p>
        </w:tc>
      </w:tr>
      <w:tr>
        <w:trPr/>
        <w:tc>
          <w:tcPr>
            <w:tcW w:w="714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26,823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23,095</w:t>
            </w:r>
          </w:p>
        </w:tc>
        <w:tc>
          <w:tcPr>
            <w:tcW w:w="113" w:type="dxa"/>
            <w:tcBorders/>
            <w:shd w:fill="CCEEFF" w:val="clear"/>
            <w:vAlign w:val="center"/>
          </w:tcPr>
          <w:p>
            <w:pPr>
              <w:pStyle w:val="TableContents"/>
              <w:bidi w:val="0"/>
              <w:spacing w:before="0" w:after="283"/>
              <w:jc w:val="left"/>
              <w:rPr/>
            </w:pPr>
            <w:r>
              <w:rPr/>
              <w:t> </w:t>
            </w:r>
            <w:bookmarkStart w:id="35" w:name="xdx_405_eus-gaap--RestrictedCash_i02I_ma"/>
            <w:bookmarkEnd w:id="35"/>
          </w:p>
        </w:tc>
      </w:tr>
      <w:tr>
        <w:trPr/>
        <w:tc>
          <w:tcPr>
            <w:tcW w:w="7142"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36" w:name="xdx_40F_eus-gaap--ShortTermInvestments_i"/>
            <w:bookmarkEnd w:id="36"/>
          </w:p>
        </w:tc>
      </w:tr>
      <w:tr>
        <w:trPr/>
        <w:tc>
          <w:tcPr>
            <w:tcW w:w="7142"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6,371</w:t>
            </w:r>
          </w:p>
        </w:tc>
        <w:tc>
          <w:tcPr>
            <w:tcW w:w="113" w:type="dxa"/>
            <w:tcBorders/>
            <w:shd w:fill="CCEEFF" w:val="clear"/>
            <w:vAlign w:val="center"/>
          </w:tcPr>
          <w:p>
            <w:pPr>
              <w:pStyle w:val="TableContents"/>
              <w:bidi w:val="0"/>
              <w:spacing w:before="0" w:after="283"/>
              <w:jc w:val="left"/>
              <w:rPr/>
            </w:pPr>
            <w:r>
              <w:rPr/>
              <w:t> </w:t>
            </w:r>
            <w:bookmarkStart w:id="37" w:name="xdx_402_eus-gaap--RestrictedCashAndInves"/>
            <w:bookmarkEnd w:id="37"/>
          </w:p>
        </w:tc>
      </w:tr>
      <w:tr>
        <w:trPr/>
        <w:tc>
          <w:tcPr>
            <w:tcW w:w="7142" w:type="dxa"/>
            <w:tcBorders/>
            <w:shd w:fill="FFFFFF" w:val="clear"/>
            <w:vAlign w:val="center"/>
          </w:tcPr>
          <w:p>
            <w:pPr>
              <w:pStyle w:val="TableContents"/>
              <w:bidi w:val="0"/>
              <w:spacing w:before="0" w:after="283"/>
              <w:jc w:val="left"/>
              <w:rPr/>
            </w:pPr>
            <w:r>
              <w:rPr/>
              <w:t>Short-term investments, restricted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19,690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23,370</w:t>
            </w:r>
          </w:p>
        </w:tc>
        <w:tc>
          <w:tcPr>
            <w:tcW w:w="113" w:type="dxa"/>
            <w:tcBorders/>
            <w:shd w:fill="FFFFFF" w:val="clear"/>
            <w:vAlign w:val="center"/>
          </w:tcPr>
          <w:p>
            <w:pPr>
              <w:pStyle w:val="TableContents"/>
              <w:bidi w:val="0"/>
              <w:spacing w:before="0" w:after="283"/>
              <w:jc w:val="left"/>
              <w:rPr/>
            </w:pPr>
            <w:r>
              <w:rPr/>
              <w:t> </w:t>
            </w:r>
            <w:bookmarkStart w:id="38" w:name="xdx_407_eus-gaap--PrepaidInsurance_i02I_"/>
            <w:bookmarkEnd w:id="38"/>
          </w:p>
        </w:tc>
      </w:tr>
      <w:tr>
        <w:trPr/>
        <w:tc>
          <w:tcPr>
            <w:tcW w:w="7142"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208</w:t>
            </w:r>
          </w:p>
        </w:tc>
        <w:tc>
          <w:tcPr>
            <w:tcW w:w="113" w:type="dxa"/>
            <w:tcBorders/>
            <w:shd w:fill="CCEEFF" w:val="clear"/>
            <w:vAlign w:val="center"/>
          </w:tcPr>
          <w:p>
            <w:pPr>
              <w:pStyle w:val="TableContents"/>
              <w:bidi w:val="0"/>
              <w:spacing w:before="0" w:after="283"/>
              <w:jc w:val="left"/>
              <w:rPr/>
            </w:pPr>
            <w:r>
              <w:rPr/>
              <w:t> </w:t>
            </w:r>
            <w:bookmarkStart w:id="39" w:name="xdx_406_eus-gaap--OtherAssetsCurrent_i02"/>
            <w:bookmarkEnd w:id="39"/>
          </w:p>
        </w:tc>
      </w:tr>
      <w:tr>
        <w:trPr/>
        <w:tc>
          <w:tcPr>
            <w:tcW w:w="7142"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139</w:t>
            </w:r>
          </w:p>
        </w:tc>
        <w:tc>
          <w:tcPr>
            <w:tcW w:w="113" w:type="dxa"/>
            <w:tcBorders/>
            <w:shd w:fill="FFFFFF" w:val="clear"/>
            <w:vAlign w:val="center"/>
          </w:tcPr>
          <w:p>
            <w:pPr>
              <w:pStyle w:val="TableContents"/>
              <w:bidi w:val="0"/>
              <w:spacing w:before="0" w:after="283"/>
              <w:jc w:val="left"/>
              <w:rPr/>
            </w:pPr>
            <w:r>
              <w:rPr/>
              <w:t> </w:t>
            </w:r>
            <w:bookmarkStart w:id="40" w:name="xdx_40C_eus-gaap--AssetsCurrent_i02TI_mt"/>
            <w:bookmarkEnd w:id="40"/>
          </w:p>
        </w:tc>
      </w:tr>
      <w:tr>
        <w:trPr/>
        <w:tc>
          <w:tcPr>
            <w:tcW w:w="7142"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49,687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53,183</w:t>
            </w:r>
          </w:p>
        </w:tc>
        <w:tc>
          <w:tcPr>
            <w:tcW w:w="113" w:type="dxa"/>
            <w:tcBorders/>
            <w:shd w:fill="CCEEFF" w:val="clear"/>
            <w:vAlign w:val="center"/>
          </w:tcPr>
          <w:p>
            <w:pPr>
              <w:pStyle w:val="TableContents"/>
              <w:bidi w:val="0"/>
              <w:spacing w:before="0" w:after="283"/>
              <w:jc w:val="left"/>
              <w:rPr/>
            </w:pPr>
            <w:r>
              <w:rPr/>
              <w:t> </w:t>
            </w:r>
            <w:bookmarkStart w:id="41" w:name="xdx_407_eus-gaap--Assets_i01TI_mtCz6Tt_z"/>
            <w:bookmarkEnd w:id="41"/>
          </w:p>
        </w:tc>
      </w:tr>
      <w:tr>
        <w:trPr/>
        <w:tc>
          <w:tcPr>
            <w:tcW w:w="7142"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53,183</w:t>
            </w:r>
          </w:p>
        </w:tc>
        <w:tc>
          <w:tcPr>
            <w:tcW w:w="113" w:type="dxa"/>
            <w:tcBorders/>
            <w:shd w:fill="FFFFFF" w:val="clear"/>
            <w:vAlign w:val="center"/>
          </w:tcPr>
          <w:p>
            <w:pPr>
              <w:pStyle w:val="TableContents"/>
              <w:bidi w:val="0"/>
              <w:spacing w:before="0" w:after="283"/>
              <w:jc w:val="left"/>
              <w:rPr/>
            </w:pPr>
            <w:r>
              <w:rPr/>
              <w:t> </w:t>
            </w:r>
          </w:p>
        </w:tc>
      </w:tr>
      <w:tr>
        <w:trPr/>
        <w:tc>
          <w:tcPr>
            <w:tcW w:w="7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2" w:name="xdx_40D_eus-gaap--LiabilitiesAndStockhol"/>
            <w:bookmarkEnd w:id="42"/>
          </w:p>
        </w:tc>
      </w:tr>
      <w:tr>
        <w:trPr/>
        <w:tc>
          <w:tcPr>
            <w:tcW w:w="7142" w:type="dxa"/>
            <w:tcBorders/>
            <w:shd w:fill="FFFFFF" w:val="clear"/>
            <w:vAlign w:val="center"/>
          </w:tcPr>
          <w:p>
            <w:pPr>
              <w:pStyle w:val="TableContents"/>
              <w:bidi w:val="0"/>
              <w:spacing w:before="0" w:after="283"/>
              <w:jc w:val="left"/>
              <w:rPr>
                <w:b/>
              </w:rPr>
            </w:pPr>
            <w:r>
              <w:rPr>
                <w:b/>
              </w:rPr>
              <w:t>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3" w:name="xdx_40F_eus-gaap--LiabilitiesCurrentAbst"/>
            <w:bookmarkEnd w:id="43"/>
          </w:p>
        </w:tc>
      </w:tr>
      <w:tr>
        <w:trPr/>
        <w:tc>
          <w:tcPr>
            <w:tcW w:w="7142"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4" w:name="xdx_407_eus-gaap--AccountsPayableCurrent"/>
            <w:bookmarkEnd w:id="44"/>
          </w:p>
        </w:tc>
      </w:tr>
      <w:tr>
        <w:trPr/>
        <w:tc>
          <w:tcPr>
            <w:tcW w:w="714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136</w:t>
            </w:r>
          </w:p>
        </w:tc>
        <w:tc>
          <w:tcPr>
            <w:tcW w:w="113" w:type="dxa"/>
            <w:tcBorders/>
            <w:shd w:fill="CCEEFF" w:val="clear"/>
            <w:vAlign w:val="center"/>
          </w:tcPr>
          <w:p>
            <w:pPr>
              <w:pStyle w:val="TableContents"/>
              <w:bidi w:val="0"/>
              <w:spacing w:before="0" w:after="283"/>
              <w:jc w:val="left"/>
              <w:rPr/>
            </w:pPr>
            <w:r>
              <w:rPr/>
              <w:t> </w:t>
            </w:r>
            <w:bookmarkStart w:id="45" w:name="xdx_405_eus-gaap--AccruedProfessionalFee"/>
            <w:bookmarkEnd w:id="45"/>
          </w:p>
        </w:tc>
      </w:tr>
      <w:tr>
        <w:trPr/>
        <w:tc>
          <w:tcPr>
            <w:tcW w:w="7142" w:type="dxa"/>
            <w:tcBorders/>
            <w:shd w:fill="FFFFFF" w:val="clear"/>
            <w:vAlign w:val="center"/>
          </w:tcPr>
          <w:p>
            <w:pPr>
              <w:pStyle w:val="TableContents"/>
              <w:bidi w:val="0"/>
              <w:spacing w:before="0" w:after="283"/>
              <w:jc w:val="left"/>
              <w:rPr/>
            </w:pPr>
            <w:r>
              <w:rPr/>
              <w:t>Accrued legal and professional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721</w:t>
            </w:r>
          </w:p>
        </w:tc>
        <w:tc>
          <w:tcPr>
            <w:tcW w:w="113" w:type="dxa"/>
            <w:tcBorders/>
            <w:shd w:fill="FFFFFF" w:val="clear"/>
            <w:vAlign w:val="center"/>
          </w:tcPr>
          <w:p>
            <w:pPr>
              <w:pStyle w:val="TableContents"/>
              <w:bidi w:val="0"/>
              <w:spacing w:before="0" w:after="283"/>
              <w:jc w:val="left"/>
              <w:rPr/>
            </w:pPr>
            <w:r>
              <w:rPr/>
              <w:t> </w:t>
            </w:r>
            <w:bookmarkStart w:id="46" w:name="xdx_401_ecustom--AccruedAndOtherLiabilit"/>
            <w:bookmarkEnd w:id="46"/>
          </w:p>
        </w:tc>
      </w:tr>
      <w:tr>
        <w:trPr/>
        <w:tc>
          <w:tcPr>
            <w:tcW w:w="7142"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207</w:t>
            </w:r>
          </w:p>
        </w:tc>
        <w:tc>
          <w:tcPr>
            <w:tcW w:w="113" w:type="dxa"/>
            <w:tcBorders/>
            <w:shd w:fill="CCEEFF" w:val="clear"/>
            <w:vAlign w:val="center"/>
          </w:tcPr>
          <w:p>
            <w:pPr>
              <w:pStyle w:val="TableContents"/>
              <w:bidi w:val="0"/>
              <w:spacing w:before="0" w:after="283"/>
              <w:jc w:val="left"/>
              <w:rPr/>
            </w:pPr>
            <w:r>
              <w:rPr/>
              <w:t> </w:t>
            </w:r>
            <w:bookmarkStart w:id="47" w:name="xdx_40E_eus-gaap--LiabilitiesCurrent_i02"/>
            <w:bookmarkEnd w:id="47"/>
          </w:p>
        </w:tc>
      </w:tr>
      <w:tr>
        <w:trPr/>
        <w:tc>
          <w:tcPr>
            <w:tcW w:w="7142"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293" w:type="dxa"/>
            <w:tcBorders/>
            <w:shd w:fill="FFFFFF" w:val="clear"/>
            <w:vAlign w:val="center"/>
          </w:tcPr>
          <w:p>
            <w:pPr>
              <w:pStyle w:val="TableContents"/>
              <w:bidi w:val="0"/>
              <w:spacing w:before="0" w:after="283"/>
              <w:jc w:val="right"/>
              <w:rPr/>
            </w:pPr>
            <w:r>
              <w:rPr/>
              <w:t>1,064</w:t>
            </w:r>
          </w:p>
        </w:tc>
        <w:tc>
          <w:tcPr>
            <w:tcW w:w="113" w:type="dxa"/>
            <w:tcBorders/>
            <w:shd w:fill="FFFFFF" w:val="clear"/>
            <w:vAlign w:val="center"/>
          </w:tcPr>
          <w:p>
            <w:pPr>
              <w:pStyle w:val="TableContents"/>
              <w:bidi w:val="0"/>
              <w:spacing w:before="0" w:after="283"/>
              <w:jc w:val="left"/>
              <w:rPr/>
            </w:pPr>
            <w:r>
              <w:rPr/>
              <w:t> </w:t>
            </w:r>
            <w:bookmarkStart w:id="48" w:name="xdx_401_eus-gaap--LiabilitiesSubjectToCo"/>
            <w:bookmarkEnd w:id="48"/>
          </w:p>
        </w:tc>
      </w:tr>
      <w:tr>
        <w:trPr/>
        <w:tc>
          <w:tcPr>
            <w:tcW w:w="7142" w:type="dxa"/>
            <w:tcBorders/>
            <w:shd w:fill="CCEEFF" w:val="clear"/>
            <w:vAlign w:val="center"/>
          </w:tcPr>
          <w:p>
            <w:pPr>
              <w:pStyle w:val="TableContents"/>
              <w:bidi w:val="0"/>
              <w:spacing w:before="0" w:after="283"/>
              <w:jc w:val="left"/>
              <w:rPr/>
            </w:pPr>
            <w:r>
              <w:rPr/>
              <w:t>Liabilities subject to compromise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7,537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9,884</w:t>
            </w:r>
          </w:p>
        </w:tc>
        <w:tc>
          <w:tcPr>
            <w:tcW w:w="113" w:type="dxa"/>
            <w:tcBorders/>
            <w:shd w:fill="CCEEFF" w:val="clear"/>
            <w:vAlign w:val="center"/>
          </w:tcPr>
          <w:p>
            <w:pPr>
              <w:pStyle w:val="TableContents"/>
              <w:bidi w:val="0"/>
              <w:spacing w:before="0" w:after="283"/>
              <w:jc w:val="left"/>
              <w:rPr/>
            </w:pPr>
            <w:r>
              <w:rPr/>
              <w:t> </w:t>
            </w:r>
            <w:bookmarkStart w:id="49" w:name="xdx_407_eus-gaap--Liabilities_i01TI_mtCz"/>
            <w:bookmarkEnd w:id="49"/>
          </w:p>
        </w:tc>
      </w:tr>
      <w:tr>
        <w:trPr/>
        <w:tc>
          <w:tcPr>
            <w:tcW w:w="7142"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8,374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10,948</w:t>
            </w:r>
          </w:p>
        </w:tc>
        <w:tc>
          <w:tcPr>
            <w:tcW w:w="113" w:type="dxa"/>
            <w:tcBorders/>
            <w:shd w:fill="FFFFFF" w:val="clear"/>
            <w:vAlign w:val="center"/>
          </w:tcPr>
          <w:p>
            <w:pPr>
              <w:pStyle w:val="TableContents"/>
              <w:bidi w:val="0"/>
              <w:spacing w:before="0" w:after="283"/>
              <w:jc w:val="left"/>
              <w:rPr/>
            </w:pPr>
            <w:r>
              <w:rPr/>
              <w:t> </w:t>
            </w:r>
          </w:p>
        </w:tc>
      </w:tr>
      <w:tr>
        <w:trPr/>
        <w:tc>
          <w:tcPr>
            <w:tcW w:w="7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0" w:name="xdx_407_eus-gaap--CommitmentsAndContinge"/>
            <w:bookmarkEnd w:id="50"/>
          </w:p>
        </w:tc>
      </w:tr>
      <w:tr>
        <w:trPr/>
        <w:tc>
          <w:tcPr>
            <w:tcW w:w="7142" w:type="dxa"/>
            <w:tcBorders/>
            <w:shd w:fill="FFFFFF" w:val="clear"/>
            <w:vAlign w:val="center"/>
          </w:tcPr>
          <w:p>
            <w:pPr>
              <w:pStyle w:val="TableContents"/>
              <w:bidi w:val="0"/>
              <w:spacing w:before="0" w:after="283"/>
              <w:jc w:val="left"/>
              <w:rPr/>
            </w:pPr>
            <w:r>
              <w:rPr/>
              <w:t>Commitments and contingencies (Note 7)</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r>
      <w:tr>
        <w:trPr/>
        <w:tc>
          <w:tcPr>
            <w:tcW w:w="7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1" w:name="xdx_406_eus-gaap--TemporaryEquityAbstrac"/>
            <w:bookmarkEnd w:id="51"/>
          </w:p>
        </w:tc>
      </w:tr>
      <w:tr>
        <w:trPr/>
        <w:tc>
          <w:tcPr>
            <w:tcW w:w="7142" w:type="dxa"/>
            <w:tcBorders/>
            <w:shd w:fill="FFFFFF" w:val="clear"/>
            <w:vAlign w:val="center"/>
          </w:tcPr>
          <w:p>
            <w:pPr>
              <w:pStyle w:val="TableContents"/>
              <w:bidi w:val="0"/>
              <w:spacing w:before="0" w:after="283"/>
              <w:jc w:val="left"/>
              <w:rPr/>
            </w:pPr>
            <w:r>
              <w:rPr/>
              <w:t>Mezzanine equity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2" w:name="xdx_403_eus-gaap--TemporaryEquityCarryin"/>
            <w:bookmarkEnd w:id="52"/>
          </w:p>
        </w:tc>
      </w:tr>
      <w:tr>
        <w:trPr/>
        <w:tc>
          <w:tcPr>
            <w:tcW w:w="7142" w:type="dxa"/>
            <w:tcBorders/>
            <w:shd w:fill="CCEEFF" w:val="clear"/>
            <w:vAlign w:val="center"/>
          </w:tcPr>
          <w:p>
            <w:pPr>
              <w:pStyle w:val="TableContents"/>
              <w:bidi w:val="0"/>
              <w:spacing w:before="0" w:after="283"/>
              <w:jc w:val="left"/>
              <w:rPr/>
            </w:pPr>
            <w:r>
              <w:rPr/>
              <w:t>Series A Convertible Preferred stock, $</w:t>
            </w:r>
            <w:bookmarkStart w:id="53" w:name="xdx_908_eus-gaap--TemporaryEquityParOrSt"/>
            <w:bookmarkStart w:id="54" w:name="xdx_901_eus-gaap--TemporaryEquityParOrSt"/>
            <w:bookmarkEnd w:id="53"/>
            <w:bookmarkEnd w:id="54"/>
            <w:r>
              <w:rPr/>
              <w:t xml:space="preserve">0.0001 par value, </w:t>
            </w:r>
            <w:bookmarkStart w:id="55" w:name="xdx_90A_eus-gaap--TemporaryEquitySharesA"/>
            <w:bookmarkStart w:id="56" w:name="xdx_907_eus-gaap--TemporaryEquitySharesA"/>
            <w:bookmarkEnd w:id="55"/>
            <w:bookmarkEnd w:id="56"/>
            <w:r>
              <w:rPr/>
              <w:t xml:space="preserve">12,000,000 shares authorized; </w:t>
            </w:r>
            <w:bookmarkStart w:id="57" w:name="xdx_90C_eus-gaap--TemporaryEquitySharesO"/>
            <w:bookmarkStart w:id="58" w:name="xdx_90B_eus-gaap--TemporaryEquitySharesI"/>
            <w:bookmarkStart w:id="59" w:name="xdx_901_eus-gaap--TemporaryEquitySharesO"/>
            <w:bookmarkStart w:id="60" w:name="xdx_901_eus-gaap--TemporaryEquitySharesI"/>
            <w:bookmarkEnd w:id="57"/>
            <w:bookmarkEnd w:id="58"/>
            <w:bookmarkEnd w:id="59"/>
            <w:bookmarkEnd w:id="60"/>
            <w:r>
              <w:rPr/>
              <w:t>300,000 shares issued and outstanding as of June 30, 2025 and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36,887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35,455</w:t>
            </w:r>
          </w:p>
        </w:tc>
        <w:tc>
          <w:tcPr>
            <w:tcW w:w="113" w:type="dxa"/>
            <w:tcBorders/>
            <w:shd w:fill="CCEEFF" w:val="clear"/>
            <w:vAlign w:val="center"/>
          </w:tcPr>
          <w:p>
            <w:pPr>
              <w:pStyle w:val="TableContents"/>
              <w:bidi w:val="0"/>
              <w:spacing w:before="0" w:after="283"/>
              <w:jc w:val="left"/>
              <w:rPr/>
            </w:pPr>
            <w:r>
              <w:rPr/>
              <w:t> </w:t>
            </w:r>
            <w:bookmarkStart w:id="61" w:name="xdx_40F_eus-gaap--StockholdersEquityAbst"/>
            <w:bookmarkEnd w:id="61"/>
          </w:p>
        </w:tc>
      </w:tr>
      <w:tr>
        <w:trPr/>
        <w:tc>
          <w:tcPr>
            <w:tcW w:w="7142"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9_eus-gaap--CommonStockValue_i02I_"/>
            <w:bookmarkEnd w:id="62"/>
          </w:p>
        </w:tc>
      </w:tr>
      <w:tr>
        <w:trPr/>
        <w:tc>
          <w:tcPr>
            <w:tcW w:w="7142" w:type="dxa"/>
            <w:tcBorders/>
            <w:shd w:fill="CCEEFF" w:val="clear"/>
            <w:vAlign w:val="center"/>
          </w:tcPr>
          <w:p>
            <w:pPr>
              <w:pStyle w:val="TableContents"/>
              <w:bidi w:val="0"/>
              <w:spacing w:before="0" w:after="283"/>
              <w:jc w:val="left"/>
              <w:rPr/>
            </w:pPr>
            <w:r>
              <w:rPr/>
              <w:t>Class A common stock, $</w:t>
            </w:r>
            <w:bookmarkStart w:id="63" w:name="xdx_906_eus-gaap--CommonStockParOrStated"/>
            <w:bookmarkStart w:id="64" w:name="xdx_90D_eus-gaap--CommonStockParOrStated"/>
            <w:bookmarkEnd w:id="63"/>
            <w:bookmarkEnd w:id="64"/>
            <w:r>
              <w:rPr/>
              <w:t xml:space="preserve">0.0001 par value, </w:t>
            </w:r>
            <w:bookmarkStart w:id="65" w:name="xdx_90D_eus-gaap--CommonStockSharesAutho"/>
            <w:bookmarkStart w:id="66" w:name="xdx_90A_eus-gaap--CommonStockSharesAutho"/>
            <w:bookmarkEnd w:id="65"/>
            <w:bookmarkEnd w:id="66"/>
            <w:r>
              <w:rPr/>
              <w:t xml:space="preserve">450,000,000 shares authorized; </w:t>
            </w:r>
            <w:bookmarkStart w:id="67" w:name="xdx_90C_eus-gaap--CommonStockSharesOutst"/>
            <w:bookmarkStart w:id="68" w:name="xdx_907_eus-gaap--CommonStockSharesIssue"/>
            <w:bookmarkStart w:id="69" w:name="xdx_906_eus-gaap--CommonStockSharesOutst"/>
            <w:bookmarkStart w:id="70" w:name="xdx_90F_eus-gaap--CommonStockSharesIssue"/>
            <w:bookmarkEnd w:id="67"/>
            <w:bookmarkEnd w:id="68"/>
            <w:bookmarkEnd w:id="69"/>
            <w:bookmarkEnd w:id="70"/>
            <w:r>
              <w:rPr/>
              <w:t>16,096,296 shares issued and outstanding as of June 30, 2025 and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24</w:t>
            </w:r>
          </w:p>
        </w:tc>
        <w:tc>
          <w:tcPr>
            <w:tcW w:w="113" w:type="dxa"/>
            <w:tcBorders/>
            <w:shd w:fill="CCEEFF" w:val="clear"/>
            <w:vAlign w:val="center"/>
          </w:tcPr>
          <w:p>
            <w:pPr>
              <w:pStyle w:val="TableContents"/>
              <w:bidi w:val="0"/>
              <w:spacing w:before="0" w:after="283"/>
              <w:jc w:val="left"/>
              <w:rPr/>
            </w:pPr>
            <w:r>
              <w:rPr/>
              <w:t> </w:t>
            </w:r>
            <w:bookmarkStart w:id="71" w:name="xdx_403_eus-gaap--AdditionalPaidInCapita"/>
            <w:bookmarkEnd w:id="71"/>
          </w:p>
        </w:tc>
      </w:tr>
      <w:tr>
        <w:trPr/>
        <w:tc>
          <w:tcPr>
            <w:tcW w:w="714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1,183,289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1,184,505</w:t>
            </w:r>
          </w:p>
        </w:tc>
        <w:tc>
          <w:tcPr>
            <w:tcW w:w="113" w:type="dxa"/>
            <w:tcBorders/>
            <w:shd w:fill="FFFFFF" w:val="clear"/>
            <w:vAlign w:val="center"/>
          </w:tcPr>
          <w:p>
            <w:pPr>
              <w:pStyle w:val="TableContents"/>
              <w:bidi w:val="0"/>
              <w:spacing w:before="0" w:after="283"/>
              <w:jc w:val="left"/>
              <w:rPr/>
            </w:pPr>
            <w:r>
              <w:rPr/>
              <w:t> </w:t>
            </w:r>
            <w:bookmarkStart w:id="72" w:name="xdx_402_eus-gaap--AccumulatedOtherCompre"/>
            <w:bookmarkEnd w:id="72"/>
          </w:p>
        </w:tc>
      </w:tr>
      <w:tr>
        <w:trPr/>
        <w:tc>
          <w:tcPr>
            <w:tcW w:w="7142"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666</w:t>
            </w:r>
          </w:p>
        </w:tc>
        <w:tc>
          <w:tcPr>
            <w:tcW w:w="113" w:type="dxa"/>
            <w:tcBorders/>
            <w:shd w:fill="CCEEFF" w:val="clear"/>
            <w:vAlign w:val="center"/>
          </w:tcPr>
          <w:p>
            <w:pPr>
              <w:pStyle w:val="TableContents"/>
              <w:bidi w:val="0"/>
              <w:spacing w:before="0" w:after="283"/>
              <w:jc w:val="left"/>
              <w:rPr/>
            </w:pPr>
            <w:r>
              <w:rPr/>
              <w:t> </w:t>
            </w:r>
            <w:bookmarkStart w:id="73" w:name="xdx_40E_eus-gaap--RetainedEarningsAccumu"/>
            <w:bookmarkEnd w:id="73"/>
          </w:p>
        </w:tc>
      </w:tr>
      <w:tr>
        <w:trPr/>
        <w:tc>
          <w:tcPr>
            <w:tcW w:w="714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(1,178,884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(1,178,415</w:t>
            </w:r>
          </w:p>
        </w:tc>
        <w:tc>
          <w:tcPr>
            <w:tcW w:w="113" w:type="dxa"/>
            <w:tcBorders/>
            <w:shd w:fill="FFFFFF" w:val="clear"/>
            <w:vAlign w:val="center"/>
          </w:tcPr>
          <w:p>
            <w:pPr>
              <w:pStyle w:val="TableContents"/>
              <w:bidi w:val="0"/>
              <w:spacing w:before="0" w:after="283"/>
              <w:jc w:val="left"/>
              <w:rPr/>
            </w:pPr>
            <w:r>
              <w:rPr/>
              <w:t>)</w:t>
            </w:r>
            <w:bookmarkStart w:id="74" w:name="xdx_404_eus-gaap--StockholdersEquity_i02"/>
            <w:bookmarkEnd w:id="74"/>
          </w:p>
        </w:tc>
      </w:tr>
      <w:tr>
        <w:trPr/>
        <w:tc>
          <w:tcPr>
            <w:tcW w:w="7142"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4,426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6,780</w:t>
            </w:r>
          </w:p>
        </w:tc>
        <w:tc>
          <w:tcPr>
            <w:tcW w:w="113" w:type="dxa"/>
            <w:tcBorders/>
            <w:shd w:fill="CCEEFF" w:val="clear"/>
            <w:vAlign w:val="center"/>
          </w:tcPr>
          <w:p>
            <w:pPr>
              <w:pStyle w:val="TableContents"/>
              <w:bidi w:val="0"/>
              <w:spacing w:before="0" w:after="283"/>
              <w:jc w:val="left"/>
              <w:rPr/>
            </w:pPr>
            <w:r>
              <w:rPr/>
              <w:t> </w:t>
            </w:r>
            <w:bookmarkStart w:id="75" w:name="xdx_401_eus-gaap--LiabilitiesAndStockhol"/>
            <w:bookmarkEnd w:id="75"/>
          </w:p>
        </w:tc>
      </w:tr>
      <w:tr>
        <w:trPr/>
        <w:tc>
          <w:tcPr>
            <w:tcW w:w="7142" w:type="dxa"/>
            <w:tcBorders/>
            <w:shd w:fill="FFFFFF" w:val="clear"/>
            <w:vAlign w:val="center"/>
          </w:tcPr>
          <w:p>
            <w:pPr>
              <w:pStyle w:val="TableContents"/>
              <w:bidi w:val="0"/>
              <w:spacing w:before="0" w:after="283"/>
              <w:jc w:val="left"/>
              <w:rPr/>
            </w:pPr>
            <w:r>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53,183</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76" w:name="a_004"/>
      <w:bookmarkEnd w:id="76"/>
      <w:r>
        <w:rPr>
          <w:rFonts w:ascii="Times New Roman;Times;Serif" w:hAnsi="Times New Roman;Times;Serif"/>
          <w:b/>
          <w:i w:val="false"/>
          <w:caps w:val="false"/>
          <w:smallCaps w:val="false"/>
          <w:sz w:val="20"/>
        </w:rPr>
        <w:t>Condensed Consolidated Statements of Operations and Comprehensive Income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7" w:name="xdx_307_113_pn3n3_zkf2sNlKWc1f"/>
      <w:bookmarkStart w:id="78" w:name="xdx_307_113_pn3n3_zkf2sNlKWc1f"/>
      <w:bookmarkEnd w:id="78"/>
    </w:p>
    <w:tbl>
      <w:tblPr>
        <w:tblW w:w="10205" w:type="dxa"/>
        <w:jc w:val="left"/>
        <w:tblInd w:w="0" w:type="dxa"/>
        <w:tblLayout w:type="fixed"/>
        <w:tblCellMar>
          <w:top w:w="0" w:type="dxa"/>
          <w:left w:w="0" w:type="dxa"/>
          <w:bottom w:w="0" w:type="dxa"/>
          <w:right w:w="0" w:type="dxa"/>
        </w:tblCellMar>
      </w:tblPr>
      <w:tblGrid>
        <w:gridCol w:w="3091"/>
        <w:gridCol w:w="60"/>
        <w:gridCol w:w="284"/>
        <w:gridCol w:w="1381"/>
        <w:gridCol w:w="95"/>
        <w:gridCol w:w="60"/>
        <w:gridCol w:w="284"/>
        <w:gridCol w:w="1381"/>
        <w:gridCol w:w="95"/>
        <w:gridCol w:w="60"/>
        <w:gridCol w:w="268"/>
        <w:gridCol w:w="1304"/>
        <w:gridCol w:w="95"/>
        <w:gridCol w:w="60"/>
        <w:gridCol w:w="268"/>
        <w:gridCol w:w="1304"/>
        <w:gridCol w:w="115"/>
      </w:tblGrid>
      <w:tr>
        <w:trPr/>
        <w:tc>
          <w:tcPr>
            <w:tcW w:w="3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6_20250401__20250630_zRZwXqN2LF82"/>
            <w:bookmarkEnd w:id="79"/>
          </w:p>
        </w:tc>
        <w:tc>
          <w:tcPr>
            <w:tcW w:w="1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 w:name="xdx_491_20240401__20240630_z5F4YkS6hTyk"/>
            <w:bookmarkEnd w:id="80"/>
          </w:p>
        </w:tc>
        <w:tc>
          <w:tcPr>
            <w:tcW w:w="1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 w:name="xdx_490_20250101__20250630_zWHA90mhMvtg"/>
            <w:bookmarkEnd w:id="81"/>
          </w:p>
        </w:tc>
        <w:tc>
          <w:tcPr>
            <w:tcW w:w="15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 w:name="xdx_491_20240101__20240630_zwbwaRQksqj9"/>
            <w:bookmarkEnd w:id="82"/>
          </w:p>
        </w:tc>
        <w:tc>
          <w:tcPr>
            <w:tcW w:w="15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2024</w:t>
            </w:r>
          </w:p>
        </w:tc>
        <w:tc>
          <w:tcPr>
            <w:tcW w:w="115" w:type="dxa"/>
            <w:tcBorders/>
            <w:vAlign w:val="center"/>
          </w:tcPr>
          <w:p>
            <w:pPr>
              <w:pStyle w:val="TableContents"/>
              <w:bidi w:val="0"/>
              <w:spacing w:before="0" w:after="283"/>
              <w:jc w:val="left"/>
              <w:rPr/>
            </w:pPr>
            <w:r>
              <w:rPr/>
              <w:t> </w:t>
            </w:r>
            <w:bookmarkStart w:id="83" w:name="xdx_404_eus-gaap--OperatingExpensesAbstr"/>
            <w:bookmarkEnd w:id="83"/>
          </w:p>
        </w:tc>
      </w:tr>
      <w:tr>
        <w:trPr/>
        <w:tc>
          <w:tcPr>
            <w:tcW w:w="3091" w:type="dxa"/>
            <w:tcBorders/>
            <w:shd w:fill="CCEEFF" w:val="clear"/>
            <w:vAlign w:val="center"/>
          </w:tcPr>
          <w:p>
            <w:pPr>
              <w:pStyle w:val="TableContents"/>
              <w:bidi w:val="0"/>
              <w:spacing w:before="0" w:after="283"/>
              <w:jc w:val="left"/>
              <w:rPr/>
            </w:pPr>
            <w:r>
              <w:rPr/>
              <w:t>Operating expense (income):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84" w:name="xdx_40F_eus-gaap--SellingGeneralAndAdmin"/>
            <w:bookmarkEnd w:id="84"/>
          </w:p>
        </w:tc>
      </w:tr>
      <w:tr>
        <w:trPr/>
        <w:tc>
          <w:tcPr>
            <w:tcW w:w="3091"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1,683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1,482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6,725</w:t>
            </w:r>
          </w:p>
        </w:tc>
        <w:tc>
          <w:tcPr>
            <w:tcW w:w="115" w:type="dxa"/>
            <w:tcBorders/>
            <w:shd w:fill="FFFFFF" w:val="clear"/>
            <w:vAlign w:val="center"/>
          </w:tcPr>
          <w:p>
            <w:pPr>
              <w:pStyle w:val="TableContents"/>
              <w:bidi w:val="0"/>
              <w:spacing w:before="0" w:after="283"/>
              <w:jc w:val="left"/>
              <w:rPr/>
            </w:pPr>
            <w:r>
              <w:rPr/>
              <w:t> </w:t>
            </w:r>
            <w:bookmarkStart w:id="85" w:name="xdx_40A_ecustom--LegalAndLitigationAccru"/>
            <w:bookmarkEnd w:id="85"/>
          </w:p>
        </w:tc>
      </w:tr>
      <w:tr>
        <w:trPr/>
        <w:tc>
          <w:tcPr>
            <w:tcW w:w="3091" w:type="dxa"/>
            <w:tcBorders/>
            <w:shd w:fill="CCEEFF" w:val="clear"/>
            <w:vAlign w:val="center"/>
          </w:tcPr>
          <w:p>
            <w:pPr>
              <w:pStyle w:val="TableContents"/>
              <w:bidi w:val="0"/>
              <w:spacing w:before="0" w:after="283"/>
              <w:jc w:val="left"/>
              <w:rPr/>
            </w:pPr>
            <w:r>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(1,326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(2,015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(2,559</w:t>
            </w:r>
          </w:p>
        </w:tc>
        <w:tc>
          <w:tcPr>
            <w:tcW w:w="115" w:type="dxa"/>
            <w:tcBorders/>
            <w:shd w:fill="CCEEFF" w:val="clear"/>
            <w:vAlign w:val="center"/>
          </w:tcPr>
          <w:p>
            <w:pPr>
              <w:pStyle w:val="TableContents"/>
              <w:bidi w:val="0"/>
              <w:spacing w:before="0" w:after="283"/>
              <w:jc w:val="left"/>
              <w:rPr/>
            </w:pPr>
            <w:r>
              <w:rPr/>
              <w:t>)</w:t>
            </w:r>
            <w:bookmarkStart w:id="86" w:name="xdx_40A_eus-gaap--DebtorReorganizationIt"/>
            <w:bookmarkEnd w:id="86"/>
          </w:p>
        </w:tc>
      </w:tr>
      <w:tr>
        <w:trPr/>
        <w:tc>
          <w:tcPr>
            <w:tcW w:w="3091" w:type="dxa"/>
            <w:tcBorders/>
            <w:shd w:fill="FFFFFF" w:val="clear"/>
            <w:vAlign w:val="center"/>
          </w:tcPr>
          <w:p>
            <w:pPr>
              <w:pStyle w:val="TableContents"/>
              <w:bidi w:val="0"/>
              <w:spacing w:before="0" w:after="283"/>
              <w:jc w:val="left"/>
              <w:rPr/>
            </w:pPr>
            <w:r>
              <w:rPr/>
              <w:t>Reorganization items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4,785</w:t>
            </w:r>
          </w:p>
        </w:tc>
        <w:tc>
          <w:tcPr>
            <w:tcW w:w="115" w:type="dxa"/>
            <w:tcBorders/>
            <w:shd w:fill="FFFFFF" w:val="clear"/>
            <w:vAlign w:val="center"/>
          </w:tcPr>
          <w:p>
            <w:pPr>
              <w:pStyle w:val="TableContents"/>
              <w:bidi w:val="0"/>
              <w:spacing w:before="0" w:after="283"/>
              <w:jc w:val="left"/>
              <w:rPr/>
            </w:pPr>
            <w:r>
              <w:rPr/>
              <w:t> </w:t>
            </w:r>
            <w:bookmarkStart w:id="87" w:name="xdx_40F_eus-gaap--OperatingExpenses_i01T"/>
            <w:bookmarkEnd w:id="87"/>
          </w:p>
        </w:tc>
      </w:tr>
      <w:tr>
        <w:trPr/>
        <w:tc>
          <w:tcPr>
            <w:tcW w:w="3091" w:type="dxa"/>
            <w:tcBorders/>
            <w:shd w:fill="CCEEFF" w:val="clear"/>
            <w:vAlign w:val="center"/>
          </w:tcPr>
          <w:p>
            <w:pPr>
              <w:pStyle w:val="TableContents"/>
              <w:bidi w:val="0"/>
              <w:spacing w:before="0" w:after="283"/>
              <w:jc w:val="left"/>
              <w:rPr/>
            </w:pPr>
            <w:r>
              <w:rPr/>
              <w:t>Total operating expense (income), net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r>
              <w:rPr/>
              <w:t>2,123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r>
              <w:rPr/>
              <w:t>8,951</w:t>
            </w:r>
          </w:p>
        </w:tc>
        <w:tc>
          <w:tcPr>
            <w:tcW w:w="115" w:type="dxa"/>
            <w:tcBorders/>
            <w:shd w:fill="CCEE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88" w:name="xdx_40C_eus-gaap--OperatingIncomeLoss_iT"/>
            <w:bookmarkEnd w:id="88"/>
          </w:p>
        </w:tc>
      </w:tr>
      <w:tr>
        <w:trPr/>
        <w:tc>
          <w:tcPr>
            <w:tcW w:w="3091" w:type="dxa"/>
            <w:tcBorders/>
            <w:shd w:fill="CCEEFF" w:val="clear"/>
            <w:vAlign w:val="center"/>
          </w:tcPr>
          <w:p>
            <w:pPr>
              <w:pStyle w:val="TableContents"/>
              <w:bidi w:val="0"/>
              <w:spacing w:before="0" w:after="283"/>
              <w:jc w:val="left"/>
              <w:rPr/>
            </w:pPr>
            <w:r>
              <w:rPr/>
              <w:t>(Loss) income from operations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(8,951</w:t>
            </w:r>
          </w:p>
        </w:tc>
        <w:tc>
          <w:tcPr>
            <w:tcW w:w="115" w:type="dxa"/>
            <w:tcBorders/>
            <w:shd w:fill="CCEEFF" w:val="clear"/>
            <w:vAlign w:val="center"/>
          </w:tcPr>
          <w:p>
            <w:pPr>
              <w:pStyle w:val="TableContents"/>
              <w:bidi w:val="0"/>
              <w:spacing w:before="0" w:after="283"/>
              <w:jc w:val="left"/>
              <w:rPr/>
            </w:pPr>
            <w:r>
              <w:rPr/>
              <w:t>)</w:t>
            </w:r>
          </w:p>
        </w:tc>
      </w:tr>
      <w:tr>
        <w:trPr/>
        <w:tc>
          <w:tcPr>
            <w:tcW w:w="3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89" w:name="xdx_40C_eus-gaap--NonoperatingIncomeExpe"/>
            <w:bookmarkEnd w:id="89"/>
          </w:p>
        </w:tc>
      </w:tr>
      <w:tr>
        <w:trPr/>
        <w:tc>
          <w:tcPr>
            <w:tcW w:w="3091"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90" w:name="xdx_405_eus-gaap--OtherNonoperatingIncom"/>
            <w:bookmarkEnd w:id="90"/>
          </w:p>
        </w:tc>
      </w:tr>
      <w:tr>
        <w:trPr/>
        <w:tc>
          <w:tcPr>
            <w:tcW w:w="3091"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(163</w:t>
            </w:r>
          </w:p>
        </w:tc>
        <w:tc>
          <w:tcPr>
            <w:tcW w:w="115" w:type="dxa"/>
            <w:tcBorders/>
            <w:shd w:fill="FFFFFF" w:val="clear"/>
            <w:vAlign w:val="center"/>
          </w:tcPr>
          <w:p>
            <w:pPr>
              <w:pStyle w:val="TableContents"/>
              <w:bidi w:val="0"/>
              <w:spacing w:before="0" w:after="283"/>
              <w:jc w:val="left"/>
              <w:rPr/>
            </w:pPr>
            <w:r>
              <w:rPr/>
              <w:t>)</w:t>
            </w:r>
            <w:bookmarkStart w:id="91" w:name="xdx_40D_eus-gaap--DebtSecuritiesAvailabl"/>
            <w:bookmarkEnd w:id="91"/>
          </w:p>
        </w:tc>
      </w:tr>
      <w:tr>
        <w:trPr/>
        <w:tc>
          <w:tcPr>
            <w:tcW w:w="3091" w:type="dxa"/>
            <w:tcBorders/>
            <w:shd w:fill="CCEEFF" w:val="clear"/>
            <w:vAlign w:val="center"/>
          </w:tcPr>
          <w:p>
            <w:pPr>
              <w:pStyle w:val="TableContents"/>
              <w:bidi w:val="0"/>
              <w:spacing w:before="0" w:after="283"/>
              <w:jc w:val="left"/>
              <w:rPr/>
            </w:pPr>
            <w:r>
              <w:rPr/>
              <w:t>Realized gain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92" w:name="xdx_403_eus-gaap--InvestmentIncomeIntere"/>
            <w:bookmarkEnd w:id="92"/>
          </w:p>
        </w:tc>
      </w:tr>
      <w:tr>
        <w:trPr/>
        <w:tc>
          <w:tcPr>
            <w:tcW w:w="3091" w:type="dxa"/>
            <w:tcBorders/>
            <w:shd w:fill="FFFFFF" w:val="clear"/>
            <w:vAlign w:val="center"/>
          </w:tcPr>
          <w:p>
            <w:pPr>
              <w:pStyle w:val="TableContents"/>
              <w:bidi w:val="0"/>
              <w:spacing w:before="0" w:after="283"/>
              <w:jc w:val="left"/>
              <w:rPr/>
            </w:pPr>
            <w:r>
              <w:rPr/>
              <w:t>Investment and interest income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1,010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2,119</w:t>
            </w:r>
          </w:p>
        </w:tc>
        <w:tc>
          <w:tcPr>
            <w:tcW w:w="115" w:type="dxa"/>
            <w:tcBorders/>
            <w:shd w:fill="FFFFFF" w:val="clear"/>
            <w:vAlign w:val="center"/>
          </w:tcPr>
          <w:p>
            <w:pPr>
              <w:pStyle w:val="TableContents"/>
              <w:bidi w:val="0"/>
              <w:spacing w:before="0" w:after="283"/>
              <w:jc w:val="left"/>
              <w:rPr/>
            </w:pPr>
            <w:r>
              <w:rPr/>
              <w:t> </w:t>
            </w:r>
            <w:bookmarkStart w:id="93" w:name="xdx_405_eus-gaap--IncomeLossFromContinui"/>
            <w:bookmarkEnd w:id="93"/>
          </w:p>
        </w:tc>
      </w:tr>
      <w:tr>
        <w:trPr/>
        <w:tc>
          <w:tcPr>
            <w:tcW w:w="3091"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1,478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(6,995</w:t>
            </w:r>
          </w:p>
        </w:tc>
        <w:tc>
          <w:tcPr>
            <w:tcW w:w="115" w:type="dxa"/>
            <w:tcBorders/>
            <w:shd w:fill="CCEEFF" w:val="clear"/>
            <w:vAlign w:val="center"/>
          </w:tcPr>
          <w:p>
            <w:pPr>
              <w:pStyle w:val="TableContents"/>
              <w:bidi w:val="0"/>
              <w:spacing w:before="0" w:after="283"/>
              <w:jc w:val="left"/>
              <w:rPr/>
            </w:pPr>
            <w:r>
              <w:rPr/>
              <w:t>)</w:t>
            </w:r>
            <w:bookmarkStart w:id="94" w:name="xdx_406_eus-gaap--IncomeTaxExpenseBenefi"/>
            <w:bookmarkEnd w:id="94"/>
          </w:p>
        </w:tc>
      </w:tr>
      <w:tr>
        <w:trPr/>
        <w:tc>
          <w:tcPr>
            <w:tcW w:w="3091"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95" w:name="xdx_400_eus-gaap--NetIncomeLoss_iT_mtNIL"/>
            <w:bookmarkEnd w:id="95"/>
          </w:p>
        </w:tc>
      </w:tr>
      <w:tr>
        <w:trPr/>
        <w:tc>
          <w:tcPr>
            <w:tcW w:w="309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(6,995</w:t>
            </w:r>
          </w:p>
        </w:tc>
        <w:tc>
          <w:tcPr>
            <w:tcW w:w="115" w:type="dxa"/>
            <w:tcBorders/>
            <w:shd w:fill="CCEEFF" w:val="clear"/>
            <w:vAlign w:val="center"/>
          </w:tcPr>
          <w:p>
            <w:pPr>
              <w:pStyle w:val="TableContents"/>
              <w:bidi w:val="0"/>
              <w:spacing w:before="0" w:after="283"/>
              <w:jc w:val="left"/>
              <w:rPr/>
            </w:pPr>
            <w:r>
              <w:rPr/>
              <w:t>)</w:t>
            </w:r>
            <w:bookmarkStart w:id="96" w:name="xdx_402_ecustom--DividendPreferredStock_"/>
            <w:bookmarkEnd w:id="96"/>
          </w:p>
        </w:tc>
      </w:tr>
      <w:tr>
        <w:trPr/>
        <w:tc>
          <w:tcPr>
            <w:tcW w:w="3091" w:type="dxa"/>
            <w:tcBorders/>
            <w:shd w:fill="FFFFFF" w:val="clear"/>
            <w:vAlign w:val="center"/>
          </w:tcPr>
          <w:p>
            <w:pPr>
              <w:pStyle w:val="TableContents"/>
              <w:bidi w:val="0"/>
              <w:spacing w:before="0" w:after="283"/>
              <w:jc w:val="left"/>
              <w:rPr/>
            </w:pPr>
            <w:r>
              <w:rPr/>
              <w:t>Less accrued preferred stock dividend</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1,432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1,323</w:t>
            </w:r>
          </w:p>
        </w:tc>
        <w:tc>
          <w:tcPr>
            <w:tcW w:w="115" w:type="dxa"/>
            <w:tcBorders/>
            <w:shd w:fill="FFFFFF" w:val="clear"/>
            <w:vAlign w:val="center"/>
          </w:tcPr>
          <w:p>
            <w:pPr>
              <w:pStyle w:val="TableContents"/>
              <w:bidi w:val="0"/>
              <w:spacing w:before="0" w:after="283"/>
              <w:jc w:val="left"/>
              <w:rPr/>
            </w:pPr>
            <w:r>
              <w:rPr/>
              <w:t> </w:t>
            </w:r>
            <w:bookmarkStart w:id="97" w:name="xdx_40E_eus-gaap--NetIncomeLossAvailable"/>
            <w:bookmarkEnd w:id="97"/>
          </w:p>
        </w:tc>
      </w:tr>
      <w:tr>
        <w:trPr/>
        <w:tc>
          <w:tcPr>
            <w:tcW w:w="3091" w:type="dxa"/>
            <w:tcBorders/>
            <w:shd w:fill="CCEEFF" w:val="clear"/>
            <w:vAlign w:val="center"/>
          </w:tcPr>
          <w:p>
            <w:pPr>
              <w:pStyle w:val="TableContents"/>
              <w:bidi w:val="0"/>
              <w:spacing w:before="0" w:after="283"/>
              <w:jc w:val="left"/>
              <w:rPr/>
            </w:pPr>
            <w:r>
              <w:rPr/>
              <w:t>Net income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(1,901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(8,318</w:t>
            </w:r>
          </w:p>
        </w:tc>
        <w:tc>
          <w:tcPr>
            <w:tcW w:w="115" w:type="dxa"/>
            <w:tcBorders/>
            <w:shd w:fill="CCEEFF" w:val="clear"/>
            <w:vAlign w:val="center"/>
          </w:tcPr>
          <w:p>
            <w:pPr>
              <w:pStyle w:val="TableContents"/>
              <w:bidi w:val="0"/>
              <w:spacing w:before="0" w:after="283"/>
              <w:jc w:val="left"/>
              <w:rPr/>
            </w:pPr>
            <w:r>
              <w:rPr/>
              <w:t>)</w:t>
            </w:r>
          </w:p>
        </w:tc>
      </w:tr>
      <w:tr>
        <w:trPr/>
        <w:tc>
          <w:tcPr>
            <w:tcW w:w="30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98" w:name="xdx_409_eus-gaap--OtherComprehensiveInco"/>
            <w:bookmarkEnd w:id="98"/>
          </w:p>
        </w:tc>
      </w:tr>
      <w:tr>
        <w:trPr/>
        <w:tc>
          <w:tcPr>
            <w:tcW w:w="3091"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99" w:name="xdx_400_eus-gaap--OtherComprehensiveInco"/>
            <w:bookmarkEnd w:id="99"/>
          </w:p>
        </w:tc>
      </w:tr>
      <w:tr>
        <w:trPr/>
        <w:tc>
          <w:tcPr>
            <w:tcW w:w="3091" w:type="dxa"/>
            <w:tcBorders/>
            <w:shd w:fill="FFFFFF" w:val="clear"/>
            <w:vAlign w:val="center"/>
          </w:tcPr>
          <w:p>
            <w:pPr>
              <w:pStyle w:val="TableContents"/>
              <w:bidi w:val="0"/>
              <w:spacing w:before="0" w:after="283"/>
              <w:jc w:val="left"/>
              <w:rPr/>
            </w:pPr>
            <w:r>
              <w:rPr/>
              <w:t>Unrealized loss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(595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30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0" w:name="xdx_403_eus-gaap--ComprehensiveIncomeNet"/>
            <w:bookmarkEnd w:id="100"/>
          </w:p>
        </w:tc>
      </w:tr>
      <w:tr>
        <w:trPr/>
        <w:tc>
          <w:tcPr>
            <w:tcW w:w="3091" w:type="dxa"/>
            <w:tcBorders/>
            <w:shd w:fill="FFFFFF" w:val="clear"/>
            <w:vAlign w:val="center"/>
          </w:tcPr>
          <w:p>
            <w:pPr>
              <w:pStyle w:val="TableContents"/>
              <w:bidi w:val="0"/>
              <w:spacing w:before="0" w:after="283"/>
              <w:jc w:val="left"/>
              <w:rPr/>
            </w:pPr>
            <w:r>
              <w:rPr/>
              <w:t>Total comprehensive (loss) income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(576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(2,570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(8,318</w:t>
            </w:r>
          </w:p>
        </w:tc>
        <w:tc>
          <w:tcPr>
            <w:tcW w:w="115" w:type="dxa"/>
            <w:tcBorders/>
            <w:shd w:fill="FFFFFF" w:val="clear"/>
            <w:vAlign w:val="center"/>
          </w:tcPr>
          <w:p>
            <w:pPr>
              <w:pStyle w:val="TableContents"/>
              <w:bidi w:val="0"/>
              <w:spacing w:before="0" w:after="283"/>
              <w:jc w:val="left"/>
              <w:rPr/>
            </w:pPr>
            <w:r>
              <w:rPr/>
              <w:t>)</w:t>
            </w:r>
          </w:p>
        </w:tc>
      </w:tr>
      <w:tr>
        <w:trPr/>
        <w:tc>
          <w:tcPr>
            <w:tcW w:w="30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1" w:name="xdx_400_eus-gaap--EarningsPerShareAbstra"/>
            <w:bookmarkEnd w:id="101"/>
          </w:p>
        </w:tc>
      </w:tr>
      <w:tr>
        <w:trPr/>
        <w:tc>
          <w:tcPr>
            <w:tcW w:w="3091" w:type="dxa"/>
            <w:tcBorders/>
            <w:shd w:fill="FFFFFF" w:val="clear"/>
            <w:vAlign w:val="center"/>
          </w:tcPr>
          <w:p>
            <w:pPr>
              <w:pStyle w:val="TableContents"/>
              <w:bidi w:val="0"/>
              <w:spacing w:before="0" w:after="283"/>
              <w:jc w:val="left"/>
              <w:rPr/>
            </w:pPr>
            <w:r>
              <w:rPr/>
              <w:t>Net income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2" w:name="xdx_404_eus-gaap--EarningsPerShareBasic_"/>
            <w:bookmarkEnd w:id="102"/>
          </w:p>
        </w:tc>
      </w:tr>
      <w:tr>
        <w:trPr/>
        <w:tc>
          <w:tcPr>
            <w:tcW w:w="3091"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(0.52</w:t>
            </w:r>
          </w:p>
        </w:tc>
        <w:tc>
          <w:tcPr>
            <w:tcW w:w="115" w:type="dxa"/>
            <w:tcBorders/>
            <w:shd w:fill="CCEEFF" w:val="clear"/>
            <w:vAlign w:val="center"/>
          </w:tcPr>
          <w:p>
            <w:pPr>
              <w:pStyle w:val="TableContents"/>
              <w:bidi w:val="0"/>
              <w:spacing w:before="0" w:after="283"/>
              <w:jc w:val="left"/>
              <w:rPr/>
            </w:pPr>
            <w:r>
              <w:rPr/>
              <w:t>)</w:t>
            </w:r>
            <w:bookmarkStart w:id="103" w:name="xdx_407_eus-gaap--EarningsPerShareDilute"/>
            <w:bookmarkEnd w:id="103"/>
          </w:p>
        </w:tc>
      </w:tr>
      <w:tr>
        <w:trPr/>
        <w:tc>
          <w:tcPr>
            <w:tcW w:w="3091"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(0.52</w:t>
            </w:r>
          </w:p>
        </w:tc>
        <w:tc>
          <w:tcPr>
            <w:tcW w:w="115" w:type="dxa"/>
            <w:tcBorders/>
            <w:shd w:fill="FFFFFF" w:val="clear"/>
            <w:vAlign w:val="center"/>
          </w:tcPr>
          <w:p>
            <w:pPr>
              <w:pStyle w:val="TableContents"/>
              <w:bidi w:val="0"/>
              <w:spacing w:before="0" w:after="283"/>
              <w:jc w:val="left"/>
              <w:rPr/>
            </w:pPr>
            <w:r>
              <w:rPr/>
              <w:t>)</w:t>
            </w:r>
            <w:bookmarkStart w:id="104" w:name="xdx_405_eus-gaap--WeightedAverageNumberO"/>
            <w:bookmarkEnd w:id="104"/>
          </w:p>
        </w:tc>
      </w:tr>
      <w:tr>
        <w:trPr/>
        <w:tc>
          <w:tcPr>
            <w:tcW w:w="3091" w:type="dxa"/>
            <w:tcBorders/>
            <w:shd w:fill="CCEEFF" w:val="clear"/>
            <w:vAlign w:val="center"/>
          </w:tcPr>
          <w:p>
            <w:pPr>
              <w:pStyle w:val="TableContents"/>
              <w:bidi w:val="0"/>
              <w:spacing w:before="0" w:after="283"/>
              <w:jc w:val="left"/>
              <w:rPr/>
            </w:pPr>
            <w:r>
              <w:rPr/>
              <w:t>Weighted-average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5" w:name="xdx_40B_eus-gaap--WeightedAverageNumberO"/>
            <w:bookmarkEnd w:id="105"/>
          </w:p>
        </w:tc>
      </w:tr>
      <w:tr>
        <w:trPr/>
        <w:tc>
          <w:tcPr>
            <w:tcW w:w="3091"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16,014</w:t>
            </w:r>
          </w:p>
        </w:tc>
        <w:tc>
          <w:tcPr>
            <w:tcW w:w="115" w:type="dxa"/>
            <w:tcBorders/>
            <w:shd w:fill="FFFFFF" w:val="clear"/>
            <w:vAlign w:val="center"/>
          </w:tcPr>
          <w:p>
            <w:pPr>
              <w:pStyle w:val="TableContents"/>
              <w:bidi w:val="0"/>
              <w:spacing w:before="0" w:after="283"/>
              <w:jc w:val="left"/>
              <w:rPr/>
            </w:pPr>
            <w:r>
              <w:rPr/>
              <w:t> </w:t>
            </w:r>
            <w:bookmarkStart w:id="106" w:name="xdx_40A_eus-gaap--WeightedAverageNumberO"/>
            <w:bookmarkEnd w:id="106"/>
          </w:p>
        </w:tc>
      </w:tr>
      <w:tr>
        <w:trPr/>
        <w:tc>
          <w:tcPr>
            <w:tcW w:w="3091"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17,528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17,537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16,096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16,014</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firstLine="36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107" w:name="a_005"/>
      <w:bookmarkEnd w:id="107"/>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8" w:name="xdx_307_114_pn3n3_ziBIOyeLMOgf"/>
      <w:bookmarkStart w:id="109" w:name="xdx_307_114_pn3n3_ziBIOyeLMOgf"/>
      <w:bookmarkEnd w:id="109"/>
    </w:p>
    <w:tbl>
      <w:tblPr>
        <w:tblW w:w="10205" w:type="dxa"/>
        <w:jc w:val="left"/>
        <w:tblInd w:w="0" w:type="dxa"/>
        <w:tblLayout w:type="fixed"/>
        <w:tblCellMar>
          <w:top w:w="0" w:type="dxa"/>
          <w:left w:w="0" w:type="dxa"/>
          <w:bottom w:w="0" w:type="dxa"/>
          <w:right w:w="0" w:type="dxa"/>
        </w:tblCellMar>
      </w:tblPr>
      <w:tblGrid>
        <w:gridCol w:w="1636"/>
        <w:gridCol w:w="60"/>
        <w:gridCol w:w="89"/>
        <w:gridCol w:w="501"/>
        <w:gridCol w:w="60"/>
        <w:gridCol w:w="60"/>
        <w:gridCol w:w="125"/>
        <w:gridCol w:w="590"/>
        <w:gridCol w:w="60"/>
        <w:gridCol w:w="60"/>
        <w:gridCol w:w="60"/>
        <w:gridCol w:w="590"/>
        <w:gridCol w:w="60"/>
        <w:gridCol w:w="60"/>
        <w:gridCol w:w="225"/>
        <w:gridCol w:w="470"/>
        <w:gridCol w:w="60"/>
        <w:gridCol w:w="60"/>
        <w:gridCol w:w="135"/>
        <w:gridCol w:w="915"/>
        <w:gridCol w:w="80"/>
        <w:gridCol w:w="60"/>
        <w:gridCol w:w="137"/>
        <w:gridCol w:w="993"/>
        <w:gridCol w:w="80"/>
        <w:gridCol w:w="60"/>
        <w:gridCol w:w="373"/>
        <w:gridCol w:w="1186"/>
        <w:gridCol w:w="80"/>
        <w:gridCol w:w="60"/>
        <w:gridCol w:w="229"/>
        <w:gridCol w:w="893"/>
        <w:gridCol w:w="98"/>
      </w:tblGrid>
      <w:tr>
        <w:trPr/>
        <w:tc>
          <w:tcPr>
            <w:tcW w:w="16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0" w:name="xdx_4B6_us-gaap--StatementEquityComponen"/>
            <w:bookmarkEnd w:id="110"/>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1" w:name="xdx_4B4_us-gaap--StatementEquityComponen"/>
            <w:bookmarkEnd w:id="111"/>
          </w:p>
        </w:tc>
        <w:tc>
          <w:tcPr>
            <w:tcW w:w="10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2" w:name="xdx_4B3_us-gaap--StatementEquityComponen"/>
            <w:bookmarkEnd w:id="112"/>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3" w:name="xdx_4BB_us-gaap--StatementEquityComponen"/>
            <w:bookmarkEnd w:id="113"/>
          </w:p>
        </w:tc>
        <w:tc>
          <w:tcPr>
            <w:tcW w:w="15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4" w:name="xdx_4B3_zBVPPuTPdtd4"/>
            <w:bookmarkEnd w:id="114"/>
          </w:p>
        </w:tc>
        <w:tc>
          <w:tcPr>
            <w:tcW w:w="112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1"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8" w:type="dxa"/>
            <w:tcBorders/>
            <w:vAlign w:val="center"/>
          </w:tcPr>
          <w:p>
            <w:pPr>
              <w:pStyle w:val="TableContents"/>
              <w:bidi w:val="0"/>
              <w:spacing w:before="0" w:after="283"/>
              <w:jc w:val="left"/>
              <w:rPr>
                <w:caps w:val="false"/>
                <w:smallCaps w:val="false"/>
              </w:rPr>
            </w:pPr>
            <w:r>
              <w:rPr>
                <w:caps w:val="false"/>
                <w:smallCaps w:val="false"/>
              </w:rPr>
              <w:t> </w:t>
            </w:r>
            <w:bookmarkStart w:id="115" w:name="xdx_432_c20250401__20250630_eus-gaap--St"/>
            <w:bookmarkEnd w:id="115"/>
          </w:p>
        </w:tc>
      </w:tr>
      <w:tr>
        <w:trPr/>
        <w:tc>
          <w:tcPr>
            <w:tcW w:w="16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April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6" w:name="xdx_989_eus-gaap--TemporaryEquitySharesO"/>
            <w:bookmarkEnd w:id="116"/>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7" w:name="xdx_988_eus-gaap--TemporaryEquityCarryin"/>
            <w:bookmarkEnd w:id="117"/>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36,164</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8" w:name="xdx_986_eus-gaap--SharesOutstanding_iS_p"/>
            <w:bookmarkEnd w:id="118"/>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1,183,904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(1,179,626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9" w:name="xdx_40E_eus-gaap--AdjustmentsToAdditiona"/>
            <w:bookmarkEnd w:id="119"/>
          </w:p>
        </w:tc>
      </w:tr>
      <w:tr>
        <w:trPr/>
        <w:tc>
          <w:tcPr>
            <w:tcW w:w="1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0" w:name="xdx_407_eus-gaap--TemporaryEquityAccreti"/>
            <w:bookmarkEnd w:id="120"/>
          </w:p>
        </w:tc>
      </w:tr>
      <w:tr>
        <w:trPr/>
        <w:tc>
          <w:tcPr>
            <w:tcW w:w="1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Series A Convertible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1" w:name="xdx_983_eus-gaap--TemporaryEquityAccreti"/>
            <w:bookmarkEnd w:id="121"/>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2" w:name="xdx_403_eus-gaap--OtherComprehensiveInco"/>
            <w:bookmarkEnd w:id="122"/>
          </w:p>
        </w:tc>
      </w:tr>
      <w:tr>
        <w:trPr/>
        <w:tc>
          <w:tcPr>
            <w:tcW w:w="1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available for sale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3" w:name="xdx_404_eus-gaap--NetIncomeLoss_pn3n3_z9"/>
            <w:bookmarkEnd w:id="123"/>
          </w:p>
        </w:tc>
      </w:tr>
      <w:tr>
        <w:trPr/>
        <w:tc>
          <w:tcPr>
            <w:tcW w:w="1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4" w:name="xdx_431_c20250401__20250630_eus-gaap--St"/>
            <w:bookmarkEnd w:id="124"/>
          </w:p>
        </w:tc>
      </w:tr>
      <w:tr>
        <w:trPr/>
        <w:tc>
          <w:tcPr>
            <w:tcW w:w="16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5" w:name="xdx_987_eus-gaap--TemporaryEquitySharesO"/>
            <w:bookmarkEnd w:id="125"/>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6" w:name="xdx_98B_eus-gaap--TemporaryEquityCarryin"/>
            <w:bookmarkEnd w:id="126"/>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36,887</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7" w:name="xdx_98A_eus-gaap--SharesOutstanding_iE_p"/>
            <w:bookmarkEnd w:id="127"/>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1,183,289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(1,178,884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4"/>
        <w:gridCol w:w="60"/>
        <w:gridCol w:w="89"/>
        <w:gridCol w:w="501"/>
        <w:gridCol w:w="60"/>
        <w:gridCol w:w="60"/>
        <w:gridCol w:w="126"/>
        <w:gridCol w:w="597"/>
        <w:gridCol w:w="60"/>
        <w:gridCol w:w="60"/>
        <w:gridCol w:w="61"/>
        <w:gridCol w:w="600"/>
        <w:gridCol w:w="61"/>
        <w:gridCol w:w="61"/>
        <w:gridCol w:w="225"/>
        <w:gridCol w:w="470"/>
        <w:gridCol w:w="60"/>
        <w:gridCol w:w="60"/>
        <w:gridCol w:w="135"/>
        <w:gridCol w:w="915"/>
        <w:gridCol w:w="80"/>
        <w:gridCol w:w="60"/>
        <w:gridCol w:w="137"/>
        <w:gridCol w:w="993"/>
        <w:gridCol w:w="80"/>
        <w:gridCol w:w="60"/>
        <w:gridCol w:w="506"/>
        <w:gridCol w:w="1052"/>
        <w:gridCol w:w="60"/>
        <w:gridCol w:w="60"/>
        <w:gridCol w:w="229"/>
        <w:gridCol w:w="893"/>
        <w:gridCol w:w="100"/>
      </w:tblGrid>
      <w:tr>
        <w:trPr/>
        <w:tc>
          <w:tcPr>
            <w:tcW w:w="16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1"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2024</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00" w:type="dxa"/>
            <w:tcBorders/>
            <w:vAlign w:val="center"/>
          </w:tcPr>
          <w:p>
            <w:pPr>
              <w:pStyle w:val="TableContents"/>
              <w:bidi w:val="0"/>
              <w:spacing w:before="0" w:after="283"/>
              <w:jc w:val="left"/>
              <w:rPr>
                <w:caps w:val="false"/>
                <w:smallCaps w:val="false"/>
              </w:rPr>
            </w:pPr>
            <w:r>
              <w:rPr>
                <w:caps w:val="false"/>
                <w:smallCaps w:val="false"/>
              </w:rPr>
              <w:t> </w:t>
            </w:r>
            <w:bookmarkStart w:id="128" w:name="xdx_43D_c20240401__20240630_eus-gaap--St"/>
            <w:bookmarkEnd w:id="128"/>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April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 w:name="xdx_98E_eus-gaap--TemporaryEquitySharesO"/>
            <w:bookmarkEnd w:id="129"/>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0" w:name="xdx_982_eus-gaap--TemporaryEquityCarryin"/>
            <w:bookmarkEnd w:id="130"/>
          </w:p>
        </w:tc>
        <w:tc>
          <w:tcPr>
            <w:tcW w:w="5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33,410</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1" w:name="xdx_984_eus-gaap--SharesOutstanding_iS_p"/>
            <w:bookmarkEnd w:id="131"/>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1,186,438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(1,178,752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2" w:name="xdx_40E_eus-gaap--AdjustmentsToAdditiona"/>
            <w:bookmarkEnd w:id="132"/>
          </w:p>
        </w:tc>
      </w:tr>
      <w:tr>
        <w:trPr/>
        <w:tc>
          <w:tcPr>
            <w:tcW w:w="16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 w:name="xdx_407_eus-gaap--TemporaryEquityAccreti"/>
            <w:bookmarkEnd w:id="133"/>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Series A Convertible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4" w:name="xdx_98D_eus-gaap--TemporaryEquityAccreti"/>
            <w:bookmarkEnd w:id="134"/>
          </w:p>
        </w:tc>
        <w:tc>
          <w:tcPr>
            <w:tcW w:w="5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5" w:name="xdx_404_eus-gaap--NetIncomeLoss_pn3n3_zj"/>
            <w:bookmarkEnd w:id="135"/>
          </w:p>
        </w:tc>
      </w:tr>
      <w:tr>
        <w:trPr/>
        <w:tc>
          <w:tcPr>
            <w:tcW w:w="16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6" w:name="xdx_432_c20240401__20240630_eus-gaap--St"/>
            <w:bookmarkEnd w:id="136"/>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7" w:name="xdx_98F_eus-gaap--TemporaryEquitySharesO"/>
            <w:bookmarkEnd w:id="137"/>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8" w:name="xdx_98F_eus-gaap--TemporaryEquityCarryin"/>
            <w:bookmarkEnd w:id="138"/>
          </w:p>
        </w:tc>
        <w:tc>
          <w:tcPr>
            <w:tcW w:w="5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34,078</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9" w:name="xdx_981_eus-gaap--SharesOutstanding_iE_p"/>
            <w:bookmarkEnd w:id="139"/>
          </w:p>
        </w:tc>
        <w:tc>
          <w:tcPr>
            <w:tcW w:w="6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1,185,793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(1,177,274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2"/>
        <w:gridCol w:w="60"/>
        <w:gridCol w:w="89"/>
        <w:gridCol w:w="501"/>
        <w:gridCol w:w="60"/>
        <w:gridCol w:w="60"/>
        <w:gridCol w:w="126"/>
        <w:gridCol w:w="597"/>
        <w:gridCol w:w="60"/>
        <w:gridCol w:w="60"/>
        <w:gridCol w:w="61"/>
        <w:gridCol w:w="599"/>
        <w:gridCol w:w="61"/>
        <w:gridCol w:w="61"/>
        <w:gridCol w:w="225"/>
        <w:gridCol w:w="470"/>
        <w:gridCol w:w="60"/>
        <w:gridCol w:w="60"/>
        <w:gridCol w:w="135"/>
        <w:gridCol w:w="913"/>
        <w:gridCol w:w="80"/>
        <w:gridCol w:w="60"/>
        <w:gridCol w:w="137"/>
        <w:gridCol w:w="993"/>
        <w:gridCol w:w="80"/>
        <w:gridCol w:w="60"/>
        <w:gridCol w:w="373"/>
        <w:gridCol w:w="1179"/>
        <w:gridCol w:w="80"/>
        <w:gridCol w:w="60"/>
        <w:gridCol w:w="209"/>
        <w:gridCol w:w="913"/>
        <w:gridCol w:w="101"/>
      </w:tblGrid>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22"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0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right w:val="single" w:sz="8" w:space="0" w:color="000000"/>
            </w:tcBorders>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01" w:type="dxa"/>
            <w:tcBorders/>
            <w:vAlign w:val="center"/>
          </w:tcPr>
          <w:p>
            <w:pPr>
              <w:pStyle w:val="TableContents"/>
              <w:bidi w:val="0"/>
              <w:spacing w:before="0" w:after="283"/>
              <w:jc w:val="center"/>
              <w:rPr>
                <w:caps w:val="false"/>
                <w:smallCaps w:val="false"/>
              </w:rPr>
            </w:pPr>
            <w:r>
              <w:rPr>
                <w:caps w:val="false"/>
                <w:smallCaps w:val="false"/>
              </w:rPr>
              <w:t> </w:t>
            </w:r>
            <w:bookmarkStart w:id="140" w:name="xdx_435_c20250101__20250630_eus-gaap--St"/>
            <w:bookmarkEnd w:id="140"/>
          </w:p>
        </w:tc>
      </w:tr>
      <w:tr>
        <w:trPr/>
        <w:tc>
          <w:tcPr>
            <w:tcW w:w="16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1" w:name="xdx_984_eus-gaap--TemporaryEquitySharesO"/>
            <w:bookmarkEnd w:id="141"/>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2" w:name="xdx_98D_eus-gaap--TemporaryEquityCarryin"/>
            <w:bookmarkEnd w:id="142"/>
          </w:p>
        </w:tc>
        <w:tc>
          <w:tcPr>
            <w:tcW w:w="5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35,455</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3" w:name="xdx_986_eus-gaap--SharesOutstanding_iS_p"/>
            <w:bookmarkEnd w:id="143"/>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1,184,505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(1,178,415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4" w:name="xdx_40E_eus-gaap--AdjustmentsToAdditiona"/>
            <w:bookmarkEnd w:id="144"/>
          </w:p>
        </w:tc>
      </w:tr>
      <w:tr>
        <w:trPr/>
        <w:tc>
          <w:tcPr>
            <w:tcW w:w="1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5" w:name="xdx_407_eus-gaap--TemporaryEquityAccreti"/>
            <w:bookmarkEnd w:id="145"/>
          </w:p>
        </w:tc>
      </w:tr>
      <w:tr>
        <w:trPr/>
        <w:tc>
          <w:tcPr>
            <w:tcW w:w="1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Series A Convertible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6" w:name="xdx_983_eus-gaap--TemporaryEquityAccreti"/>
            <w:bookmarkEnd w:id="146"/>
          </w:p>
        </w:tc>
        <w:tc>
          <w:tcPr>
            <w:tcW w:w="5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w:t>
            </w:r>
          </w:p>
        </w:tc>
        <w:tc>
          <w:tcPr>
            <w:tcW w:w="1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7" w:name="xdx_403_eus-gaap--OtherComprehensiveInco"/>
            <w:bookmarkEnd w:id="147"/>
          </w:p>
        </w:tc>
      </w:tr>
      <w:tr>
        <w:trPr/>
        <w:tc>
          <w:tcPr>
            <w:tcW w:w="1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available for sale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8" w:name="xdx_404_eus-gaap--NetIncomeLoss_pn3n3_zo"/>
            <w:bookmarkEnd w:id="148"/>
          </w:p>
        </w:tc>
      </w:tr>
      <w:tr>
        <w:trPr/>
        <w:tc>
          <w:tcPr>
            <w:tcW w:w="1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9" w:name="xdx_438_c20250101__20250630_eus-gaap--St"/>
            <w:bookmarkEnd w:id="149"/>
          </w:p>
        </w:tc>
      </w:tr>
      <w:tr>
        <w:trPr/>
        <w:tc>
          <w:tcPr>
            <w:tcW w:w="162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0" w:name="xdx_989_eus-gaap--TemporaryEquitySharesO"/>
            <w:bookmarkEnd w:id="150"/>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1" w:name="xdx_980_eus-gaap--TemporaryEquityCarryin"/>
            <w:bookmarkEnd w:id="151"/>
          </w:p>
        </w:tc>
        <w:tc>
          <w:tcPr>
            <w:tcW w:w="5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36,887</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2" w:name="xdx_987_eus-gaap--SharesOutstanding_iE_p"/>
            <w:bookmarkEnd w:id="152"/>
          </w:p>
        </w:tc>
        <w:tc>
          <w:tcPr>
            <w:tcW w:w="5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1,183,289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(1,178,884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4"/>
        <w:gridCol w:w="60"/>
        <w:gridCol w:w="89"/>
        <w:gridCol w:w="501"/>
        <w:gridCol w:w="60"/>
        <w:gridCol w:w="60"/>
        <w:gridCol w:w="126"/>
        <w:gridCol w:w="597"/>
        <w:gridCol w:w="60"/>
        <w:gridCol w:w="60"/>
        <w:gridCol w:w="61"/>
        <w:gridCol w:w="600"/>
        <w:gridCol w:w="61"/>
        <w:gridCol w:w="61"/>
        <w:gridCol w:w="225"/>
        <w:gridCol w:w="470"/>
        <w:gridCol w:w="60"/>
        <w:gridCol w:w="60"/>
        <w:gridCol w:w="135"/>
        <w:gridCol w:w="915"/>
        <w:gridCol w:w="80"/>
        <w:gridCol w:w="60"/>
        <w:gridCol w:w="137"/>
        <w:gridCol w:w="993"/>
        <w:gridCol w:w="80"/>
        <w:gridCol w:w="60"/>
        <w:gridCol w:w="506"/>
        <w:gridCol w:w="1052"/>
        <w:gridCol w:w="60"/>
        <w:gridCol w:w="60"/>
        <w:gridCol w:w="195"/>
        <w:gridCol w:w="927"/>
        <w:gridCol w:w="100"/>
      </w:tblGrid>
      <w:tr>
        <w:trPr/>
        <w:tc>
          <w:tcPr>
            <w:tcW w:w="16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11"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2024</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right w:val="single" w:sz="8" w:space="0" w:color="000000"/>
            </w:tcBorders>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bookmarkStart w:id="153" w:name="xdx_43C_c20240101__20240630_eus-gaap--St"/>
            <w:bookmarkEnd w:id="153"/>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4" w:name="xdx_980_eus-gaap--TemporaryEquitySharesO"/>
            <w:bookmarkEnd w:id="154"/>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5" w:name="xdx_983_eus-gaap--TemporaryEquityCarryin"/>
            <w:bookmarkEnd w:id="155"/>
          </w:p>
        </w:tc>
        <w:tc>
          <w:tcPr>
            <w:tcW w:w="5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32,755</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6" w:name="xdx_982_eus-gaap--SharesOutstanding_iS_p"/>
            <w:bookmarkEnd w:id="156"/>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15,953</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(1,170,279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7" w:name="xdx_43A_c20240101__20240630_eus-gaap--St"/>
            <w:bookmarkEnd w:id="157"/>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 w:name="xdx_98B_eus-gaap--TemporaryEquitySharesO"/>
            <w:bookmarkEnd w:id="158"/>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9" w:name="xdx_98B_eus-gaap--TemporaryEquityCarryin"/>
            <w:bookmarkEnd w:id="159"/>
          </w:p>
        </w:tc>
        <w:tc>
          <w:tcPr>
            <w:tcW w:w="5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32,755</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0" w:name="xdx_989_eus-gaap--SharesOutstanding_iS_p"/>
            <w:bookmarkEnd w:id="160"/>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15,953</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(1,170,279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1" w:name="xdx_402_eus-gaap--StockIssuedDuringPerio"/>
            <w:bookmarkEnd w:id="161"/>
          </w:p>
        </w:tc>
      </w:tr>
      <w:tr>
        <w:trPr/>
        <w:tc>
          <w:tcPr>
            <w:tcW w:w="16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vesting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2" w:name="xdx_980_eus-gaap--StockIssuedDuringPerio"/>
            <w:bookmarkEnd w:id="162"/>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63" w:name="xdx_40E_eus-gaap--AdjustmentsToAdditiona"/>
            <w:bookmarkEnd w:id="163"/>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4" w:name="xdx_407_eus-gaap--TemporaryEquityAccreti"/>
            <w:bookmarkEnd w:id="164"/>
          </w:p>
        </w:tc>
      </w:tr>
      <w:tr>
        <w:trPr/>
        <w:tc>
          <w:tcPr>
            <w:tcW w:w="16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Series A Convertible 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5" w:name="xdx_989_eus-gaap--TemporaryEquityAccreti"/>
            <w:bookmarkEnd w:id="165"/>
          </w:p>
        </w:tc>
        <w:tc>
          <w:tcPr>
            <w:tcW w:w="5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66" w:name="xdx_404_eus-gaap--NetIncomeLoss_pn3n3_zY"/>
            <w:bookmarkEnd w:id="166"/>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67" w:name="xdx_409_eus-gaap--NetIncomeLoss_pn3n3_zA"/>
            <w:bookmarkEnd w:id="167"/>
          </w:p>
        </w:tc>
      </w:tr>
      <w:tr>
        <w:trPr/>
        <w:tc>
          <w:tcPr>
            <w:tcW w:w="16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68" w:name="xdx_436_c20240101__20240630_eus-gaap--St"/>
            <w:bookmarkEnd w:id="168"/>
          </w:p>
        </w:tc>
      </w:tr>
      <w:tr>
        <w:trPr/>
        <w:tc>
          <w:tcPr>
            <w:tcW w:w="16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69" w:name="xdx_98B_eus-gaap--TemporaryEquitySharesO"/>
            <w:bookmarkEnd w:id="169"/>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70" w:name="xdx_984_eus-gaap--TemporaryEquityCarryin"/>
            <w:bookmarkEnd w:id="170"/>
          </w:p>
        </w:tc>
        <w:tc>
          <w:tcPr>
            <w:tcW w:w="5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34,078</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71" w:name="xdx_98C_eus-gaap--SharesOutstanding_iE_p"/>
            <w:bookmarkEnd w:id="171"/>
          </w:p>
        </w:tc>
        <w:tc>
          <w:tcPr>
            <w:tcW w:w="6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(1,177,274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2" w:name="xdx_43A_c20240101__20240630_eus-gaap--St"/>
            <w:bookmarkEnd w:id="172"/>
          </w:p>
        </w:tc>
      </w:tr>
      <w:tr>
        <w:trPr/>
        <w:tc>
          <w:tcPr>
            <w:tcW w:w="16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73" w:name="xdx_98A_eus-gaap--TemporaryEquitySharesO"/>
            <w:bookmarkEnd w:id="173"/>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74" w:name="xdx_981_eus-gaap--TemporaryEquityCarryin"/>
            <w:bookmarkEnd w:id="174"/>
          </w:p>
        </w:tc>
        <w:tc>
          <w:tcPr>
            <w:tcW w:w="5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34,078</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75" w:name="xdx_98E_eus-gaap--SharesOutstanding_iE_p"/>
            <w:bookmarkEnd w:id="175"/>
          </w:p>
        </w:tc>
        <w:tc>
          <w:tcPr>
            <w:tcW w:w="6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(1,177,274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176" w:name="a_006"/>
      <w:bookmarkEnd w:id="176"/>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7" w:name="xdx_30D_112_pn3n3_zNNcyPp2Ukl"/>
      <w:bookmarkStart w:id="178" w:name="xdx_30D_112_pn3n3_zNNcyPp2Ukl"/>
      <w:bookmarkEnd w:id="178"/>
    </w:p>
    <w:tbl>
      <w:tblPr>
        <w:tblW w:w="10205" w:type="dxa"/>
        <w:jc w:val="left"/>
        <w:tblInd w:w="0" w:type="dxa"/>
        <w:tblLayout w:type="fixed"/>
        <w:tblCellMar>
          <w:top w:w="0" w:type="dxa"/>
          <w:left w:w="0" w:type="dxa"/>
          <w:bottom w:w="0" w:type="dxa"/>
          <w:right w:w="0" w:type="dxa"/>
        </w:tblCellMar>
      </w:tblPr>
      <w:tblGrid>
        <w:gridCol w:w="5256"/>
        <w:gridCol w:w="60"/>
        <w:gridCol w:w="361"/>
        <w:gridCol w:w="1950"/>
        <w:gridCol w:w="95"/>
        <w:gridCol w:w="60"/>
        <w:gridCol w:w="361"/>
        <w:gridCol w:w="1950"/>
        <w:gridCol w:w="112"/>
      </w:tblGrid>
      <w:tr>
        <w:trPr/>
        <w:tc>
          <w:tcPr>
            <w:tcW w:w="5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9" w:name="xdx_49F_20250101__20250630_zNJsoJI4Nu7e"/>
            <w:bookmarkEnd w:id="179"/>
          </w:p>
        </w:tc>
        <w:tc>
          <w:tcPr>
            <w:tcW w:w="23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 w:name="xdx_49D_20240101__20240630_zN0jIZlgeIBc"/>
            <w:bookmarkEnd w:id="180"/>
          </w:p>
        </w:tc>
        <w:tc>
          <w:tcPr>
            <w:tcW w:w="23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2024</w:t>
            </w:r>
          </w:p>
        </w:tc>
        <w:tc>
          <w:tcPr>
            <w:tcW w:w="112" w:type="dxa"/>
            <w:tcBorders/>
            <w:vAlign w:val="center"/>
          </w:tcPr>
          <w:p>
            <w:pPr>
              <w:pStyle w:val="TableContents"/>
              <w:bidi w:val="0"/>
              <w:spacing w:before="0" w:after="283"/>
              <w:jc w:val="left"/>
              <w:rPr/>
            </w:pPr>
            <w:r>
              <w:rPr/>
              <w:t> </w:t>
            </w:r>
            <w:bookmarkStart w:id="181" w:name="xdx_402_eus-gaap--NetCashProvidedByUsedI"/>
            <w:bookmarkEnd w:id="181"/>
          </w:p>
        </w:tc>
      </w:tr>
      <w:tr>
        <w:trPr/>
        <w:tc>
          <w:tcPr>
            <w:tcW w:w="5256"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2" w:name="xdx_40A_eus-gaap--NetIncomeLoss_i01_maNC"/>
            <w:bookmarkEnd w:id="182"/>
          </w:p>
        </w:tc>
      </w:tr>
      <w:tr>
        <w:trPr/>
        <w:tc>
          <w:tcPr>
            <w:tcW w:w="525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950" w:type="dxa"/>
            <w:tcBorders/>
            <w:shd w:fill="FFFFFF" w:val="clear"/>
            <w:vAlign w:val="center"/>
          </w:tcPr>
          <w:p>
            <w:pPr>
              <w:pStyle w:val="TableContents"/>
              <w:bidi w:val="0"/>
              <w:spacing w:before="0" w:after="283"/>
              <w:jc w:val="right"/>
              <w:rPr/>
            </w:pPr>
            <w:r>
              <w:rPr/>
              <w:t>(469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950" w:type="dxa"/>
            <w:tcBorders/>
            <w:shd w:fill="FFFFFF" w:val="clear"/>
            <w:vAlign w:val="center"/>
          </w:tcPr>
          <w:p>
            <w:pPr>
              <w:pStyle w:val="TableContents"/>
              <w:bidi w:val="0"/>
              <w:spacing w:before="0" w:after="283"/>
              <w:jc w:val="right"/>
              <w:rPr/>
            </w:pPr>
            <w:r>
              <w:rPr/>
              <w:t>(6,995</w:t>
            </w:r>
          </w:p>
        </w:tc>
        <w:tc>
          <w:tcPr>
            <w:tcW w:w="112" w:type="dxa"/>
            <w:tcBorders/>
            <w:shd w:fill="FFFFFF" w:val="clear"/>
            <w:vAlign w:val="center"/>
          </w:tcPr>
          <w:p>
            <w:pPr>
              <w:pStyle w:val="TableContents"/>
              <w:bidi w:val="0"/>
              <w:spacing w:before="0" w:after="283"/>
              <w:jc w:val="left"/>
              <w:rPr/>
            </w:pPr>
            <w:r>
              <w:rPr/>
              <w:t>)</w:t>
            </w:r>
            <w:bookmarkStart w:id="183" w:name="xdx_400_eus-gaap--AdjustmentsToReconcile"/>
            <w:bookmarkEnd w:id="183"/>
          </w:p>
        </w:tc>
      </w:tr>
      <w:tr>
        <w:trPr/>
        <w:tc>
          <w:tcPr>
            <w:tcW w:w="5256"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4" w:name="xdx_403_eus-gaap--ShareBasedCompensation"/>
            <w:bookmarkEnd w:id="184"/>
          </w:p>
        </w:tc>
      </w:tr>
      <w:tr>
        <w:trPr/>
        <w:tc>
          <w:tcPr>
            <w:tcW w:w="5256"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3,418</w:t>
            </w:r>
          </w:p>
        </w:tc>
        <w:tc>
          <w:tcPr>
            <w:tcW w:w="112" w:type="dxa"/>
            <w:tcBorders/>
            <w:shd w:fill="FFFFFF" w:val="clear"/>
            <w:vAlign w:val="center"/>
          </w:tcPr>
          <w:p>
            <w:pPr>
              <w:pStyle w:val="TableContents"/>
              <w:bidi w:val="0"/>
              <w:spacing w:before="0" w:after="283"/>
              <w:jc w:val="left"/>
              <w:rPr/>
            </w:pPr>
            <w:r>
              <w:rPr/>
              <w:t> </w:t>
            </w:r>
            <w:bookmarkStart w:id="185" w:name="xdx_40C_ecustom--AccretionOfInvestmentIn"/>
            <w:bookmarkEnd w:id="185"/>
          </w:p>
        </w:tc>
      </w:tr>
      <w:tr>
        <w:trPr/>
        <w:tc>
          <w:tcPr>
            <w:tcW w:w="5256" w:type="dxa"/>
            <w:tcBorders/>
            <w:shd w:fill="CCEEFF" w:val="clear"/>
            <w:vAlign w:val="center"/>
          </w:tcPr>
          <w:p>
            <w:pPr>
              <w:pStyle w:val="TableContents"/>
              <w:bidi w:val="0"/>
              <w:spacing w:before="0" w:after="283"/>
              <w:jc w:val="left"/>
              <w:rPr/>
            </w:pPr>
            <w:r>
              <w:rPr/>
              <w:t>Accretion of investment income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(104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86" w:name="xdx_402_eus-gaap--DebtSecuritiesAvailabl"/>
            <w:bookmarkEnd w:id="186"/>
          </w:p>
        </w:tc>
      </w:tr>
      <w:tr>
        <w:trPr/>
        <w:tc>
          <w:tcPr>
            <w:tcW w:w="5256" w:type="dxa"/>
            <w:tcBorders/>
            <w:shd w:fill="FFFFFF" w:val="clear"/>
            <w:vAlign w:val="center"/>
          </w:tcPr>
          <w:p>
            <w:pPr>
              <w:pStyle w:val="TableContents"/>
              <w:bidi w:val="0"/>
              <w:spacing w:before="0" w:after="283"/>
              <w:jc w:val="left"/>
              <w:rPr/>
            </w:pPr>
            <w:r>
              <w:rPr/>
              <w:t>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(925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7" w:name="xdx_402_eus-gaap--IncreaseDecreaseInOper"/>
            <w:bookmarkEnd w:id="187"/>
          </w:p>
        </w:tc>
      </w:tr>
      <w:tr>
        <w:trPr/>
        <w:tc>
          <w:tcPr>
            <w:tcW w:w="5256"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8" w:name="xdx_404_eus-gaap--IncreaseDecreaseInPrep"/>
            <w:bookmarkEnd w:id="188"/>
          </w:p>
        </w:tc>
      </w:tr>
      <w:tr>
        <w:trPr/>
        <w:tc>
          <w:tcPr>
            <w:tcW w:w="5256" w:type="dxa"/>
            <w:tcBorders/>
            <w:shd w:fill="FFFFFF" w:val="clear"/>
            <w:vAlign w:val="center"/>
          </w:tcPr>
          <w:p>
            <w:pPr>
              <w:pStyle w:val="TableContents"/>
              <w:bidi w:val="0"/>
              <w:spacing w:before="0" w:after="283"/>
              <w:jc w:val="left"/>
              <w:rPr/>
            </w:pPr>
            <w:r>
              <w:rPr/>
              <w:t>Prepaid insurance and other assets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3,612</w:t>
            </w:r>
          </w:p>
        </w:tc>
        <w:tc>
          <w:tcPr>
            <w:tcW w:w="112" w:type="dxa"/>
            <w:tcBorders/>
            <w:shd w:fill="FFFFFF" w:val="clear"/>
            <w:vAlign w:val="center"/>
          </w:tcPr>
          <w:p>
            <w:pPr>
              <w:pStyle w:val="TableContents"/>
              <w:bidi w:val="0"/>
              <w:spacing w:before="0" w:after="283"/>
              <w:jc w:val="left"/>
              <w:rPr/>
            </w:pPr>
            <w:r>
              <w:rPr/>
              <w:t> </w:t>
            </w:r>
            <w:bookmarkStart w:id="189" w:name="xdx_404_eus-gaap--IncreaseDecreaseInAcco"/>
            <w:bookmarkEnd w:id="189"/>
          </w:p>
        </w:tc>
      </w:tr>
      <w:tr>
        <w:trPr/>
        <w:tc>
          <w:tcPr>
            <w:tcW w:w="525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(600</w:t>
            </w:r>
          </w:p>
        </w:tc>
        <w:tc>
          <w:tcPr>
            <w:tcW w:w="112" w:type="dxa"/>
            <w:tcBorders/>
            <w:shd w:fill="CCEEFF" w:val="clear"/>
            <w:vAlign w:val="center"/>
          </w:tcPr>
          <w:p>
            <w:pPr>
              <w:pStyle w:val="TableContents"/>
              <w:bidi w:val="0"/>
              <w:spacing w:before="0" w:after="283"/>
              <w:jc w:val="left"/>
              <w:rPr/>
            </w:pPr>
            <w:r>
              <w:rPr/>
              <w:t>)</w:t>
            </w:r>
            <w:bookmarkStart w:id="190" w:name="xdx_406_ecustom--IncreaseDecreaseAccrued"/>
            <w:bookmarkEnd w:id="190"/>
          </w:p>
        </w:tc>
      </w:tr>
      <w:tr>
        <w:trPr/>
        <w:tc>
          <w:tcPr>
            <w:tcW w:w="5256" w:type="dxa"/>
            <w:tcBorders/>
            <w:shd w:fill="FFFFFF" w:val="clear"/>
            <w:vAlign w:val="center"/>
          </w:tcPr>
          <w:p>
            <w:pPr>
              <w:pStyle w:val="TableContents"/>
              <w:bidi w:val="0"/>
              <w:spacing w:before="0" w:after="283"/>
              <w:jc w:val="left"/>
              <w:rPr/>
            </w:pPr>
            <w:r>
              <w:rPr/>
              <w:t>Accrued legal and professional</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(167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(11,704</w:t>
            </w:r>
          </w:p>
        </w:tc>
        <w:tc>
          <w:tcPr>
            <w:tcW w:w="112" w:type="dxa"/>
            <w:tcBorders/>
            <w:shd w:fill="FFFFFF" w:val="clear"/>
            <w:vAlign w:val="center"/>
          </w:tcPr>
          <w:p>
            <w:pPr>
              <w:pStyle w:val="TableContents"/>
              <w:bidi w:val="0"/>
              <w:spacing w:before="0" w:after="283"/>
              <w:jc w:val="left"/>
              <w:rPr/>
            </w:pPr>
            <w:r>
              <w:rPr/>
              <w:t>)</w:t>
            </w:r>
            <w:bookmarkStart w:id="191" w:name="xdx_40D_ecustom--IncreaseDecreaseInAccru"/>
            <w:bookmarkEnd w:id="191"/>
          </w:p>
        </w:tc>
      </w:tr>
      <w:tr>
        <w:trPr/>
        <w:tc>
          <w:tcPr>
            <w:tcW w:w="5256" w:type="dxa"/>
            <w:tcBorders/>
            <w:shd w:fill="CCEEFF" w:val="clear"/>
            <w:vAlign w:val="center"/>
          </w:tcPr>
          <w:p>
            <w:pPr>
              <w:pStyle w:val="TableContents"/>
              <w:bidi w:val="0"/>
              <w:spacing w:before="0" w:after="283"/>
              <w:jc w:val="left"/>
              <w:rPr/>
            </w:pPr>
            <w:r>
              <w:rPr/>
              <w:t>Accrued expenses and other current liabilities and liabilities subject to compromise</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(2,382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(12,469</w:t>
            </w:r>
          </w:p>
        </w:tc>
        <w:tc>
          <w:tcPr>
            <w:tcW w:w="112" w:type="dxa"/>
            <w:tcBorders/>
            <w:shd w:fill="CCEEFF" w:val="clear"/>
            <w:vAlign w:val="center"/>
          </w:tcPr>
          <w:p>
            <w:pPr>
              <w:pStyle w:val="TableContents"/>
              <w:bidi w:val="0"/>
              <w:spacing w:before="0" w:after="283"/>
              <w:jc w:val="left"/>
              <w:rPr/>
            </w:pPr>
            <w:r>
              <w:rPr/>
              <w:t>)</w:t>
            </w:r>
            <w:bookmarkStart w:id="192" w:name="xdx_40F_eus-gaap--NetCashProvidedByUsedI"/>
            <w:bookmarkEnd w:id="192"/>
          </w:p>
        </w:tc>
      </w:tr>
      <w:tr>
        <w:trPr/>
        <w:tc>
          <w:tcPr>
            <w:tcW w:w="5256"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950" w:type="dxa"/>
            <w:tcBorders>
              <w:bottom w:val="single" w:sz="8" w:space="0" w:color="000000"/>
            </w:tcBorders>
            <w:shd w:fill="FFFFFF" w:val="clear"/>
            <w:tcMar>
              <w:bottom w:w="28" w:type="dxa"/>
            </w:tcMar>
            <w:vAlign w:val="center"/>
          </w:tcPr>
          <w:p>
            <w:pPr>
              <w:pStyle w:val="TableContents"/>
              <w:bidi w:val="0"/>
              <w:spacing w:before="0" w:after="283"/>
              <w:jc w:val="right"/>
              <w:rPr/>
            </w:pPr>
            <w:r>
              <w:rPr/>
              <w:t>(3,980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950" w:type="dxa"/>
            <w:tcBorders>
              <w:bottom w:val="single" w:sz="8" w:space="0" w:color="000000"/>
            </w:tcBorders>
            <w:shd w:fill="FFFFFF" w:val="clear"/>
            <w:tcMar>
              <w:bottom w:w="28" w:type="dxa"/>
            </w:tcMar>
            <w:vAlign w:val="center"/>
          </w:tcPr>
          <w:p>
            <w:pPr>
              <w:pStyle w:val="TableContents"/>
              <w:bidi w:val="0"/>
              <w:spacing w:before="0" w:after="283"/>
              <w:jc w:val="right"/>
              <w:rPr/>
            </w:pPr>
            <w:r>
              <w:rPr/>
              <w:t>(24,738</w:t>
            </w:r>
          </w:p>
        </w:tc>
        <w:tc>
          <w:tcPr>
            <w:tcW w:w="112" w:type="dxa"/>
            <w:tcBorders/>
            <w:shd w:fill="FFFFFF" w:val="clear"/>
            <w:vAlign w:val="center"/>
          </w:tcPr>
          <w:p>
            <w:pPr>
              <w:pStyle w:val="TableContents"/>
              <w:bidi w:val="0"/>
              <w:spacing w:before="0" w:after="283"/>
              <w:jc w:val="left"/>
              <w:rPr/>
            </w:pPr>
            <w:r>
              <w:rPr/>
              <w:t>)</w:t>
            </w:r>
          </w:p>
        </w:tc>
      </w:tr>
      <w:tr>
        <w:trPr/>
        <w:tc>
          <w:tcPr>
            <w:tcW w:w="5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3" w:name="xdx_409_eus-gaap--NetCashProvidedByUsedI"/>
            <w:bookmarkEnd w:id="193"/>
          </w:p>
        </w:tc>
      </w:tr>
      <w:tr>
        <w:trPr/>
        <w:tc>
          <w:tcPr>
            <w:tcW w:w="525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94" w:name="xdx_40C_eus-gaap--PaymentsToAcquireShort"/>
            <w:bookmarkEnd w:id="194"/>
          </w:p>
        </w:tc>
      </w:tr>
      <w:tr>
        <w:trPr/>
        <w:tc>
          <w:tcPr>
            <w:tcW w:w="5256" w:type="dxa"/>
            <w:tcBorders/>
            <w:shd w:fill="CCEEFF" w:val="clear"/>
            <w:vAlign w:val="center"/>
          </w:tcPr>
          <w:p>
            <w:pPr>
              <w:pStyle w:val="TableContents"/>
              <w:bidi w:val="0"/>
              <w:spacing w:before="0" w:after="283"/>
              <w:jc w:val="left"/>
              <w:rPr/>
            </w:pPr>
            <w:r>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(19,589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95" w:name="xdx_406_eus-gaap--ProceedsFromMaturities"/>
            <w:bookmarkEnd w:id="195"/>
          </w:p>
        </w:tc>
      </w:tr>
      <w:tr>
        <w:trPr/>
        <w:tc>
          <w:tcPr>
            <w:tcW w:w="5256" w:type="dxa"/>
            <w:tcBorders/>
            <w:shd w:fill="FFFFFF" w:val="clear"/>
            <w:vAlign w:val="center"/>
          </w:tcPr>
          <w:p>
            <w:pPr>
              <w:pStyle w:val="TableContents"/>
              <w:bidi w:val="0"/>
              <w:spacing w:before="0" w:after="283"/>
              <w:jc w:val="left"/>
              <w:rPr/>
            </w:pPr>
            <w:r>
              <w:rPr/>
              <w:t>Maturities of short-term investments</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FFFFFF" w:val="clear"/>
            <w:tcMar>
              <w:bottom w:w="28" w:type="dxa"/>
            </w:tcMar>
            <w:vAlign w:val="center"/>
          </w:tcPr>
          <w:p>
            <w:pPr>
              <w:pStyle w:val="TableContents"/>
              <w:bidi w:val="0"/>
              <w:spacing w:before="0" w:after="283"/>
              <w:jc w:val="right"/>
              <w:rPr/>
            </w:pPr>
            <w:r>
              <w:rPr/>
              <w:t>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96" w:name="xdx_40C_eus-gaap--NetCashProvidedByUsedI"/>
            <w:bookmarkEnd w:id="196"/>
          </w:p>
        </w:tc>
      </w:tr>
      <w:tr>
        <w:trPr/>
        <w:tc>
          <w:tcPr>
            <w:tcW w:w="5256" w:type="dxa"/>
            <w:tcBorders/>
            <w:shd w:fill="CCEEFF" w:val="clear"/>
            <w:vAlign w:val="center"/>
          </w:tcPr>
          <w:p>
            <w:pPr>
              <w:pStyle w:val="TableContents"/>
              <w:bidi w:val="0"/>
              <w:spacing w:before="0" w:after="283"/>
              <w:jc w:val="left"/>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10,411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5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97" w:name="xdx_402_eus-gaap--NetCashProvidedByUsedI"/>
            <w:bookmarkEnd w:id="197"/>
          </w:p>
        </w:tc>
      </w:tr>
      <w:tr>
        <w:trPr/>
        <w:tc>
          <w:tcPr>
            <w:tcW w:w="5256"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8" w:name="xdx_408_eus-gaap--PaymentsRelatedToTaxWi"/>
            <w:bookmarkEnd w:id="198"/>
          </w:p>
        </w:tc>
      </w:tr>
      <w:tr>
        <w:trPr/>
        <w:tc>
          <w:tcPr>
            <w:tcW w:w="5256" w:type="dxa"/>
            <w:tcBorders/>
            <w:shd w:fill="FFFFFF" w:val="clear"/>
            <w:vAlign w:val="center"/>
          </w:tcPr>
          <w:p>
            <w:pPr>
              <w:pStyle w:val="TableContents"/>
              <w:bidi w:val="0"/>
              <w:spacing w:before="0" w:after="283"/>
              <w:jc w:val="left"/>
              <w:rPr/>
            </w:pPr>
            <w:r>
              <w:rPr/>
              <w:t>Tax withholding payments related to net settled restricted stock compensation</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112" w:type="dxa"/>
            <w:tcBorders/>
            <w:shd w:fill="FFFFFF" w:val="clear"/>
            <w:vAlign w:val="center"/>
          </w:tcPr>
          <w:p>
            <w:pPr>
              <w:pStyle w:val="TableContents"/>
              <w:bidi w:val="0"/>
              <w:spacing w:before="0" w:after="283"/>
              <w:jc w:val="left"/>
              <w:rPr/>
            </w:pPr>
            <w:r>
              <w:rPr/>
              <w:t>)</w:t>
            </w:r>
            <w:bookmarkStart w:id="199" w:name="xdx_400_eus-gaap--NetCashProvidedByUsedI"/>
            <w:bookmarkEnd w:id="199"/>
          </w:p>
        </w:tc>
      </w:tr>
      <w:tr>
        <w:trPr/>
        <w:tc>
          <w:tcPr>
            <w:tcW w:w="5256"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(106</w:t>
            </w:r>
          </w:p>
        </w:tc>
        <w:tc>
          <w:tcPr>
            <w:tcW w:w="112" w:type="dxa"/>
            <w:tcBorders/>
            <w:shd w:fill="CCEEFF" w:val="clear"/>
            <w:vAlign w:val="center"/>
          </w:tcPr>
          <w:p>
            <w:pPr>
              <w:pStyle w:val="TableContents"/>
              <w:bidi w:val="0"/>
              <w:spacing w:before="0" w:after="283"/>
              <w:jc w:val="left"/>
              <w:rPr/>
            </w:pPr>
            <w:r>
              <w:rPr/>
              <w:t>)</w:t>
            </w:r>
          </w:p>
        </w:tc>
      </w:tr>
      <w:tr>
        <w:trPr/>
        <w:tc>
          <w:tcPr>
            <w:tcW w:w="5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0" w:name="xdx_407_eus-gaap--EffectOfExchangeRateOn"/>
            <w:bookmarkEnd w:id="200"/>
          </w:p>
        </w:tc>
      </w:tr>
      <w:tr>
        <w:trPr/>
        <w:tc>
          <w:tcPr>
            <w:tcW w:w="5256" w:type="dxa"/>
            <w:tcBorders/>
            <w:shd w:fill="CCEEFF" w:val="clear"/>
            <w:vAlign w:val="center"/>
          </w:tcPr>
          <w:p>
            <w:pPr>
              <w:pStyle w:val="TableContents"/>
              <w:bidi w:val="0"/>
              <w:spacing w:before="0" w:after="283"/>
              <w:jc w:val="left"/>
              <w:rPr/>
            </w:pPr>
            <w:r>
              <w:rPr/>
              <w:t>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1" w:name="xdx_405_eus-gaap--CashCashEquivalentsRes"/>
            <w:bookmarkEnd w:id="201"/>
          </w:p>
        </w:tc>
      </w:tr>
      <w:tr>
        <w:trPr/>
        <w:tc>
          <w:tcPr>
            <w:tcW w:w="5256" w:type="dxa"/>
            <w:tcBorders/>
            <w:shd w:fill="FFFFFF" w:val="clear"/>
            <w:vAlign w:val="center"/>
          </w:tcPr>
          <w:p>
            <w:pPr>
              <w:pStyle w:val="TableContents"/>
              <w:bidi w:val="0"/>
              <w:spacing w:before="0" w:after="283"/>
              <w:jc w:val="left"/>
              <w:rPr/>
            </w:pPr>
            <w:r>
              <w:rPr/>
              <w:t>Net change during the period</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6,431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(24,844</w:t>
            </w:r>
          </w:p>
        </w:tc>
        <w:tc>
          <w:tcPr>
            <w:tcW w:w="112" w:type="dxa"/>
            <w:tcBorders/>
            <w:shd w:fill="FFFFFF" w:val="clear"/>
            <w:vAlign w:val="center"/>
          </w:tcPr>
          <w:p>
            <w:pPr>
              <w:pStyle w:val="TableContents"/>
              <w:bidi w:val="0"/>
              <w:spacing w:before="0" w:after="283"/>
              <w:jc w:val="left"/>
              <w:rPr/>
            </w:pPr>
            <w:r>
              <w:rPr/>
              <w:t>)</w:t>
            </w:r>
            <w:bookmarkStart w:id="202" w:name="xdx_402_eus-gaap--CashCashEquivalentsRes"/>
            <w:bookmarkEnd w:id="202"/>
          </w:p>
        </w:tc>
      </w:tr>
      <w:tr>
        <w:trPr/>
        <w:tc>
          <w:tcPr>
            <w:tcW w:w="5256"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23,095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pPr>
            <w:r>
              <w:rPr/>
              <w:t>87,096</w:t>
            </w:r>
          </w:p>
        </w:tc>
        <w:tc>
          <w:tcPr>
            <w:tcW w:w="112" w:type="dxa"/>
            <w:tcBorders/>
            <w:shd w:fill="CCEEFF" w:val="clear"/>
            <w:vAlign w:val="center"/>
          </w:tcPr>
          <w:p>
            <w:pPr>
              <w:pStyle w:val="TableContents"/>
              <w:bidi w:val="0"/>
              <w:spacing w:before="0" w:after="283"/>
              <w:jc w:val="left"/>
              <w:rPr/>
            </w:pPr>
            <w:r>
              <w:rPr/>
              <w:t> </w:t>
            </w:r>
            <w:bookmarkStart w:id="203" w:name="xdx_400_eus-gaap--CashCashEquivalentsRes"/>
            <w:bookmarkEnd w:id="203"/>
          </w:p>
        </w:tc>
      </w:tr>
      <w:tr>
        <w:trPr/>
        <w:tc>
          <w:tcPr>
            <w:tcW w:w="5256"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50" w:type="dxa"/>
            <w:tcBorders>
              <w:bottom w:val="double" w:sz="6" w:space="0" w:color="000000"/>
            </w:tcBorders>
            <w:shd w:fill="FFFFFF" w:val="clear"/>
            <w:tcMar>
              <w:bottom w:w="28" w:type="dxa"/>
            </w:tcMar>
            <w:vAlign w:val="center"/>
          </w:tcPr>
          <w:p>
            <w:pPr>
              <w:pStyle w:val="TableContents"/>
              <w:bidi w:val="0"/>
              <w:spacing w:before="0" w:after="283"/>
              <w:jc w:val="right"/>
              <w:rPr/>
            </w:pPr>
            <w:r>
              <w:rPr/>
              <w:t>29,526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50" w:type="dxa"/>
            <w:tcBorders>
              <w:bottom w:val="double" w:sz="6" w:space="0" w:color="000000"/>
            </w:tcBorders>
            <w:shd w:fill="FFFFFF" w:val="clear"/>
            <w:tcMar>
              <w:bottom w:w="28" w:type="dxa"/>
            </w:tcMar>
            <w:vAlign w:val="center"/>
          </w:tcPr>
          <w:p>
            <w:pPr>
              <w:pStyle w:val="TableContents"/>
              <w:bidi w:val="0"/>
              <w:spacing w:before="0" w:after="283"/>
              <w:jc w:val="right"/>
              <w:rPr/>
            </w:pPr>
            <w:r>
              <w:rPr/>
              <w:t>62,252</w:t>
            </w:r>
          </w:p>
        </w:tc>
        <w:tc>
          <w:tcPr>
            <w:tcW w:w="112" w:type="dxa"/>
            <w:tcBorders/>
            <w:shd w:fill="FFFFFF" w:val="clear"/>
            <w:vAlign w:val="center"/>
          </w:tcPr>
          <w:p>
            <w:pPr>
              <w:pStyle w:val="TableContents"/>
              <w:bidi w:val="0"/>
              <w:spacing w:before="0" w:after="283"/>
              <w:jc w:val="left"/>
              <w:rPr/>
            </w:pPr>
            <w:r>
              <w:rPr/>
              <w:t> </w:t>
            </w:r>
          </w:p>
        </w:tc>
      </w:tr>
      <w:tr>
        <w:trPr/>
        <w:tc>
          <w:tcPr>
            <w:tcW w:w="5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4" w:name="xdx_40B_eus-gaap--SupplementalCashFlowIn"/>
            <w:bookmarkEnd w:id="204"/>
          </w:p>
        </w:tc>
      </w:tr>
      <w:tr>
        <w:trPr/>
        <w:tc>
          <w:tcPr>
            <w:tcW w:w="5256"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5" w:name="xdx_409_ecustom--PaymentForDebtorReorgan"/>
            <w:bookmarkEnd w:id="205"/>
          </w:p>
        </w:tc>
      </w:tr>
      <w:tr>
        <w:trPr/>
        <w:tc>
          <w:tcPr>
            <w:tcW w:w="5256" w:type="dxa"/>
            <w:tcBorders/>
            <w:shd w:fill="CCEEFF" w:val="clear"/>
            <w:vAlign w:val="center"/>
          </w:tcPr>
          <w:p>
            <w:pPr>
              <w:pStyle w:val="TableContents"/>
              <w:bidi w:val="0"/>
              <w:spacing w:before="0" w:after="283"/>
              <w:jc w:val="left"/>
              <w:rPr/>
            </w:pPr>
            <w:r>
              <w:rPr/>
              <w:t>Cash paid for reorganization items</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5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50" w:type="dxa"/>
            <w:tcBorders>
              <w:bottom w:val="double" w:sz="6" w:space="0" w:color="000000"/>
            </w:tcBorders>
            <w:shd w:fill="CCEEFF" w:val="clear"/>
            <w:tcMar>
              <w:bottom w:w="28" w:type="dxa"/>
            </w:tcMar>
            <w:vAlign w:val="center"/>
          </w:tcPr>
          <w:p>
            <w:pPr>
              <w:pStyle w:val="TableContents"/>
              <w:bidi w:val="0"/>
              <w:spacing w:before="0" w:after="283"/>
              <w:jc w:val="right"/>
              <w:rPr/>
            </w:pPr>
            <w:r>
              <w:rPr/>
              <w:t>16,559</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206" w:name="a_007"/>
      <w:bookmarkEnd w:id="206"/>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7" w:name="xdx_808_eus-gaap--OrganizationConsolidat"/>
      <w:bookmarkEnd w:id="207"/>
      <w:r>
        <w:rPr>
          <w:rFonts w:ascii="Times New Roman;Times;Serif" w:hAnsi="Times New Roman;Times;Serif"/>
          <w:b/>
          <w:i w:val="false"/>
          <w:caps w:val="false"/>
          <w:smallCaps w:val="false"/>
          <w:sz w:val="20"/>
        </w:rPr>
        <w:t xml:space="preserve">NOTE 1 - </w:t>
      </w:r>
      <w:bookmarkStart w:id="208" w:name="xdx_82A_ztEHV75Vrqjd"/>
      <w:bookmarkEnd w:id="208"/>
      <w:r>
        <w:rPr>
          <w:rFonts w:ascii="Times New Roman;Times;Serif" w:hAnsi="Times New Roman;Times;Serif"/>
          <w:b/>
          <w:i w:val="false"/>
          <w:caps w:val="false"/>
          <w:smallCaps w:val="false"/>
          <w:sz w:val="20"/>
        </w:rPr>
        <w:t>DESCRIPTION OF ORGANIZATION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Chapter 11 Cases, the Company ceased production and sales of its flagship vehicle, the Endurance, and new program development. Furthermore, the Company continued its cost-cutting actions that included significant personnel reductions. On September 29, 2023, the Company entered into the LandX Asset Purchase Agreement (as defined below) to sell specified assets related to the design, production and sale of electric light duty vehicles focused on the commercial fleet market free and clear of liens, claims, encumbrances, and other interests. The purchaser acquired the assets and assumed certain specified liabilities of the Company for a total purchase price of $</w:t>
      </w:r>
      <w:bookmarkStart w:id="209" w:name="xdx_901_eus-gaap--PaymentsToAcquireProdu"/>
      <w:bookmarkEnd w:id="209"/>
      <w:r>
        <w:rPr>
          <w:rFonts w:ascii="Times New Roman;Times;Serif" w:hAnsi="Times New Roman;Times;Serif"/>
          <w:b w:val="false"/>
          <w:i w:val="false"/>
          <w:caps w:val="false"/>
          <w:smallCaps w:val="false"/>
          <w:sz w:val="20"/>
        </w:rPr>
        <w:t>10.2 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(“NOL”) carryforwards and other tax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emergence from bankruptcy, the near-term operations of the Company consist of (a) claims administration under the Second Modified First Amended Joint Plan of Lordstown Motors Corp. and Its Affiliated Debtors (the “Plan”), (b) addressing the Foxconn Litigation, (c) prosecuting, pursuing, compromising, settling, or otherwise disposing of other retained causes of action, (d) defending the Company against any counterclaims and (e) filing Exchange Act reports and satisfying other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the Company may explore potential business opportunities, including strategic alternatives or business combinations and/or make loans or other investments pending any such transaction. No assurances can be made that the Company will be successful in prosecuting any claim or cause of action or that any strategic alternative or business combination, and/or other transaction, will be identified and/or would result in profitable operations or the ability to preserve any value from the NOLs. The Company anticipates that the prosecution of claims and causes of action and the evaluation and pursuit of potential strategic alternatives and/or other transaction will be costly, complex, and risky. As of the date of this report, the Company has neither entered into a definitive agreement with any party, nor has the Company engaged in any specific discussions with any potential business combination candidate regarding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context indicates otherwise, all shares of the Company’s Class A common stock are presented after giving effect to the </w:t>
      </w:r>
      <w:bookmarkStart w:id="210" w:name="xdx_906_eus-gaap--StockholdersEquityReve"/>
      <w:bookmarkEnd w:id="210"/>
      <w:r>
        <w:rPr>
          <w:rFonts w:ascii="Times New Roman;Times;Serif" w:hAnsi="Times New Roman;Times;Serif"/>
          <w:b w:val="false"/>
          <w:i w:val="false"/>
          <w:caps w:val="false"/>
          <w:smallCaps w:val="false"/>
          <w:sz w:val="20"/>
        </w:rPr>
        <w:t>1:15 reverse stock split of the outstanding Class A common stock, which became effective on May 24,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Emergence From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2023, the Debtors filed a Joint Plan of Lordstown Motors Corp. and Its Affiliated Debtors and a related proposed disclosure statement, which were amended and modified on each of October 24, 2023, October 29, 2023, and October 30, 2023. On January 31, 2024, the Debtors filed the Plan. The modifications to the Plan since the previously filed version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 Claim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the Bankruptcy Court entered a confirmation order confirming the Plan. Following the entry of the confirmation order and all conditions to effectiveness of the Plan being satisfied, the Debtors emerged from bankruptcy on March 14, 2024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 The Company’s Chief Executive Officer, who is its sole executive officer, was elected by the new Board of Directors in accordance with the Plan, as of the Company’s emergence.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an adversary proceeding against Foxconn (the “Foxconn Litigation”) in the Bankruptcy Court seeking relief for fraudulent and tortious conduct as well as breaches of the Investment Agreement and other agreements, the parties’ joint venture agreement, the Foxconn APA, and the CMA (each as defined in Note 7) that the Company believes were committed by Foxconn. As set forth in the complaint relating to the adversary proceeding, the Company believes Foxconn’s actions have caused substantial harm to the Company’s operations and prospects and caused significant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the outcome or recoveries,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 Commitments and Contingencies - Foxconn Litigation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Sale of Certain Assets to LandX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the Company entered into an Asset Purchase Agreement (the “LandX Asset Purchase Agreement”) with LAS Capital LLC and Mr. Stephen S. Burns, as guarantor of certain obligations of LAS Capital under the LandX Asset Purchase Agreement. The LandX Asset Purchase Agreement was assigned to LAS Capital’s affiliate, LandX Motors Inc., a Delaware corporation (the assignee and “Purchaser”) and approved by the Bankruptcy Court on October 18, 2023. The closing of the 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and assumed certain specified liabilities for a total purchase price of $</w:t>
      </w:r>
      <w:bookmarkStart w:id="211" w:name="xdx_90F_eus-gaap--PaymentsToAcquireProdu"/>
      <w:bookmarkEnd w:id="211"/>
      <w:r>
        <w:rPr>
          <w:rFonts w:ascii="Times New Roman;Times;Serif" w:hAnsi="Times New Roman;Times;Serif"/>
          <w:b w:val="false"/>
          <w:i w:val="false"/>
          <w:caps w:val="false"/>
          <w:smallCaps w:val="false"/>
          <w:sz w:val="20"/>
        </w:rPr>
        <w:t>10.2 million in cash. Upon consummation of the sale, the Company’s investment banker became entitled to a transaction fee of $</w:t>
      </w:r>
      <w:bookmarkStart w:id="212" w:name="xdx_906_eus-gaap--AssetAcquisitionConsid"/>
      <w:bookmarkEnd w:id="212"/>
      <w:r>
        <w:rPr>
          <w:rFonts w:ascii="Times New Roman;Times;Serif" w:hAnsi="Times New Roman;Times;Serif"/>
          <w:b w:val="false"/>
          <w:i w:val="false"/>
          <w:caps w:val="false"/>
          <w:smallCaps w:val="false"/>
          <w:sz w:val="20"/>
        </w:rPr>
        <w:t>2.0 million after crediting certain other fees. The transaction fee was paid in January 2024, with no further amounts payable.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are presented in conformity with accounting principles generally accepted in the United States of America (“GAAP”) and pursuant to the rules and regulations of the Securities and Exchange Commission. The condensed consolidated financial statements include the accounts and operations of the Company and its wholly owned subsidiary. All intercompany accounts and transactions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w:t>
      </w:r>
      <w:bookmarkStart w:id="213" w:name="xdx_901_eus-gaap--CashCashEquivalentsAnd"/>
      <w:bookmarkEnd w:id="213"/>
      <w:r>
        <w:rPr>
          <w:rFonts w:ascii="Times New Roman;Times;Serif" w:hAnsi="Times New Roman;Times;Serif"/>
          <w:b w:val="false"/>
          <w:i w:val="false"/>
          <w:caps w:val="false"/>
          <w:smallCaps w:val="false"/>
          <w:sz w:val="20"/>
        </w:rPr>
        <w:t>26.8 million, excluding restricted cash of approximately $</w:t>
      </w:r>
      <w:bookmarkStart w:id="214" w:name="xdx_905_eus-gaap--RestrictedCash_iI_pn5n"/>
      <w:bookmarkEnd w:id="214"/>
      <w:r>
        <w:rPr>
          <w:rFonts w:ascii="Times New Roman;Times;Serif" w:hAnsi="Times New Roman;Times;Serif"/>
          <w:b w:val="false"/>
          <w:i w:val="false"/>
          <w:caps w:val="false"/>
          <w:smallCaps w:val="false"/>
          <w:sz w:val="20"/>
        </w:rPr>
        <w:t>2.7 million and restricted short-term investments of approximately $</w:t>
      </w:r>
      <w:bookmarkStart w:id="215" w:name="xdx_90E_eus-gaap--RestrictedCashAndInves"/>
      <w:bookmarkEnd w:id="215"/>
      <w:r>
        <w:rPr>
          <w:rFonts w:ascii="Times New Roman;Times;Serif" w:hAnsi="Times New Roman;Times;Serif"/>
          <w:b w:val="false"/>
          <w:i w:val="false"/>
          <w:caps w:val="false"/>
          <w:smallCaps w:val="false"/>
          <w:sz w:val="20"/>
        </w:rPr>
        <w:t>19.7 million, an accumulated deficit of $</w:t>
      </w:r>
      <w:bookmarkStart w:id="216" w:name="xdx_904_eus-gaap--RetainedEarningsAccumu"/>
      <w:bookmarkEnd w:id="216"/>
      <w:r>
        <w:rPr>
          <w:rFonts w:ascii="Times New Roman;Times;Serif" w:hAnsi="Times New Roman;Times;Serif"/>
          <w:b w:val="false"/>
          <w:i w:val="false"/>
          <w:caps w:val="false"/>
          <w:smallCaps w:val="false"/>
          <w:sz w:val="20"/>
        </w:rPr>
        <w:t>1.2 billion at June 30, 2025, and a net loss of $</w:t>
      </w:r>
      <w:bookmarkStart w:id="217" w:name="xdx_90C_eus-gaap--NetIncomeLoss_iN_pn5n6"/>
      <w:bookmarkEnd w:id="217"/>
      <w:r>
        <w:rPr>
          <w:rFonts w:ascii="Times New Roman;Times;Serif" w:hAnsi="Times New Roman;Times;Serif"/>
          <w:b w:val="false"/>
          <w:i w:val="false"/>
          <w:caps w:val="false"/>
          <w:smallCaps w:val="false"/>
          <w:sz w:val="20"/>
        </w:rPr>
        <w:t>0.5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both its cash and cash equivalents and unrestricted short-term investments for paying existing accrued expenses and legal and consulting fees expected to be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 w:name="xdx_801_eus-gaap--SignificantAccountingP"/>
      <w:bookmarkEnd w:id="218"/>
      <w:r>
        <w:rPr>
          <w:rFonts w:ascii="Times New Roman;Times;Serif" w:hAnsi="Times New Roman;Times;Serif"/>
          <w:b/>
          <w:i w:val="false"/>
          <w:caps w:val="false"/>
          <w:smallCaps w:val="false"/>
          <w:sz w:val="20"/>
        </w:rPr>
        <w:t xml:space="preserve">NOTE 2 - </w:t>
      </w:r>
      <w:bookmarkStart w:id="219" w:name="xdx_82B_z8qkJwZ8v5ji"/>
      <w:bookmarkEnd w:id="219"/>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0" w:name="xdx_849_eus-gaap--UseOfEstimates_zqCRO4N"/>
      <w:bookmarkEnd w:id="220"/>
      <w:r>
        <w:rPr>
          <w:rFonts w:ascii="Times New Roman;Times;Serif" w:hAnsi="Times New Roman;Times;Serif"/>
          <w:b/>
          <w:i w:val="false"/>
          <w:caps w:val="false"/>
          <w:smallCaps w:val="false"/>
          <w:sz w:val="20"/>
        </w:rPr>
        <w:t>Use of Estimates in Financial Statement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preparation of condensed consolidated financial statements in accordance with GAAP is based on the selection and application of accounting policies that require us to make significant estimates and assumptions that affect the reported amounts in the condensed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have been no material changes to the critical accounting policies and estimates described in the Company’s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1" w:name="xdx_847_ecustom--FreshStartAccountingPol"/>
      <w:bookmarkEnd w:id="221"/>
      <w:r>
        <w:rPr>
          <w:rFonts w:ascii="Times New Roman;Times;Serif" w:hAnsi="Times New Roman;Times;Serif"/>
          <w:b/>
          <w:i w:val="false"/>
          <w:caps w:val="false"/>
          <w:smallCaps w:val="false"/>
          <w:sz w:val="20"/>
        </w:rPr>
        <w:t>Fresh Start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emergence from bankruptcy, the Company assessed the requirements of fresh start accounting as required in Accounting Standards Codification 852: </w:t>
      </w:r>
      <w:r>
        <w:rPr>
          <w:rFonts w:ascii="Times New Roman;Times;Serif" w:hAnsi="Times New Roman;Times;Serif"/>
          <w:b w:val="false"/>
          <w:i/>
          <w:caps w:val="false"/>
          <w:smallCaps w:val="false"/>
          <w:sz w:val="20"/>
        </w:rPr>
        <w:t>Reorganizations</w:t>
      </w:r>
      <w:r>
        <w:rPr>
          <w:rFonts w:ascii="Times New Roman;Times;Serif" w:hAnsi="Times New Roman;Times;Serif"/>
          <w:b w:val="false"/>
          <w:i w:val="false"/>
          <w:caps w:val="false"/>
          <w:smallCaps w:val="false"/>
          <w:sz w:val="20"/>
        </w:rPr>
        <w:t xml:space="preserve"> (“ASC 852”). Based on the Company’s assessment, management concluded that the Company does not qualify for fresh start accounting under ASC 852 upon emergence from bankruptcy. Management’s conclusion was based on the fact that the total of all post-petition liabilities and reserve for allowed claims did not exceed the reorganization value, and the holders of existing voting shares immediately prior to confirmation did not lose control of the entity, as defined as receiving less than </w:t>
      </w:r>
      <w:bookmarkStart w:id="222" w:name="xdx_900_ecustom--PercentageOfEmergingEnt"/>
      <w:bookmarkEnd w:id="222"/>
      <w:r>
        <w:rPr>
          <w:rFonts w:ascii="Times New Roman;Times;Serif" w:hAnsi="Times New Roman;Times;Serif"/>
          <w:b w:val="false"/>
          <w:i w:val="false"/>
          <w:caps w:val="false"/>
          <w:smallCaps w:val="false"/>
          <w:sz w:val="20"/>
        </w:rPr>
        <w:t>50% of the emerging entity’s voting shares. Accordingly, the Company continued to apply GAAP in the ongoing preparation of its financial statements post emergence.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3" w:name="xdx_84F_eus-gaap--SegmentReportingPolicy"/>
      <w:bookmarkEnd w:id="223"/>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discrete financial information is available for evaluation by the chief operating decision-maker (“CODM”) in deciding resource allocation and assessing performance. The Company has determined that its CODM is its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224" w:name="xdx_902_eus-gaap--NumberOfReportableSegm"/>
      <w:bookmarkEnd w:id="224"/>
      <w:r>
        <w:rPr>
          <w:rFonts w:ascii="Times New Roman;Times;Serif" w:hAnsi="Times New Roman;Times;Serif"/>
          <w:b w:val="false"/>
          <w:i w:val="false"/>
          <w:caps w:val="false"/>
          <w:smallCaps w:val="false"/>
          <w:sz w:val="20"/>
        </w:rPr>
        <w:t>one operating segment with a focus on (a) claims administration under its Plan, (b) prosecuting, pursuing, compromising, settling, or otherwise disposing of litigation and other retained causes of action including the Foxconn litigation, (c) defending the Company against any counterclaims, (d) maintaining and managing the NOL and (e) filing SEC required reports and satisfying other regulatory requirements.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manages and allocates resources to the operations of the Company on a consolidated basis. This enables the CODM to assess the Company’s overall level of available resources and determine how best to deploy these resources in line with the Company’s long-term company-wide strategic goals. Given the Company does not currently generate revenue, the CODM assesses performance of the Company’s single segment and allocation of resources based on consolidated net loss as well as total selling, general, and administrative expenses. The CODM utilizes these metrics in order to assess the Company’s cash burn. Total net loss as well as selling, general, and administrative expenses are used to monitor budget versus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segment expenses are consistent with those presented on the condensed consolidated statements of operations and comprehensive (loss) income. The measure of segment assets is reported on the </w:t>
      </w:r>
      <w:r>
        <w:rPr>
          <w:rFonts w:ascii="Times New Roman;Times;Serif" w:hAnsi="Times New Roman;Times;Serif"/>
          <w:b w:val="false"/>
          <w:i w:val="false"/>
          <w:caps w:val="false"/>
          <w:smallCaps w:val="false"/>
          <w:sz w:val="20"/>
          <w:shd w:fill="FFFFFF" w:val="clear"/>
        </w:rPr>
        <w:t xml:space="preserve">condensed </w:t>
      </w:r>
      <w:r>
        <w:rPr>
          <w:rFonts w:ascii="Times New Roman;Times;Serif" w:hAnsi="Times New Roman;Times;Serif"/>
          <w:b w:val="false"/>
          <w:i w:val="false"/>
          <w:caps w:val="false"/>
          <w:smallCaps w:val="false"/>
          <w:sz w:val="20"/>
        </w:rPr>
        <w:t>consolidated balance sheets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5" w:name="xdx_840_ecustom--CashCashEquivalentsShor"/>
      <w:bookmarkEnd w:id="225"/>
      <w:r>
        <w:rPr>
          <w:rFonts w:ascii="Times New Roman;Times;Serif" w:hAnsi="Times New Roman;Times;Serif"/>
          <w:b/>
          <w:i w:val="false"/>
          <w:caps w:val="false"/>
          <w:smallCaps w:val="false"/>
          <w:sz w:val="20"/>
        </w:rPr>
        <w:t>Cash, Cash Equivalents, Restricted Cash, and Restricted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consist of U.S. treasury notes and bills and U.S. government and prime asset money market funds. The short-term investments are accounted for as available-for-sale securities. The market risk related to these investments is insignificant given that the short-term investments held are highly liquid investment-grade fixed-income securities. The Company records changes in allowance for expected credit loss in other income (expense). There has been no allowance for expected credit losses recorded during any of the periods presented. See Note 3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and restricted short-term investment balances represent the cash reserves as required by the Plan. Restricted short-term investments have been invested in short-term available for sale securities, which consist primarily of U.S. treasury notes and bills and U.S. government and prime asset money market funds.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obligations were fully paid in August 2024 and the remainder of the Professional Fee Escrow was released from restriction. The Plan also required the Company to establish a $</w:t>
      </w:r>
      <w:bookmarkStart w:id="226" w:name="xdx_904_ecustom--ReserveForClaimsOfGener"/>
      <w:bookmarkEnd w:id="226"/>
      <w:r>
        <w:rPr>
          <w:rFonts w:ascii="Times New Roman;Times;Serif" w:hAnsi="Times New Roman;Times;Serif"/>
          <w:b w:val="false"/>
          <w:i w:val="false"/>
          <w:caps w:val="false"/>
          <w:smallCaps w:val="false"/>
          <w:sz w:val="20"/>
        </w:rPr>
        <w:t>45 million reserve for allowed and disputed claims of general unsecured creditors (the “Claims Reserve”), including interest (although there can be no assurance the Company will be able to pay such claims in full, with interest). As of June 30, 2025, $</w:t>
      </w:r>
      <w:bookmarkStart w:id="227" w:name="xdx_90B_eus-gaap--EscrowDeposit_iI_pn5n6"/>
      <w:bookmarkEnd w:id="227"/>
      <w:r>
        <w:rPr>
          <w:rFonts w:ascii="Times New Roman;Times;Serif" w:hAnsi="Times New Roman;Times;Serif"/>
          <w:b w:val="false"/>
          <w:i w:val="false"/>
          <w:caps w:val="false"/>
          <w:smallCaps w:val="false"/>
          <w:sz w:val="20"/>
        </w:rPr>
        <w:t>21.8 million was included in restricted cash and short-term investments, which represents the initial Claims Reserve of $</w:t>
      </w:r>
      <w:bookmarkStart w:id="228" w:name="xdx_900_ecustom--ReserveForClaimsOfGener"/>
      <w:bookmarkEnd w:id="228"/>
      <w:r>
        <w:rPr>
          <w:rFonts w:ascii="Times New Roman;Times;Serif" w:hAnsi="Times New Roman;Times;Serif"/>
          <w:b w:val="false"/>
          <w:i w:val="false"/>
          <w:caps w:val="false"/>
          <w:smallCaps w:val="false"/>
          <w:sz w:val="20"/>
        </w:rPr>
        <w:t>45 million, less $</w:t>
      </w:r>
      <w:bookmarkStart w:id="229" w:name="xdx_908_eus-gaap--EscrowDeposit_iI_pn5n6"/>
      <w:bookmarkEnd w:id="229"/>
      <w:r>
        <w:rPr>
          <w:rFonts w:ascii="Times New Roman;Times;Serif" w:hAnsi="Times New Roman;Times;Serif"/>
          <w:b w:val="false"/>
          <w:i w:val="false"/>
          <w:caps w:val="false"/>
          <w:smallCaps w:val="false"/>
          <w:sz w:val="20"/>
        </w:rPr>
        <w:t>23.2 million which was released from the Claims Reserve related to the claims reconciliation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0" w:name="xdx_847_ecustom--LiabilitiesSubjectToCom"/>
      <w:bookmarkEnd w:id="230"/>
      <w:r>
        <w:rPr>
          <w:rFonts w:ascii="Times New Roman;Times;Serif" w:hAnsi="Times New Roman;Times;Serif"/>
          <w:b/>
          <w:i w:val="false"/>
          <w:caps w:val="false"/>
          <w:smallCaps w:val="false"/>
          <w:sz w:val="20"/>
        </w:rPr>
        <w:t>Liabilities Subject to Compromise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accompanying </w:t>
      </w:r>
      <w:r>
        <w:rPr>
          <w:rFonts w:ascii="Times New Roman;Times;Serif" w:hAnsi="Times New Roman;Times;Serif"/>
          <w:b w:val="false"/>
          <w:i w:val="false"/>
          <w:caps w:val="false"/>
          <w:smallCaps w:val="false"/>
          <w:sz w:val="20"/>
          <w:shd w:fill="FFFFFF" w:val="clear"/>
        </w:rPr>
        <w:t xml:space="preserve">condensed </w:t>
      </w:r>
      <w:r>
        <w:rPr>
          <w:rFonts w:ascii="Times New Roman;Times;Serif" w:hAnsi="Times New Roman;Times;Serif"/>
          <w:b w:val="false"/>
          <w:i w:val="false"/>
          <w:caps w:val="false"/>
          <w:smallCaps w:val="false"/>
          <w:sz w:val="20"/>
        </w:rPr>
        <w:t>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7 - Commitments and Contingencies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1" w:name="xdx_84A_eus-gaap--CompensationRelatedCos"/>
      <w:bookmarkEnd w:id="23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stock-based compensation in accordance with ASC Topic 718, </w:t>
      </w:r>
      <w:r>
        <w:rPr>
          <w:rFonts w:ascii="Times New Roman;Times;Serif" w:hAnsi="Times New Roman;Times;Serif"/>
          <w:b w:val="false"/>
          <w:i/>
          <w:caps w:val="false"/>
          <w:smallCaps w:val="false"/>
          <w:sz w:val="20"/>
        </w:rPr>
        <w:t>Accounting for Stock-Based Compensation</w:t>
      </w:r>
      <w:r>
        <w:rPr>
          <w:rFonts w:ascii="Times New Roman;Times;Serif" w:hAnsi="Times New Roman;Times;Serif"/>
          <w:b w:val="false"/>
          <w:i w:val="false"/>
          <w:caps w:val="false"/>
          <w:smallCaps w:val="false"/>
          <w:sz w:val="20"/>
        </w:rPr>
        <w:t xml:space="preserve"> (“ASC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For options, the fair value is determined using the Black-Scholes option pricing model, which incorporates assumptions regarding the expected volatility, expected option life and risk-free interest rate. The resulting amount is charged to expense on the straight-line basis over the period in which the Company expects to receive the benefit, which is generally the vesting period. Further, pursuant to ASU 2016-09 -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(Topic 718), the Company has elected to account for forfeitures as they occur. See Note 6 - Stock Based Compensation.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2" w:name="xdx_84F_ecustom--ReorganizationUnderChap"/>
      <w:bookmarkEnd w:id="232"/>
      <w:r>
        <w:rPr>
          <w:rFonts w:ascii="Times New Roman;Times;Serif" w:hAnsi="Times New Roman;Times;Serif"/>
          <w:b/>
          <w:i w:val="false"/>
          <w:caps w:val="false"/>
          <w:smallCaps w:val="false"/>
          <w:sz w:val="20"/>
        </w:rPr>
        <w:t>Reorganization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items of $</w:t>
      </w:r>
      <w:bookmarkStart w:id="233" w:name="xdx_90F_eus-gaap--DebtorReorganizationIt"/>
      <w:bookmarkEnd w:id="233"/>
      <w:r>
        <w:rPr>
          <w:rFonts w:ascii="Times New Roman;Times;Serif" w:hAnsi="Times New Roman;Times;Serif"/>
          <w:b w:val="false"/>
          <w:i w:val="false"/>
          <w:caps w:val="false"/>
          <w:smallCaps w:val="false"/>
          <w:sz w:val="20"/>
        </w:rPr>
        <w:t>0 and $</w:t>
      </w:r>
      <w:bookmarkStart w:id="234" w:name="xdx_909_eus-gaap--DebtorReorganizationIt"/>
      <w:bookmarkEnd w:id="234"/>
      <w:r>
        <w:rPr>
          <w:rFonts w:ascii="Times New Roman;Times;Serif" w:hAnsi="Times New Roman;Times;Serif"/>
          <w:b w:val="false"/>
          <w:i w:val="false"/>
          <w:caps w:val="false"/>
          <w:smallCaps w:val="false"/>
          <w:sz w:val="20"/>
        </w:rPr>
        <w:t xml:space="preserve">4.8 million for the three and six months ended June 30, 2024, respectively, represent the expenses directly and incrementally resulting from the Chapter 11 Cases and are separately reported as Reorganization items in the condensed consolidated statements of operations and comprehensive (loss) income. </w:t>
      </w:r>
      <w:bookmarkStart w:id="235" w:name="xdx_900_eus-gaap--DebtorReorganizationIt"/>
      <w:bookmarkStart w:id="236" w:name="xdx_90F_eus-gaap--DebtorReorganizationIt"/>
      <w:bookmarkEnd w:id="235"/>
      <w:bookmarkEnd w:id="236"/>
      <w:r>
        <w:rPr>
          <w:rFonts w:ascii="Times New Roman;Times;Serif" w:hAnsi="Times New Roman;Times;Serif"/>
          <w:b w:val="false"/>
          <w:i w:val="false"/>
          <w:caps w:val="false"/>
          <w:smallCaps w:val="false"/>
          <w:sz w:val="20"/>
        </w:rPr>
        <w:t>No reorganization items were recognized for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7" w:name="xdx_843_eus-gaap--IncomeTaxPolicyTextBlo"/>
      <w:bookmarkEnd w:id="23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Topic 740). Deferred tax assets and liabilities are determined based on the difference between the condensed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8" w:name="xdx_84A_ecustom--RecentlyIssuedAccountin"/>
      <w:bookmarkEnd w:id="238"/>
      <w:r>
        <w:rPr>
          <w:rFonts w:ascii="Times New Roman;Times;Serif" w:hAnsi="Times New Roman;Times;Serif"/>
          <w:b/>
          <w:i w:val="false"/>
          <w:caps w:val="false"/>
          <w:smallCaps w:val="false"/>
          <w:sz w:val="20"/>
        </w:rPr>
        <w:t>Recently Issued Accounting Standards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The Company does not expect the effect of this new guidance to have a material impact on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 (Subtopic 220-40)</w:t>
      </w:r>
      <w:r>
        <w:rPr>
          <w:rFonts w:ascii="Times New Roman;Times;Serif" w:hAnsi="Times New Roman;Times;Serif"/>
          <w:b w:val="false"/>
          <w:i w:val="false"/>
          <w:caps w:val="false"/>
          <w:smallCaps w:val="false"/>
          <w:sz w:val="20"/>
        </w:rPr>
        <w:t xml:space="preserve">. This ASU requires public business entities to provide disclosure of additional information about certain identified costs and expenses on both an interim and annual basis. In January 2025, the FASB issued ASU 2025-01, </w:t>
      </w:r>
      <w:r>
        <w:rPr>
          <w:rFonts w:ascii="Times New Roman;Times;Serif" w:hAnsi="Times New Roman;Times;Serif"/>
          <w:b w:val="false"/>
          <w:i/>
          <w:caps w:val="false"/>
          <w:smallCaps w:val="false"/>
          <w:sz w:val="20"/>
        </w:rPr>
        <w:t xml:space="preserve">Income Statement - Reporting Comprehensive Income - Expense Disaggregation Disclosures (Subtopic 220-40); Clarifying the Effective Date. </w:t>
      </w:r>
      <w:r>
        <w:rPr>
          <w:rFonts w:ascii="Times New Roman;Times;Serif" w:hAnsi="Times New Roman;Times;Serif"/>
          <w:b w:val="false"/>
          <w:i w:val="false"/>
          <w:caps w:val="false"/>
          <w:smallCaps w:val="false"/>
          <w:sz w:val="20"/>
        </w:rPr>
        <w:t>This ASU provided clarification regarding the effective dates of annual and interim disclosure requirements presented in ASU 2024-03. Upon consideration of the clarification in ASU 2025-01, the guidance in ASU 2024-03 is effective for annual reporting periods beginning after December 15, 2026, and interim periods beginning within annual reporting periods beginning after December 15, 2027. The Company is currently evaluating the effect of this new guidance on the Company’s condensed consolidated financial statements.</w:t>
      </w:r>
    </w:p>
    <w:p>
      <w:pPr>
        <w:pStyle w:val="TextBody"/>
        <w:bidi w:val="0"/>
        <w:spacing w:before="0" w:after="0"/>
        <w:ind w:left="0" w:right="0" w:hanging="0"/>
        <w:jc w:val="both"/>
        <w:rPr>
          <w:caps w:val="false"/>
          <w:smallCaps w:val="false"/>
        </w:rPr>
      </w:pPr>
      <w:bookmarkStart w:id="239" w:name="xdx_856_zQOKVi52AKQ4"/>
      <w:bookmarkEnd w:id="23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0" w:name="xdx_80B_eus-gaap--FairValueDisclosuresTe"/>
      <w:bookmarkEnd w:id="240"/>
      <w:r>
        <w:rPr>
          <w:rFonts w:ascii="Times New Roman;Times;Serif" w:hAnsi="Times New Roman;Times;Serif"/>
          <w:b/>
          <w:i w:val="false"/>
          <w:caps w:val="false"/>
          <w:smallCaps w:val="false"/>
          <w:sz w:val="20"/>
        </w:rPr>
        <w:t xml:space="preserve">NOTE 3 - </w:t>
      </w:r>
      <w:bookmarkStart w:id="241" w:name="xdx_82C_zSBP0a9Su4jl"/>
      <w:bookmarkEnd w:id="241"/>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accounting guidance in 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 Company held short-term investments which were U.S. treasury bills and notes that are classified as Level 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Sponsor and the anchor investor purchased warrants (the “Private Placement Warrants”), which will expire on October 23, 2025. In connection with the Foxconn Transactions and the closing of the Asset Purchase Agreement, the Company issued warrants to Foxconn that expired on May 11, 2025 (the “Foxconn Warrants”). No Foxconn Warrants were exercised prior to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following the Reverse Stock Split, the Company had </w:t>
      </w:r>
      <w:bookmarkStart w:id="242" w:name="xdx_903_eus-gaap--ClassOfWarrantOrRightO"/>
      <w:bookmarkEnd w:id="242"/>
      <w:r>
        <w:rPr>
          <w:rFonts w:ascii="Times New Roman;Times;Serif" w:hAnsi="Times New Roman;Times;Serif"/>
          <w:b w:val="false"/>
          <w:i w:val="false"/>
          <w:caps w:val="false"/>
          <w:smallCaps w:val="false"/>
          <w:sz w:val="20"/>
        </w:rPr>
        <w:t>0.113 million Foxconn Warrants with an exercise price of $</w:t>
      </w:r>
      <w:bookmarkStart w:id="243" w:name="xdx_906_eus-gaap--ClassOfWarrantOrRightE"/>
      <w:bookmarkEnd w:id="243"/>
      <w:r>
        <w:rPr>
          <w:rFonts w:ascii="Times New Roman;Times;Serif" w:hAnsi="Times New Roman;Times;Serif"/>
          <w:b w:val="false"/>
          <w:i w:val="false"/>
          <w:caps w:val="false"/>
          <w:smallCaps w:val="false"/>
          <w:sz w:val="20"/>
        </w:rPr>
        <w:t xml:space="preserve">157.50 and </w:t>
      </w:r>
      <w:bookmarkStart w:id="244" w:name="xdx_909_eus-gaap--ClassOfWarrantOrRightO"/>
      <w:bookmarkEnd w:id="244"/>
      <w:r>
        <w:rPr>
          <w:rFonts w:ascii="Times New Roman;Times;Serif" w:hAnsi="Times New Roman;Times;Serif"/>
          <w:b w:val="false"/>
          <w:i w:val="false"/>
          <w:caps w:val="false"/>
          <w:smallCaps w:val="false"/>
          <w:sz w:val="20"/>
        </w:rPr>
        <w:t>0.153 million Private Placement Warrants with a strike price of $</w:t>
      </w:r>
      <w:bookmarkStart w:id="245" w:name="xdx_903_eus-gaap--ClassOfWarrantOrRightE"/>
      <w:bookmarkEnd w:id="245"/>
      <w:r>
        <w:rPr>
          <w:rFonts w:ascii="Times New Roman;Times;Serif" w:hAnsi="Times New Roman;Times;Serif"/>
          <w:b w:val="false"/>
          <w:i w:val="false"/>
          <w:caps w:val="false"/>
          <w:smallCaps w:val="false"/>
          <w:sz w:val="20"/>
        </w:rPr>
        <w:t xml:space="preserve">172.50. The Foxconn Warrants were not outstanding as of June 30, 2025 as all </w:t>
      </w:r>
      <w:bookmarkStart w:id="246" w:name="xdx_90E_eus-gaap--ClassOfWarrantOrRightO"/>
      <w:bookmarkEnd w:id="246"/>
      <w:r>
        <w:rPr>
          <w:rFonts w:ascii="Times New Roman;Times;Serif" w:hAnsi="Times New Roman;Times;Serif"/>
          <w:b w:val="false"/>
          <w:i w:val="false"/>
          <w:caps w:val="false"/>
          <w:smallCaps w:val="false"/>
          <w:sz w:val="20"/>
        </w:rPr>
        <w:t>0.113 million Foxconn Warrants expired on May 11, 2025. The Private Placement Warrants remain outstanding as of June 30, 2025. The fair value of the Foxconn Warrants was $</w:t>
      </w:r>
      <w:bookmarkStart w:id="247" w:name="xdx_906_eus-gaap--DerivativeLiabilities_"/>
      <w:bookmarkEnd w:id="247"/>
      <w:r>
        <w:rPr>
          <w:rFonts w:ascii="Times New Roman;Times;Serif" w:hAnsi="Times New Roman;Times;Serif"/>
          <w:b w:val="false"/>
          <w:i w:val="false"/>
          <w:caps w:val="false"/>
          <w:smallCaps w:val="false"/>
          <w:sz w:val="20"/>
        </w:rPr>
        <w:t xml:space="preserve">0.3 million at issuance. The Private Placement Warrants and the Foxconn Warrants were classified as a liability with any changes in the fair value recognized immediately in the condensed consolidated statements of operations and comprehensive (loss) income. As a result of the Chapter 11 Cases, the fair value of the Company’s warrants was deemed to be </w:t>
      </w:r>
      <w:bookmarkStart w:id="248" w:name="xdx_904_eus-gaap--DerivativeLiabilities_"/>
      <w:bookmarkEnd w:id="248"/>
      <w:r>
        <w:rPr>
          <w:rFonts w:ascii="Times New Roman;Times;Serif" w:hAnsi="Times New Roman;Times;Serif"/>
          <w:b w:val="false"/>
          <w:i w:val="false"/>
          <w:caps w:val="false"/>
          <w:smallCaps w:val="false"/>
          <w:sz w:val="20"/>
        </w:rPr>
        <w:t>zero and adjusted accordingly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9" w:name="xdx_899_eus-gaap--ScheduleOfFairValueAss"/>
      <w:bookmarkEnd w:id="249"/>
      <w:r>
        <w:rPr>
          <w:rFonts w:ascii="Times New Roman;Times;Serif" w:hAnsi="Times New Roman;Times;Serif"/>
          <w:b w:val="false"/>
          <w:i w:val="false"/>
          <w:caps w:val="false"/>
          <w:smallCaps w:val="false"/>
          <w:sz w:val="20"/>
        </w:rPr>
        <w:t>The following tables summarizes the valuation of our financial instruments (in thousands):</w:t>
      </w:r>
    </w:p>
    <w:p>
      <w:pPr>
        <w:pStyle w:val="TextBody"/>
        <w:bidi w:val="0"/>
        <w:spacing w:before="0" w:after="0"/>
        <w:ind w:left="0" w:right="0" w:hanging="0"/>
        <w:jc w:val="both"/>
        <w:rPr>
          <w:caps w:val="false"/>
          <w:smallCaps w:val="false"/>
        </w:rPr>
      </w:pPr>
      <w:r>
        <w:rPr>
          <w:caps w:val="false"/>
          <w:smallCaps w:val="false"/>
        </w:rPr>
        <w:t> </w:t>
      </w:r>
      <w:bookmarkStart w:id="250" w:name="xdx_8BF_zrgCDAbI3Yi"/>
      <w:bookmarkEnd w:id="250"/>
      <w:r>
        <w:rPr>
          <w:rFonts w:ascii="Times New Roman;Times;Serif" w:hAnsi="Times New Roman;Times;Serif"/>
          <w:b w:val="false"/>
          <w:i w:val="false"/>
          <w:caps w:val="false"/>
          <w:smallCaps w:val="false"/>
          <w:sz w:val="20"/>
        </w:rPr>
        <w:t>SUMMARY OF VALUATION OF FINANCIAL INSTRUMENTS</w:t>
      </w:r>
    </w:p>
    <w:tbl>
      <w:tblPr>
        <w:tblW w:w="10205" w:type="dxa"/>
        <w:jc w:val="left"/>
        <w:tblInd w:w="0" w:type="dxa"/>
        <w:tblLayout w:type="fixed"/>
        <w:tblCellMar>
          <w:top w:w="0" w:type="dxa"/>
          <w:left w:w="0" w:type="dxa"/>
          <w:bottom w:w="0" w:type="dxa"/>
          <w:right w:w="0" w:type="dxa"/>
        </w:tblCellMar>
      </w:tblPr>
      <w:tblGrid>
        <w:gridCol w:w="2494"/>
        <w:gridCol w:w="60"/>
        <w:gridCol w:w="140"/>
        <w:gridCol w:w="680"/>
        <w:gridCol w:w="60"/>
        <w:gridCol w:w="60"/>
        <w:gridCol w:w="390"/>
        <w:gridCol w:w="1896"/>
        <w:gridCol w:w="60"/>
        <w:gridCol w:w="60"/>
        <w:gridCol w:w="547"/>
        <w:gridCol w:w="1017"/>
        <w:gridCol w:w="60"/>
        <w:gridCol w:w="60"/>
        <w:gridCol w:w="890"/>
        <w:gridCol w:w="1653"/>
        <w:gridCol w:w="78"/>
      </w:tblGrid>
      <w:tr>
        <w:trPr/>
        <w:tc>
          <w:tcPr>
            <w:tcW w:w="24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51" w:name="xdx_494_20250630__us-gaap--FairValueByMe"/>
            <w:bookmarkEnd w:id="251"/>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52" w:name="xdx_491_20250630__us-gaap--FairValueByFa"/>
            <w:bookmarkEnd w:id="252"/>
          </w:p>
        </w:tc>
        <w:tc>
          <w:tcPr>
            <w:tcW w:w="2286" w:type="dxa"/>
            <w:gridSpan w:val="2"/>
            <w:tcBorders>
              <w:bottom w:val="single" w:sz="8" w:space="0" w:color="000000"/>
            </w:tcBorders>
            <w:tcMar>
              <w:bottom w:w="28" w:type="dxa"/>
            </w:tcMar>
            <w:vAlign w:val="center"/>
          </w:tcPr>
          <w:p>
            <w:pPr>
              <w:pStyle w:val="TableContents"/>
              <w:bidi w:val="0"/>
              <w:spacing w:before="0" w:after="283"/>
              <w:jc w:val="center"/>
              <w:rPr/>
            </w:pPr>
            <w:r>
              <w:rPr/>
              <w:t>Quoted prices in active markets (Level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53" w:name="xdx_49C_20250630__us-gaap--FairValueByFa"/>
            <w:bookmarkEnd w:id="253"/>
          </w:p>
        </w:tc>
        <w:tc>
          <w:tcPr>
            <w:tcW w:w="1564" w:type="dxa"/>
            <w:gridSpan w:val="2"/>
            <w:tcBorders>
              <w:bottom w:val="single" w:sz="8" w:space="0" w:color="000000"/>
            </w:tcBorders>
            <w:tcMar>
              <w:bottom w:w="28" w:type="dxa"/>
            </w:tcMar>
            <w:vAlign w:val="center"/>
          </w:tcPr>
          <w:p>
            <w:pPr>
              <w:pStyle w:val="TableContents"/>
              <w:bidi w:val="0"/>
              <w:jc w:val="center"/>
              <w:rPr/>
            </w:pPr>
            <w:r>
              <w:rPr/>
              <w:t>Prices with observable</w:t>
            </w:r>
          </w:p>
          <w:p>
            <w:pPr>
              <w:pStyle w:val="TableContents"/>
              <w:bidi w:val="0"/>
              <w:spacing w:before="0" w:after="283"/>
              <w:jc w:val="center"/>
              <w:rPr/>
            </w:pPr>
            <w:r>
              <w:rPr/>
              <w:t>inputs (Level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54" w:name="xdx_497_20250630__us-gaap--FairValueByFa"/>
            <w:bookmarkEnd w:id="254"/>
          </w:p>
        </w:tc>
        <w:tc>
          <w:tcPr>
            <w:tcW w:w="2543" w:type="dxa"/>
            <w:gridSpan w:val="2"/>
            <w:tcBorders>
              <w:bottom w:val="single" w:sz="8" w:space="0" w:color="000000"/>
            </w:tcBorders>
            <w:tcMar>
              <w:bottom w:w="28" w:type="dxa"/>
            </w:tcMar>
            <w:vAlign w:val="center"/>
          </w:tcPr>
          <w:p>
            <w:pPr>
              <w:pStyle w:val="TableContents"/>
              <w:bidi w:val="0"/>
              <w:spacing w:before="0" w:after="283"/>
              <w:jc w:val="center"/>
              <w:rPr/>
            </w:pPr>
            <w:r>
              <w:rPr/>
              <w:t>Prices with unobservable inputs (Level 3)</w:t>
            </w:r>
          </w:p>
        </w:tc>
        <w:tc>
          <w:tcPr>
            <w:tcW w:w="78" w:type="dxa"/>
            <w:tcBorders/>
            <w:vAlign w:val="center"/>
          </w:tcPr>
          <w:p>
            <w:pPr>
              <w:pStyle w:val="TableContents"/>
              <w:bidi w:val="0"/>
              <w:spacing w:before="0" w:after="283"/>
              <w:jc w:val="center"/>
              <w:rPr/>
            </w:pPr>
            <w:r>
              <w:rPr/>
              <w:t> </w:t>
            </w:r>
          </w:p>
        </w:tc>
      </w:tr>
      <w:tr>
        <w:trPr/>
        <w:tc>
          <w:tcPr>
            <w:tcW w:w="2494" w:type="dxa"/>
            <w:tcBorders/>
            <w:shd w:fill="CCEEFF" w:val="clear"/>
            <w:vAlign w:val="center"/>
          </w:tcPr>
          <w:p>
            <w:pPr>
              <w:pStyle w:val="TableContents"/>
              <w:bidi w:val="0"/>
              <w:spacing w:before="0" w:after="283"/>
              <w:jc w:val="left"/>
              <w:rPr>
                <w:b/>
              </w:rPr>
            </w:pPr>
            <w:r>
              <w:rPr>
                <w:b/>
              </w:rPr>
              <w:t>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55" w:name="xdx_40A_eus-gaap--CashAndCashEquivalents"/>
            <w:bookmarkEnd w:id="255"/>
          </w:p>
        </w:tc>
      </w:tr>
      <w:tr>
        <w:trPr/>
        <w:tc>
          <w:tcPr>
            <w:tcW w:w="2494" w:type="dxa"/>
            <w:tcBorders/>
            <w:shd w:fill="FFFFFF" w:val="clear"/>
            <w:vAlign w:val="center"/>
          </w:tcPr>
          <w:p>
            <w:pPr>
              <w:pStyle w:val="TableContents"/>
              <w:bidi w:val="0"/>
              <w:spacing w:before="0" w:after="283"/>
              <w:jc w:val="left"/>
              <w:rPr/>
            </w:pPr>
            <w:r>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29,526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w:t>
            </w:r>
          </w:p>
        </w:tc>
        <w:tc>
          <w:tcPr>
            <w:tcW w:w="1896" w:type="dxa"/>
            <w:tcBorders/>
            <w:shd w:fill="FFFFFF" w:val="clear"/>
            <w:vAlign w:val="center"/>
          </w:tcPr>
          <w:p>
            <w:pPr>
              <w:pStyle w:val="TableContents"/>
              <w:bidi w:val="0"/>
              <w:spacing w:before="0" w:after="283"/>
              <w:jc w:val="right"/>
              <w:rPr/>
            </w:pPr>
            <w:r>
              <w:rPr/>
              <w:t>29,526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left"/>
              <w:rPr/>
            </w:pPr>
            <w:r>
              <w:rPr/>
              <w:t>$</w:t>
            </w:r>
          </w:p>
        </w:tc>
        <w:tc>
          <w:tcPr>
            <w:tcW w:w="10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w:t>
            </w:r>
          </w:p>
        </w:tc>
        <w:tc>
          <w:tcPr>
            <w:tcW w:w="165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56" w:name="xdx_400_eus-gaap--AvailableForSaleSecuri"/>
            <w:bookmarkEnd w:id="256"/>
          </w:p>
        </w:tc>
      </w:tr>
      <w:tr>
        <w:trPr/>
        <w:tc>
          <w:tcPr>
            <w:tcW w:w="2494" w:type="dxa"/>
            <w:tcBorders/>
            <w:shd w:fill="CCEEFF" w:val="clear"/>
            <w:vAlign w:val="center"/>
          </w:tcPr>
          <w:p>
            <w:pPr>
              <w:pStyle w:val="TableContents"/>
              <w:bidi w:val="0"/>
              <w:spacing w:before="0" w:after="283"/>
              <w:jc w:val="left"/>
              <w:rPr/>
            </w:pPr>
            <w:r>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19,690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4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12"/>
        <w:gridCol w:w="60"/>
        <w:gridCol w:w="140"/>
        <w:gridCol w:w="680"/>
        <w:gridCol w:w="60"/>
        <w:gridCol w:w="60"/>
        <w:gridCol w:w="396"/>
        <w:gridCol w:w="1927"/>
        <w:gridCol w:w="60"/>
        <w:gridCol w:w="60"/>
        <w:gridCol w:w="552"/>
        <w:gridCol w:w="1025"/>
        <w:gridCol w:w="60"/>
        <w:gridCol w:w="60"/>
        <w:gridCol w:w="901"/>
        <w:gridCol w:w="1674"/>
        <w:gridCol w:w="78"/>
      </w:tblGrid>
      <w:tr>
        <w:trPr/>
        <w:tc>
          <w:tcPr>
            <w:tcW w:w="24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7" w:name="xdx_49B_20241231__us-gaap--FairValueByMe"/>
            <w:bookmarkEnd w:id="257"/>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8" w:name="xdx_49B_20241231__us-gaap--FairValueByFa"/>
            <w:bookmarkEnd w:id="258"/>
          </w:p>
        </w:tc>
        <w:tc>
          <w:tcPr>
            <w:tcW w:w="2323" w:type="dxa"/>
            <w:gridSpan w:val="2"/>
            <w:tcBorders>
              <w:bottom w:val="single" w:sz="8" w:space="0" w:color="000000"/>
            </w:tcBorders>
            <w:tcMar>
              <w:bottom w:w="28" w:type="dxa"/>
            </w:tcMar>
            <w:vAlign w:val="center"/>
          </w:tcPr>
          <w:p>
            <w:pPr>
              <w:pStyle w:val="TableContents"/>
              <w:bidi w:val="0"/>
              <w:spacing w:before="0" w:after="283"/>
              <w:jc w:val="center"/>
              <w:rPr/>
            </w:pPr>
            <w:r>
              <w:rPr/>
              <w:t>Quoted prices in active 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9" w:name="xdx_499_20241231__us-gaap--FairValueByFa"/>
            <w:bookmarkEnd w:id="259"/>
          </w:p>
        </w:tc>
        <w:tc>
          <w:tcPr>
            <w:tcW w:w="1577" w:type="dxa"/>
            <w:gridSpan w:val="2"/>
            <w:tcBorders>
              <w:bottom w:val="single" w:sz="8" w:space="0" w:color="000000"/>
            </w:tcBorders>
            <w:tcMar>
              <w:bottom w:w="28" w:type="dxa"/>
            </w:tcMar>
            <w:vAlign w:val="center"/>
          </w:tcPr>
          <w:p>
            <w:pPr>
              <w:pStyle w:val="TableContents"/>
              <w:bidi w:val="0"/>
              <w:jc w:val="center"/>
              <w:rPr/>
            </w:pPr>
            <w:r>
              <w:rPr/>
              <w:t>Prices with observable</w:t>
            </w:r>
          </w:p>
          <w:p>
            <w:pPr>
              <w:pStyle w:val="TableContents"/>
              <w:bidi w:val="0"/>
              <w:spacing w:before="0" w:after="283"/>
              <w:jc w:val="center"/>
              <w:rPr/>
            </w:pPr>
            <w:r>
              <w:rPr/>
              <w:t>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0" w:name="xdx_49F_20241231__us-gaap--FairValueByFa"/>
            <w:bookmarkEnd w:id="260"/>
          </w:p>
        </w:tc>
        <w:tc>
          <w:tcPr>
            <w:tcW w:w="2575" w:type="dxa"/>
            <w:gridSpan w:val="2"/>
            <w:tcBorders>
              <w:bottom w:val="single" w:sz="8" w:space="0" w:color="000000"/>
            </w:tcBorders>
            <w:tcMar>
              <w:bottom w:w="28" w:type="dxa"/>
            </w:tcMar>
            <w:vAlign w:val="center"/>
          </w:tcPr>
          <w:p>
            <w:pPr>
              <w:pStyle w:val="TableContents"/>
              <w:bidi w:val="0"/>
              <w:spacing w:before="0" w:after="283"/>
              <w:jc w:val="center"/>
              <w:rPr/>
            </w:pPr>
            <w:r>
              <w:rPr/>
              <w:t>Prices with unobservable inputs (Level 3)</w:t>
            </w:r>
          </w:p>
        </w:tc>
        <w:tc>
          <w:tcPr>
            <w:tcW w:w="78" w:type="dxa"/>
            <w:tcBorders/>
            <w:vAlign w:val="center"/>
          </w:tcPr>
          <w:p>
            <w:pPr>
              <w:pStyle w:val="TableContents"/>
              <w:bidi w:val="0"/>
              <w:spacing w:before="0" w:after="283"/>
              <w:jc w:val="left"/>
              <w:rPr/>
            </w:pPr>
            <w:r>
              <w:rPr/>
              <w:t> </w:t>
            </w:r>
          </w:p>
        </w:tc>
      </w:tr>
      <w:tr>
        <w:trPr/>
        <w:tc>
          <w:tcPr>
            <w:tcW w:w="2412" w:type="dxa"/>
            <w:tcBorders/>
            <w:shd w:fill="CCEEFF" w:val="clear"/>
            <w:vAlign w:val="center"/>
          </w:tcPr>
          <w:p>
            <w:pPr>
              <w:pStyle w:val="TableContents"/>
              <w:bidi w:val="0"/>
              <w:spacing w:before="0" w:after="283"/>
              <w:jc w:val="left"/>
              <w:rPr>
                <w:b/>
              </w:rPr>
            </w:pPr>
            <w:r>
              <w:rPr>
                <w:b/>
              </w:rPr>
              <w:t>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61" w:name="xdx_40A_eus-gaap--CashAndCashEquivalents"/>
            <w:bookmarkEnd w:id="261"/>
          </w:p>
        </w:tc>
      </w:tr>
      <w:tr>
        <w:trPr/>
        <w:tc>
          <w:tcPr>
            <w:tcW w:w="241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23,095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w:t>
            </w:r>
          </w:p>
        </w:tc>
        <w:tc>
          <w:tcPr>
            <w:tcW w:w="1927" w:type="dxa"/>
            <w:tcBorders/>
            <w:shd w:fill="FFFFFF" w:val="clear"/>
            <w:vAlign w:val="center"/>
          </w:tcPr>
          <w:p>
            <w:pPr>
              <w:pStyle w:val="TableContents"/>
              <w:bidi w:val="0"/>
              <w:spacing w:before="0" w:after="283"/>
              <w:jc w:val="right"/>
              <w:rPr/>
            </w:pPr>
            <w:r>
              <w:rPr/>
              <w:t>23,095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w:t>
            </w:r>
          </w:p>
        </w:tc>
        <w:tc>
          <w:tcPr>
            <w:tcW w:w="10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w:t>
            </w:r>
          </w:p>
        </w:tc>
        <w:tc>
          <w:tcPr>
            <w:tcW w:w="167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62" w:name="xdx_400_eus-gaap--AvailableForSaleSecuri"/>
            <w:bookmarkEnd w:id="262"/>
          </w:p>
        </w:tc>
      </w:tr>
      <w:tr>
        <w:trPr/>
        <w:tc>
          <w:tcPr>
            <w:tcW w:w="2412" w:type="dxa"/>
            <w:tcBorders/>
            <w:shd w:fill="CCEEFF" w:val="clear"/>
            <w:vAlign w:val="center"/>
          </w:tcPr>
          <w:p>
            <w:pPr>
              <w:pStyle w:val="TableContents"/>
              <w:bidi w:val="0"/>
              <w:spacing w:before="0" w:after="283"/>
              <w:jc w:val="left"/>
              <w:rPr/>
            </w:pPr>
            <w:r>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927" w:type="dxa"/>
            <w:tcBorders/>
            <w:shd w:fill="CCEEFF" w:val="clear"/>
            <w:vAlign w:val="center"/>
          </w:tcPr>
          <w:p>
            <w:pPr>
              <w:pStyle w:val="TableContents"/>
              <w:bidi w:val="0"/>
              <w:spacing w:before="0" w:after="283"/>
              <w:jc w:val="right"/>
              <w:rPr/>
            </w:pPr>
            <w:r>
              <w:rPr/>
              <w:t>29,741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3" w:name="xdx_8A7_zystLBFmRee7"/>
      <w:bookmarkEnd w:id="26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264" w:name="xdx_895_eus-gaap--DebtSecuritiesAvailabl"/>
      <w:bookmarkEnd w:id="264"/>
      <w:r>
        <w:rPr>
          <w:rFonts w:ascii="Times New Roman;Times;Serif" w:hAnsi="Times New Roman;Times;Serif"/>
          <w:b w:val="false"/>
          <w:i w:val="false"/>
          <w:caps w:val="false"/>
          <w:smallCaps w:val="false"/>
          <w:sz w:val="20"/>
          <w:shd w:fill="FFFFFF" w:val="clear"/>
        </w:rPr>
        <w:t>The following table summarizes the amortized cost and fair value of available-for-sale securities (in thousands):</w:t>
      </w:r>
    </w:p>
    <w:p>
      <w:pPr>
        <w:pStyle w:val="TextBody"/>
        <w:bidi w:val="0"/>
        <w:spacing w:before="0" w:after="0"/>
        <w:ind w:left="0" w:right="0" w:hanging="0"/>
        <w:jc w:val="both"/>
        <w:rPr>
          <w:caps w:val="false"/>
          <w:smallCaps w:val="false"/>
        </w:rPr>
      </w:pPr>
      <w:r>
        <w:rPr>
          <w:caps w:val="false"/>
          <w:smallCaps w:val="false"/>
          <w:shd w:fill="FFFFFF" w:val="clear"/>
        </w:rPr>
        <w:t> </w:t>
      </w:r>
      <w:bookmarkStart w:id="265" w:name="xdx_8B9_zlPDioThg1b8"/>
      <w:bookmarkEnd w:id="265"/>
      <w:r>
        <w:rPr>
          <w:rFonts w:ascii="Times New Roman;Times;Serif" w:hAnsi="Times New Roman;Times;Serif"/>
          <w:b w:val="false"/>
          <w:i w:val="false"/>
          <w:caps w:val="false"/>
          <w:smallCaps w:val="false"/>
          <w:sz w:val="20"/>
        </w:rPr>
        <w:t>SCHEDULE OF AMORTIZED COST AND FAIR VALUE OF AVAILABLE FOR SALE SECURITIES</w:t>
      </w:r>
    </w:p>
    <w:tbl>
      <w:tblPr>
        <w:tblW w:w="10205" w:type="dxa"/>
        <w:jc w:val="left"/>
        <w:tblInd w:w="0" w:type="dxa"/>
        <w:tblLayout w:type="fixed"/>
        <w:tblCellMar>
          <w:top w:w="0" w:type="dxa"/>
          <w:left w:w="0" w:type="dxa"/>
          <w:bottom w:w="0" w:type="dxa"/>
          <w:right w:w="0" w:type="dxa"/>
        </w:tblCellMar>
      </w:tblPr>
      <w:tblGrid>
        <w:gridCol w:w="2278"/>
        <w:gridCol w:w="60"/>
        <w:gridCol w:w="233"/>
        <w:gridCol w:w="1112"/>
        <w:gridCol w:w="60"/>
        <w:gridCol w:w="60"/>
        <w:gridCol w:w="230"/>
        <w:gridCol w:w="1091"/>
        <w:gridCol w:w="60"/>
        <w:gridCol w:w="60"/>
        <w:gridCol w:w="529"/>
        <w:gridCol w:w="1106"/>
        <w:gridCol w:w="60"/>
        <w:gridCol w:w="60"/>
        <w:gridCol w:w="642"/>
        <w:gridCol w:w="955"/>
        <w:gridCol w:w="80"/>
        <w:gridCol w:w="60"/>
        <w:gridCol w:w="60"/>
        <w:gridCol w:w="1328"/>
        <w:gridCol w:w="81"/>
      </w:tblGrid>
      <w:tr>
        <w:trPr/>
        <w:tc>
          <w:tcPr>
            <w:tcW w:w="227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Amortized cost basis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Gains (Losses)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 Range</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government treasury bills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 w:name="xdx_98C_ecustom--AvailableForSaleSecurit"/>
            <w:bookmarkEnd w:id="266"/>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7" w:name="xdx_986_eus-gaap--AvailableForSaleSecuri"/>
            <w:bookmarkEnd w:id="267"/>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8" w:name="xdx_984_ecustom--AllowanceForCreditLosse"/>
            <w:bookmarkEnd w:id="268"/>
          </w:p>
        </w:tc>
        <w:tc>
          <w:tcPr>
            <w:tcW w:w="11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9" w:name="xdx_983_ecustom--UnrealizedGainsLossesDu"/>
            <w:bookmarkEnd w:id="269"/>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0" w:name="xdx_900_eus-gaap--DebtSecuritiesAvailabl"/>
            <w:bookmarkEnd w:id="270"/>
            <w:r>
              <w:rPr>
                <w:rFonts w:ascii="Times New Roman;Times;Serif" w:hAnsi="Times New Roman;Times;Serif"/>
                <w:b w:val="false"/>
                <w:i w:val="false"/>
                <w:caps w:val="false"/>
                <w:smallCaps w:val="false"/>
                <w:sz w:val="20"/>
              </w:rPr>
              <w:t>September 13, 2025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9"/>
        <w:gridCol w:w="60"/>
        <w:gridCol w:w="224"/>
        <w:gridCol w:w="1066"/>
        <w:gridCol w:w="60"/>
        <w:gridCol w:w="60"/>
        <w:gridCol w:w="221"/>
        <w:gridCol w:w="1046"/>
        <w:gridCol w:w="60"/>
        <w:gridCol w:w="60"/>
        <w:gridCol w:w="500"/>
        <w:gridCol w:w="1046"/>
        <w:gridCol w:w="60"/>
        <w:gridCol w:w="60"/>
        <w:gridCol w:w="410"/>
        <w:gridCol w:w="1106"/>
        <w:gridCol w:w="60"/>
        <w:gridCol w:w="60"/>
        <w:gridCol w:w="60"/>
        <w:gridCol w:w="1776"/>
        <w:gridCol w:w="81"/>
      </w:tblGrid>
      <w:tr>
        <w:trPr/>
        <w:tc>
          <w:tcPr>
            <w:tcW w:w="212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Amortized cost basis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Gains (Losses)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 Range</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government treasury bills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1" w:name="xdx_98F_ecustom--AvailableForSaleSecurit"/>
            <w:bookmarkEnd w:id="271"/>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2" w:name="xdx_980_eus-gaap--AvailableForSaleSecuri"/>
            <w:bookmarkEnd w:id="272"/>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3" w:name="xdx_98D_ecustom--AllowanceForCreditLosse"/>
            <w:bookmarkEnd w:id="273"/>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4" w:name="xdx_98B_ecustom--UnrealizedGainsLossesDu"/>
            <w:bookmarkEnd w:id="274"/>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5" w:name="xdx_900_eus-gaap--DebtSecuritiesAvailabl"/>
            <w:bookmarkEnd w:id="275"/>
            <w:r>
              <w:rPr>
                <w:rFonts w:ascii="Times New Roman;Times;Serif" w:hAnsi="Times New Roman;Times;Serif"/>
                <w:b w:val="false"/>
                <w:i w:val="false"/>
                <w:caps w:val="false"/>
                <w:smallCaps w:val="false"/>
                <w:sz w:val="20"/>
              </w:rPr>
              <w:t xml:space="preserve">February 15, 2025 - </w:t>
            </w:r>
            <w:bookmarkStart w:id="276" w:name="xdx_90C_eus-gaap--DebtSecuritiesAvailabl"/>
            <w:bookmarkEnd w:id="276"/>
            <w:r>
              <w:rPr>
                <w:rFonts w:ascii="Times New Roman;Times;Serif" w:hAnsi="Times New Roman;Times;Serif"/>
                <w:b w:val="false"/>
                <w:i w:val="false"/>
                <w:caps w:val="false"/>
                <w:smallCaps w:val="false"/>
                <w:sz w:val="20"/>
              </w:rPr>
              <w:t>May 15, 2025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277" w:name="xdx_8A9_zTVwmPaX927c"/>
      <w:bookmarkEnd w:id="27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8" w:name="xdx_809_ecustom--TemporaryEquityTextBloc"/>
      <w:bookmarkEnd w:id="278"/>
      <w:r>
        <w:rPr>
          <w:rFonts w:ascii="Times New Roman;Times;Serif" w:hAnsi="Times New Roman;Times;Serif"/>
          <w:b/>
          <w:i w:val="false"/>
          <w:caps w:val="false"/>
          <w:smallCaps w:val="false"/>
          <w:sz w:val="20"/>
        </w:rPr>
        <w:t xml:space="preserve">NOTE 4 - </w:t>
      </w:r>
      <w:bookmarkStart w:id="279" w:name="xdx_82C_zTHGUXE12mUi"/>
      <w:bookmarkEnd w:id="279"/>
      <w:r>
        <w:rPr>
          <w:rFonts w:ascii="Times New Roman;Times;Serif" w:hAnsi="Times New Roman;Times;Serif"/>
          <w:b/>
          <w:i w:val="false"/>
          <w:caps w:val="false"/>
          <w:smallCaps w:val="false"/>
          <w:sz w:val="20"/>
        </w:rPr>
        <w:t xml:space="preserve">SERIES A CONVERTIBLE 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2022, the Company entered into the Investment Agreement with Foxconn affiliate Foxconn Ventures Pte. Ltd.. Under the Investment Agreement, Foxconn Ventures agreed to make equity investments in the Company through the purchase of $</w:t>
      </w:r>
      <w:bookmarkStart w:id="280" w:name="xdx_907_eus-gaap--ProceedsFromIssuanceOf"/>
      <w:bookmarkEnd w:id="280"/>
      <w:r>
        <w:rPr>
          <w:rFonts w:ascii="Times New Roman;Times;Serif" w:hAnsi="Times New Roman;Times;Serif"/>
          <w:b w:val="false"/>
          <w:i w:val="false"/>
          <w:caps w:val="false"/>
          <w:smallCaps w:val="false"/>
          <w:sz w:val="20"/>
        </w:rPr>
        <w:t>70 million of Class A common stock, and up to $</w:t>
      </w:r>
      <w:bookmarkStart w:id="281" w:name="xdx_90D_eus-gaap--ProceedsFromIssuanceOf"/>
      <w:bookmarkEnd w:id="281"/>
      <w:r>
        <w:rPr>
          <w:rFonts w:ascii="Times New Roman;Times;Serif" w:hAnsi="Times New Roman;Times;Serif"/>
          <w:b w:val="false"/>
          <w:i w:val="false"/>
          <w:caps w:val="false"/>
          <w:smallCaps w:val="false"/>
          <w:sz w:val="20"/>
        </w:rPr>
        <w:t>100 million in Series A Convertible Preferred Stock, $</w:t>
      </w:r>
      <w:bookmarkStart w:id="282" w:name="xdx_909_eus-gaap--PreferredStockParOrSta"/>
      <w:bookmarkEnd w:id="282"/>
      <w:r>
        <w:rPr>
          <w:rFonts w:ascii="Times New Roman;Times;Serif" w:hAnsi="Times New Roman;Times;Serif"/>
          <w:b w:val="false"/>
          <w:i w:val="false"/>
          <w:caps w:val="false"/>
          <w:smallCaps w:val="false"/>
          <w:sz w:val="20"/>
        </w:rPr>
        <w:t xml:space="preserve">0.0001 par value per share (the “Preferred Stock”), subject to certain conditions. The Investment Agreement provided for the second closing of Class A common stock (the “Subsequent Common Closing”), at which time, the Company maintains that Foxconn Ventures was required to purchase approximately </w:t>
      </w:r>
      <w:bookmarkStart w:id="283" w:name="xdx_90B_eus-gaap--EquityMethodInvestment"/>
      <w:bookmarkEnd w:id="283"/>
      <w:r>
        <w:rPr>
          <w:rFonts w:ascii="Times New Roman;Times;Serif" w:hAnsi="Times New Roman;Times;Serif"/>
          <w:b w:val="false"/>
          <w:i w:val="false"/>
          <w:caps w:val="false"/>
          <w:smallCaps w:val="false"/>
          <w:sz w:val="20"/>
        </w:rPr>
        <w:t>10% of the Class A common stock for approximately $</w:t>
      </w:r>
      <w:bookmarkStart w:id="284" w:name="xdx_90C_eus-gaap--PaymentsForRepurchaseO"/>
      <w:bookmarkEnd w:id="284"/>
      <w:r>
        <w:rPr>
          <w:rFonts w:ascii="Times New Roman;Times;Serif" w:hAnsi="Times New Roman;Times;Serif"/>
          <w:b w:val="false"/>
          <w:i w:val="false"/>
          <w:caps w:val="false"/>
          <w:smallCaps w:val="false"/>
          <w:sz w:val="20"/>
        </w:rPr>
        <w:t>47.3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2022, the parties completed the initial closing under the Investment Agreement, pursuant to which Foxconn Ventures purchased approximately $</w:t>
      </w:r>
      <w:bookmarkStart w:id="285" w:name="xdx_909_eus-gaap--PaymentsForRepurchaseO"/>
      <w:bookmarkEnd w:id="285"/>
      <w:r>
        <w:rPr>
          <w:rFonts w:ascii="Times New Roman;Times;Serif" w:hAnsi="Times New Roman;Times;Serif"/>
          <w:b w:val="false"/>
          <w:i w:val="false"/>
          <w:caps w:val="false"/>
          <w:smallCaps w:val="false"/>
          <w:sz w:val="20"/>
        </w:rPr>
        <w:t>22.7 million of Class A common stock and $</w:t>
      </w:r>
      <w:bookmarkStart w:id="286" w:name="xdx_906_eus-gaap--PaymentsForRepurchaseO"/>
      <w:bookmarkEnd w:id="286"/>
      <w:r>
        <w:rPr>
          <w:rFonts w:ascii="Times New Roman;Times;Serif" w:hAnsi="Times New Roman;Times;Serif"/>
          <w:b w:val="false"/>
          <w:i w:val="false"/>
          <w:caps w:val="false"/>
          <w:smallCaps w:val="false"/>
          <w:sz w:val="20"/>
        </w:rPr>
        <w:t>30 million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following the parties’ agreement to the EV Program (as defined in the Investment Agreement) budget and the EV Program milestones and satisfaction of those EV Program milestones and other conditions set forth in the Investment Agreement, Foxconn Ventures was to purchase in two tranches, a total of </w:t>
      </w:r>
      <w:bookmarkStart w:id="287" w:name="xdx_908_ecustom--TemporaryEquityStockIss"/>
      <w:bookmarkEnd w:id="287"/>
      <w:r>
        <w:rPr>
          <w:rFonts w:ascii="Times New Roman;Times;Serif" w:hAnsi="Times New Roman;Times;Serif"/>
          <w:b w:val="false"/>
          <w:i w:val="false"/>
          <w:caps w:val="false"/>
          <w:smallCaps w:val="false"/>
          <w:sz w:val="20"/>
        </w:rPr>
        <w:t>0.7 million additional shares of Preferred Stock at a purchase price of $</w:t>
      </w:r>
      <w:bookmarkStart w:id="288" w:name="xdx_901_eus-gaap--SharesIssuedPricePerSh"/>
      <w:bookmarkEnd w:id="288"/>
      <w:r>
        <w:rPr>
          <w:rFonts w:ascii="Times New Roman;Times;Serif" w:hAnsi="Times New Roman;Times;Serif"/>
          <w:b w:val="false"/>
          <w:i w:val="false"/>
          <w:caps w:val="false"/>
          <w:smallCaps w:val="false"/>
          <w:sz w:val="20"/>
        </w:rPr>
        <w:t>100 per share for aggregate proceeds of $</w:t>
      </w:r>
      <w:bookmarkStart w:id="289" w:name="xdx_90A_eus-gaap--ProceedsFromIssuanceOf"/>
      <w:bookmarkEnd w:id="289"/>
      <w:r>
        <w:rPr>
          <w:rFonts w:ascii="Times New Roman;Times;Serif" w:hAnsi="Times New Roman;Times;Serif"/>
          <w:b w:val="false"/>
          <w:i w:val="false"/>
          <w:caps w:val="false"/>
          <w:smallCaps w:val="false"/>
          <w:sz w:val="20"/>
        </w:rPr>
        <w:t xml:space="preserve">70 million (the “Subsequent Preferred Funding”). The first tranche was to be in an amount equal to </w:t>
      </w:r>
      <w:bookmarkStart w:id="290" w:name="xdx_90A_ecustom--TemporaryEquityStockIss"/>
      <w:bookmarkEnd w:id="290"/>
      <w:r>
        <w:rPr>
          <w:rFonts w:ascii="Times New Roman;Times;Serif" w:hAnsi="Times New Roman;Times;Serif"/>
          <w:b w:val="false"/>
          <w:i w:val="false"/>
          <w:caps w:val="false"/>
          <w:smallCaps w:val="false"/>
          <w:sz w:val="20"/>
        </w:rPr>
        <w:t>0.3 million shares for an aggregate purchase price of $</w:t>
      </w:r>
      <w:bookmarkStart w:id="291" w:name="xdx_907_eus-gaap--ProceedsFromIssuanceOf"/>
      <w:bookmarkEnd w:id="291"/>
      <w:r>
        <w:rPr>
          <w:rFonts w:ascii="Times New Roman;Times;Serif" w:hAnsi="Times New Roman;Times;Serif"/>
          <w:b w:val="false"/>
          <w:i w:val="false"/>
          <w:caps w:val="false"/>
          <w:smallCaps w:val="false"/>
          <w:sz w:val="20"/>
        </w:rPr>
        <w:t xml:space="preserve">30 million; the second tranche was to be in an amount equal to </w:t>
      </w:r>
      <w:bookmarkStart w:id="292" w:name="xdx_906_ecustom--TemporaryEquityStockIss"/>
      <w:bookmarkEnd w:id="292"/>
      <w:r>
        <w:rPr>
          <w:rFonts w:ascii="Times New Roman;Times;Serif" w:hAnsi="Times New Roman;Times;Serif"/>
          <w:b w:val="false"/>
          <w:i w:val="false"/>
          <w:caps w:val="false"/>
          <w:smallCaps w:val="false"/>
          <w:sz w:val="20"/>
        </w:rPr>
        <w:t>0.4 million shares for an aggregate purchase price of $</w:t>
      </w:r>
      <w:bookmarkStart w:id="293" w:name="xdx_902_eus-gaap--ProceedsFromIssuanceOf"/>
      <w:bookmarkEnd w:id="293"/>
      <w:r>
        <w:rPr>
          <w:rFonts w:ascii="Times New Roman;Times;Serif" w:hAnsi="Times New Roman;Times;Serif"/>
          <w:b w:val="false"/>
          <w:i w:val="false"/>
          <w:caps w:val="false"/>
          <w:smallCaps w:val="false"/>
          <w:sz w:val="20"/>
        </w:rPr>
        <w:t>40 million. The parties agreed to use commercially reasonable efforts to agree upon the EV Program budget and EV Program milestones no later than May 7,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7 – Commitments and Contingencies for additional information. The Foxconn Litigation is Adversary Case No. 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w:t>
      </w:r>
      <w:bookmarkStart w:id="294" w:name="xdx_900_ecustom--BeneficialOwnershipPerc"/>
      <w:bookmarkEnd w:id="294"/>
      <w:r>
        <w:rPr>
          <w:rFonts w:ascii="Times New Roman;Times;Serif" w:hAnsi="Times New Roman;Times;Serif"/>
          <w:b w:val="false"/>
          <w:i w:val="false"/>
          <w:caps w:val="false"/>
          <w:smallCaps w:val="false"/>
          <w:sz w:val="20"/>
        </w:rPr>
        <w:t>25% Beneficial Ownership Requirement (as defined in the Investment Agreement), Parity Stock and Senior Stock can only be issued with Foxconn’s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Preferences and Rights of the Series A Convertible Preferred Stock filed by the Company with the Secretary of State of the State of Delaware (the “Certificate of Designation”)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w:t>
      </w:r>
      <w:bookmarkStart w:id="295" w:name="xdx_905_eus-gaap--PreferredStockLiquidat"/>
      <w:bookmarkEnd w:id="295"/>
      <w:r>
        <w:rPr>
          <w:rFonts w:ascii="Times New Roman;Times;Serif" w:hAnsi="Times New Roman;Times;Serif"/>
          <w:b w:val="false"/>
          <w:i w:val="false"/>
          <w:caps w:val="false"/>
          <w:smallCaps w:val="false"/>
          <w:sz w:val="20"/>
        </w:rPr>
        <w:t>100 per share plus the accrued unpaid dividends with respect to such share, and (2) the amount the holder would have received had it converted such share into Class A common stock immediately prior to the date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the definition of Ownership Limitation (as defined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provides that, commencing on November 7, 2023 (the “Conversion Right Date”), and subject to the Ownership Limitation, the Preferred Stock became convertible at the option of the holder into a number of shares of Class A common stock obtained by dividing the sum of the liquidation preference (i.e., $</w:t>
      </w:r>
      <w:bookmarkStart w:id="296" w:name="xdx_90C_eus-gaap--TemporaryEquityLiquida"/>
      <w:bookmarkEnd w:id="296"/>
      <w:r>
        <w:rPr>
          <w:rFonts w:ascii="Times New Roman;Times;Serif" w:hAnsi="Times New Roman;Times;Serif"/>
          <w:b w:val="false"/>
          <w:i w:val="false"/>
          <w:caps w:val="false"/>
          <w:smallCaps w:val="false"/>
          <w:sz w:val="20"/>
        </w:rPr>
        <w:t>100 per share) and all accrued but unpaid dividends with respect to such share as of the applicable conversion date by the conversion price as of the applicable conversion date. The conversion price currently is $</w:t>
      </w:r>
      <w:bookmarkStart w:id="297" w:name="xdx_903_ecustom--TemporaryEquityConversi"/>
      <w:bookmarkEnd w:id="297"/>
      <w:r>
        <w:rPr>
          <w:rFonts w:ascii="Times New Roman;Times;Serif" w:hAnsi="Times New Roman;Times;Serif"/>
          <w:b w:val="false"/>
          <w:i w:val="false"/>
          <w:caps w:val="false"/>
          <w:smallCaps w:val="false"/>
          <w:sz w:val="20"/>
        </w:rPr>
        <w:t xml:space="preserve">29.04 per share and it is subject to customary adjustments. At any time following the third anniversary of the date of issuance, the Company can cause the Preferred Stock to be converted if the volume-weighted average price of the Class A common stock exceeds </w:t>
      </w:r>
      <w:bookmarkStart w:id="298" w:name="xdx_900_ecustom--PreferredStockConvertib"/>
      <w:bookmarkEnd w:id="298"/>
      <w:r>
        <w:rPr>
          <w:rFonts w:ascii="Times New Roman;Times;Serif" w:hAnsi="Times New Roman;Times;Serif"/>
          <w:b w:val="false"/>
          <w:i w:val="false"/>
          <w:caps w:val="false"/>
          <w:smallCaps w:val="false"/>
          <w:sz w:val="20"/>
        </w:rPr>
        <w:t>200% of the Conversion Price for a period of at least twenty trading days in any period of thirty consecutive trading days. Foxconn’s ability to convert is limited by the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Company’s Preferred Stock do not specify an unconditional obligation of the Company to redeem the Preferred Stock on a specific or determinable date, or upon an event certain to occur. The Company notes the existence of the Change of Control Put (defined below). However, the ability to execute this put right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believes that the transaction price associated with the sale of the Preferred Stock to Foxconn was representative of fair value and serves as the basis for initial measurement. The Preferred Stock issued by the Company accrues dividends at the rate of </w:t>
      </w:r>
      <w:bookmarkStart w:id="299" w:name="xdx_909_eus-gaap--PreferredStockDividend"/>
      <w:bookmarkEnd w:id="299"/>
      <w:r>
        <w:rPr>
          <w:rFonts w:ascii="Times New Roman;Times;Serif" w:hAnsi="Times New Roman;Times;Serif"/>
          <w:b w:val="false"/>
          <w:i w:val="false"/>
          <w:caps w:val="false"/>
          <w:smallCaps w:val="false"/>
          <w:sz w:val="20"/>
        </w:rPr>
        <w:t>8% per annum whether or not declared and/or paid by the Company (cumulative dividends). In addition, the dividends will compound on a quarterly basis (upon each Preferred Dividend Payment Date (as defined in the Certificate of Designation)) to the extent they are not paid by the Company. The Company records the dividends (effective PIK dividends) as they are earned, based on the carrying value of the Preferred Stock at the date they are earned. In addition, the holders of the Preferred Stock participate with any dividends payable in respect of any Junior Stock or Parity Stock. The Company accrued $</w:t>
      </w:r>
      <w:bookmarkStart w:id="300" w:name="xdx_90B_eus-gaap--TemporaryEquityAccreti"/>
      <w:bookmarkEnd w:id="300"/>
      <w:r>
        <w:rPr>
          <w:rFonts w:ascii="Times New Roman;Times;Serif" w:hAnsi="Times New Roman;Times;Serif"/>
          <w:b w:val="false"/>
          <w:i w:val="false"/>
          <w:caps w:val="false"/>
          <w:smallCaps w:val="false"/>
          <w:sz w:val="20"/>
        </w:rPr>
        <w:t>0.7 million and $</w:t>
      </w:r>
      <w:bookmarkStart w:id="301" w:name="xdx_905_eus-gaap--TemporaryEquityAccreti"/>
      <w:bookmarkEnd w:id="301"/>
      <w:r>
        <w:rPr>
          <w:rFonts w:ascii="Times New Roman;Times;Serif" w:hAnsi="Times New Roman;Times;Serif"/>
          <w:b w:val="false"/>
          <w:i w:val="false"/>
          <w:caps w:val="false"/>
          <w:smallCaps w:val="false"/>
          <w:sz w:val="20"/>
        </w:rPr>
        <w:t>1.4 million in dividends during the three and six months ended June 30, 2025, respectively and $</w:t>
      </w:r>
      <w:bookmarkStart w:id="302" w:name="xdx_903_eus-gaap--TemporaryEquityAccreti"/>
      <w:bookmarkEnd w:id="302"/>
      <w:r>
        <w:rPr>
          <w:rFonts w:ascii="Times New Roman;Times;Serif" w:hAnsi="Times New Roman;Times;Serif"/>
          <w:b w:val="false"/>
          <w:i w:val="false"/>
          <w:caps w:val="false"/>
          <w:smallCaps w:val="false"/>
          <w:sz w:val="20"/>
        </w:rPr>
        <w:t>0.7 million and $</w:t>
      </w:r>
      <w:bookmarkStart w:id="303" w:name="xdx_902_eus-gaap--TemporaryEquityAccreti"/>
      <w:bookmarkEnd w:id="303"/>
      <w:r>
        <w:rPr>
          <w:rFonts w:ascii="Times New Roman;Times;Serif" w:hAnsi="Times New Roman;Times;Serif"/>
          <w:b w:val="false"/>
          <w:i w:val="false"/>
          <w:caps w:val="false"/>
          <w:smallCaps w:val="false"/>
          <w:sz w:val="20"/>
        </w:rPr>
        <w:t>1.3 million, respectively in dividends during the three and six months ended June 30, 2024, respectively, and had accrued $</w:t>
      </w:r>
      <w:bookmarkStart w:id="304" w:name="xdx_902_eus-gaap--PreferredStockValue_iI"/>
      <w:bookmarkEnd w:id="304"/>
      <w:r>
        <w:rPr>
          <w:rFonts w:ascii="Times New Roman;Times;Serif" w:hAnsi="Times New Roman;Times;Serif"/>
          <w:b w:val="false"/>
          <w:i w:val="false"/>
          <w:caps w:val="false"/>
          <w:smallCaps w:val="false"/>
          <w:sz w:val="20"/>
        </w:rPr>
        <w:t>6.9 million and $</w:t>
      </w:r>
      <w:bookmarkStart w:id="305" w:name="xdx_909_eus-gaap--PreferredStockValue_iI"/>
      <w:bookmarkEnd w:id="305"/>
      <w:r>
        <w:rPr>
          <w:rFonts w:ascii="Times New Roman;Times;Serif" w:hAnsi="Times New Roman;Times;Serif"/>
          <w:b w:val="false"/>
          <w:i w:val="false"/>
          <w:caps w:val="false"/>
          <w:smallCaps w:val="false"/>
          <w:sz w:val="20"/>
        </w:rPr>
        <w:t>5.5 million in aggregate dividends as of June 30, 2025 and December 31, 2024, respectively, with a corresponding adjustment to additional-paid-in-capital common stock in the absence of retained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emergence from bankruptcy, and as of the date of this report, the Preferred Stock remains outstanding and unimpaired. Upon a change of control (as defined in the Certificate of Designation), Foxconn can cause the Company to purchase any or all of its Preferred Stock at a purchase price equal to the greater of its $</w:t>
      </w:r>
      <w:bookmarkStart w:id="306" w:name="xdx_905_eus-gaap--TemporaryEquityLiquida"/>
      <w:bookmarkEnd w:id="306"/>
      <w:r>
        <w:rPr>
          <w:rFonts w:ascii="Times New Roman;Times;Serif" w:hAnsi="Times New Roman;Times;Serif"/>
          <w:b w:val="false"/>
          <w:i w:val="false"/>
          <w:caps w:val="false"/>
          <w:smallCaps w:val="false"/>
          <w:sz w:val="20"/>
        </w:rPr>
        <w:t>30.0 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condensed consolidated balance sheets. As of June 30, 2025 and December 31, 2024, the Company did not consider a change of control to be probable, however the Company notes that there is significant uncertainty regarding the outcome of the Foxconn Litigation which may impact the foregoing, and the Company can provide no assurance regarding such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7" w:name="xdx_80F_eus-gaap--EarningsPerShareTextBl"/>
      <w:bookmarkEnd w:id="307"/>
      <w:r>
        <w:rPr>
          <w:rFonts w:ascii="Times New Roman;Times;Serif" w:hAnsi="Times New Roman;Times;Serif"/>
          <w:b/>
          <w:i w:val="false"/>
          <w:caps w:val="false"/>
          <w:smallCaps w:val="false"/>
          <w:sz w:val="20"/>
        </w:rPr>
        <w:t xml:space="preserve">NOTE 5 - </w:t>
      </w:r>
      <w:bookmarkStart w:id="308" w:name="xdx_826_ztHLZC0VwBue"/>
      <w:bookmarkEnd w:id="308"/>
      <w:r>
        <w:rPr>
          <w:rFonts w:ascii="Times New Roman;Times;Serif" w:hAnsi="Times New Roman;Times;Serif"/>
          <w:b/>
          <w:i w:val="false"/>
          <w:caps w:val="false"/>
          <w:smallCaps w:val="false"/>
          <w:sz w:val="20"/>
        </w:rPr>
        <w:t>CAPITAL STOCK AND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Company has authorized shares of capital stock totaling </w:t>
      </w:r>
      <w:bookmarkStart w:id="309" w:name="xdx_901_ecustom--SharesAuthorizedCommonA"/>
      <w:bookmarkEnd w:id="309"/>
      <w:r>
        <w:rPr>
          <w:rFonts w:ascii="Times New Roman;Times;Serif" w:hAnsi="Times New Roman;Times;Serif"/>
          <w:b w:val="false"/>
          <w:i w:val="false"/>
          <w:caps w:val="false"/>
          <w:smallCaps w:val="false"/>
          <w:color w:val="231F20"/>
          <w:sz w:val="20"/>
        </w:rPr>
        <w:t xml:space="preserve">462 million shares, consisting of (i) </w:t>
      </w:r>
      <w:bookmarkStart w:id="310" w:name="xdx_90B_eus-gaap--CommonStockSharesAutho"/>
      <w:bookmarkEnd w:id="310"/>
      <w:r>
        <w:rPr>
          <w:rFonts w:ascii="Times New Roman;Times;Serif" w:hAnsi="Times New Roman;Times;Serif"/>
          <w:b w:val="false"/>
          <w:i w:val="false"/>
          <w:caps w:val="false"/>
          <w:smallCaps w:val="false"/>
          <w:color w:val="231F20"/>
          <w:sz w:val="20"/>
        </w:rPr>
        <w:t xml:space="preserve">450 million shares of Class A common stock and (ii) </w:t>
      </w:r>
      <w:bookmarkStart w:id="311" w:name="xdx_903_eus-gaap--TemporaryEquitySharesA"/>
      <w:bookmarkEnd w:id="311"/>
      <w:r>
        <w:rPr>
          <w:rFonts w:ascii="Times New Roman;Times;Serif" w:hAnsi="Times New Roman;Times;Serif"/>
          <w:b w:val="false"/>
          <w:i w:val="false"/>
          <w:caps w:val="false"/>
          <w:smallCaps w:val="false"/>
          <w:color w:val="231F20"/>
          <w:sz w:val="20"/>
        </w:rPr>
        <w:t>12 million shares of preferred stock, each with a par value of $</w:t>
      </w:r>
      <w:bookmarkStart w:id="312" w:name="xdx_90C_eus-gaap--TemporaryEquityParOrSt"/>
      <w:bookmarkEnd w:id="312"/>
      <w:r>
        <w:rPr>
          <w:rFonts w:ascii="Times New Roman;Times;Serif" w:hAnsi="Times New Roman;Times;Serif"/>
          <w:b w:val="false"/>
          <w:i w:val="false"/>
          <w:caps w:val="false"/>
          <w:smallCaps w:val="false"/>
          <w:color w:val="231F20"/>
          <w:sz w:val="20"/>
        </w:rPr>
        <w:t>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At the 2023 Annual Meeting, the stockholders of the Company approved a proposal to amend the Charter to effect a reverse split of the Company’s outstanding shares of Class A common stock at a ratio within a range of between </w:t>
      </w:r>
      <w:bookmarkStart w:id="313" w:name="xdx_90A_eus-gaap--StockholdersEquityReve"/>
      <w:bookmarkEnd w:id="313"/>
      <w:r>
        <w:rPr>
          <w:rFonts w:ascii="Times New Roman;Times;Serif" w:hAnsi="Times New Roman;Times;Serif"/>
          <w:b w:val="false"/>
          <w:i w:val="false"/>
          <w:caps w:val="false"/>
          <w:smallCaps w:val="false"/>
          <w:color w:val="231F20"/>
          <w:sz w:val="20"/>
        </w:rPr>
        <w:t xml:space="preserve">1:3 and 1:15, with the timing and the exact ratio of the reverse split to be determined by the Board in its sole discretion. The Board authorized the </w:t>
      </w:r>
      <w:bookmarkStart w:id="314" w:name="xdx_90F_eus-gaap--StockholdersEquityReve"/>
      <w:bookmarkEnd w:id="314"/>
      <w:r>
        <w:rPr>
          <w:rFonts w:ascii="Times New Roman;Times;Serif" w:hAnsi="Times New Roman;Times;Serif"/>
          <w:b w:val="false"/>
          <w:i w:val="false"/>
          <w:caps w:val="false"/>
          <w:smallCaps w:val="false"/>
          <w:color w:val="231F20"/>
          <w:sz w:val="20"/>
        </w:rPr>
        <w:t>Reverse Stock Split at a 1:15 ratio, which became effective as of May 24, 2023 (the “Reverse Split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filed an Amendment to the Charter on May 22, 2023, which provided that, at the Reverse Split Effective Date, </w:t>
      </w:r>
      <w:bookmarkStart w:id="315" w:name="xdx_908_eus-gaap--StockholdersEquityReve"/>
      <w:bookmarkEnd w:id="315"/>
      <w:r>
        <w:rPr>
          <w:rFonts w:ascii="Times New Roman;Times;Serif" w:hAnsi="Times New Roman;Times;Serif"/>
          <w:b w:val="false"/>
          <w:i w:val="false"/>
          <w:caps w:val="false"/>
          <w:smallCaps w:val="false"/>
          <w:sz w:val="20"/>
        </w:rPr>
        <w:t>every 15 shares of the issued and outstanding Class A common stock would automatically be combined into one issued and outstanding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 w:right="0" w:hanging="0"/>
        <w:jc w:val="both"/>
        <w:rPr>
          <w:rFonts w:ascii="Times New Roman;Times;Serif" w:hAnsi="Times New Roman;Times;Serif"/>
          <w:b w:val="false"/>
          <w:i w:val="false"/>
          <w:caps w:val="false"/>
          <w:smallCaps w:val="false"/>
          <w:sz w:val="20"/>
        </w:rPr>
      </w:pPr>
      <w:bookmarkStart w:id="316" w:name="xdx_899_eus-gaap--ScheduleOfAntidilutive"/>
      <w:bookmarkEnd w:id="316"/>
      <w:r>
        <w:rPr>
          <w:rFonts w:ascii="Times New Roman;Times;Serif" w:hAnsi="Times New Roman;Times;Serif"/>
          <w:b w:val="false"/>
          <w:i w:val="false"/>
          <w:caps w:val="false"/>
          <w:smallCaps w:val="false"/>
          <w:sz w:val="20"/>
          <w:shd w:fill="FFFFFF" w:val="clear"/>
        </w:rPr>
        <w:t xml:space="preserve">The following outstanding potentially dilutive common stock equivalents have been excluded from the computation of diluted net loss per share attributable to common shareholders for the </w:t>
      </w:r>
      <w:r>
        <w:rPr>
          <w:rFonts w:ascii="Times New Roman;Times;Serif" w:hAnsi="Times New Roman;Times;Serif"/>
          <w:b w:val="false"/>
          <w:i w:val="false"/>
          <w:caps w:val="false"/>
          <w:smallCaps w:val="false"/>
          <w:sz w:val="20"/>
        </w:rPr>
        <w:t xml:space="preserve">six months ended June 30, 2025 and 2024, respectively, due to their anti-dilutive effect </w:t>
      </w:r>
      <w:r>
        <w:rPr>
          <w:rFonts w:ascii="Times New Roman;Times;Serif" w:hAnsi="Times New Roman;Times;Serif"/>
          <w:b w:val="false"/>
          <w:i w:val="false"/>
          <w:caps w:val="false"/>
          <w:smallCaps w:val="false"/>
          <w:sz w:val="20"/>
          <w:shd w:fill="FFFFFF" w:val="clear"/>
        </w:rPr>
        <w:t>(in thousands):</w:t>
      </w:r>
    </w:p>
    <w:p>
      <w:pPr>
        <w:pStyle w:val="TextBody"/>
        <w:bidi w:val="0"/>
        <w:spacing w:before="0" w:after="0"/>
        <w:ind w:left="15" w:right="0" w:hanging="0"/>
        <w:jc w:val="both"/>
        <w:rPr>
          <w:caps w:val="false"/>
          <w:smallCaps w:val="false"/>
        </w:rPr>
      </w:pPr>
      <w:r>
        <w:rPr>
          <w:caps w:val="false"/>
          <w:smallCaps w:val="false"/>
          <w:shd w:fill="FFFFFF" w:val="clear"/>
        </w:rPr>
        <w:t> </w:t>
      </w:r>
      <w:bookmarkStart w:id="317" w:name="xdx_8BB_zuUWiKWFnsVh"/>
      <w:bookmarkEnd w:id="317"/>
      <w:r>
        <w:rPr>
          <w:rFonts w:ascii="Times New Roman;Times;Serif" w:hAnsi="Times New Roman;Times;Serif"/>
          <w:b w:val="false"/>
          <w:i w:val="false"/>
          <w:caps w:val="false"/>
          <w:smallCaps w:val="false"/>
          <w:sz w:val="20"/>
        </w:rPr>
        <w:t>SCHEDULE OF OUTSTANDING POTENTIALLY DILUTIVE COMMON STOCK EQUIVALENTS</w:t>
      </w:r>
    </w:p>
    <w:tbl>
      <w:tblPr>
        <w:tblW w:w="10205" w:type="dxa"/>
        <w:jc w:val="left"/>
        <w:tblInd w:w="0" w:type="dxa"/>
        <w:tblLayout w:type="fixed"/>
        <w:tblCellMar>
          <w:top w:w="0" w:type="dxa"/>
          <w:left w:w="0" w:type="dxa"/>
          <w:bottom w:w="0" w:type="dxa"/>
          <w:right w:w="0" w:type="dxa"/>
        </w:tblCellMar>
      </w:tblPr>
      <w:tblGrid>
        <w:gridCol w:w="1613"/>
        <w:gridCol w:w="60"/>
        <w:gridCol w:w="201"/>
        <w:gridCol w:w="1893"/>
        <w:gridCol w:w="60"/>
        <w:gridCol w:w="60"/>
        <w:gridCol w:w="201"/>
        <w:gridCol w:w="1893"/>
        <w:gridCol w:w="60"/>
        <w:gridCol w:w="60"/>
        <w:gridCol w:w="187"/>
        <w:gridCol w:w="1765"/>
        <w:gridCol w:w="60"/>
        <w:gridCol w:w="60"/>
        <w:gridCol w:w="187"/>
        <w:gridCol w:w="1765"/>
        <w:gridCol w:w="80"/>
      </w:tblGrid>
      <w:tr>
        <w:trPr/>
        <w:tc>
          <w:tcPr>
            <w:tcW w:w="16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2024</w:t>
            </w:r>
          </w:p>
        </w:tc>
        <w:tc>
          <w:tcPr>
            <w:tcW w:w="80" w:type="dxa"/>
            <w:tcBorders/>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283"/>
              <w:jc w:val="left"/>
              <w:rPr/>
            </w:pPr>
            <w:r>
              <w:rPr/>
              <w:t>Foxconn Preferred Stock</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bookmarkStart w:id="318" w:name="xdx_98F_eus-gaap--AntidilutiveSecurities"/>
            <w:bookmarkEnd w:id="318"/>
          </w:p>
        </w:tc>
        <w:tc>
          <w:tcPr>
            <w:tcW w:w="1893" w:type="dxa"/>
            <w:tcBorders/>
            <w:shd w:fill="CCEEFF" w:val="clear"/>
            <w:vAlign w:val="center"/>
          </w:tcPr>
          <w:p>
            <w:pPr>
              <w:pStyle w:val="TableContents"/>
              <w:bidi w:val="0"/>
              <w:spacing w:before="0" w:after="283"/>
              <w:jc w:val="right"/>
              <w:rPr/>
            </w:pPr>
            <w:r>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bookmarkStart w:id="319" w:name="xdx_987_eus-gaap--AntidilutiveSecurities"/>
            <w:bookmarkEnd w:id="319"/>
          </w:p>
        </w:tc>
        <w:tc>
          <w:tcPr>
            <w:tcW w:w="1893" w:type="dxa"/>
            <w:tcBorders/>
            <w:shd w:fill="CCEEFF" w:val="clear"/>
            <w:vAlign w:val="center"/>
          </w:tcPr>
          <w:p>
            <w:pPr>
              <w:pStyle w:val="TableContents"/>
              <w:bidi w:val="0"/>
              <w:spacing w:before="0" w:after="283"/>
              <w:jc w:val="right"/>
              <w:rPr/>
            </w:pPr>
            <w:r>
              <w:rPr/>
              <w:t>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bookmarkStart w:id="320" w:name="xdx_98E_eus-gaap--AntidilutiveSecurities"/>
            <w:bookmarkEnd w:id="320"/>
          </w:p>
        </w:tc>
        <w:tc>
          <w:tcPr>
            <w:tcW w:w="1765" w:type="dxa"/>
            <w:tcBorders/>
            <w:shd w:fill="CCEEFF" w:val="clear"/>
            <w:vAlign w:val="center"/>
          </w:tcPr>
          <w:p>
            <w:pPr>
              <w:pStyle w:val="TableContents"/>
              <w:bidi w:val="0"/>
              <w:spacing w:before="0" w:after="283"/>
              <w:jc w:val="right"/>
              <w:rPr/>
            </w:pPr>
            <w:r>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bookmarkStart w:id="321" w:name="xdx_98E_eus-gaap--AntidilutiveSecurities"/>
            <w:bookmarkEnd w:id="321"/>
          </w:p>
        </w:tc>
        <w:tc>
          <w:tcPr>
            <w:tcW w:w="1765" w:type="dxa"/>
            <w:tcBorders/>
            <w:shd w:fill="CCEEFF" w:val="clear"/>
            <w:vAlign w:val="center"/>
          </w:tcPr>
          <w:p>
            <w:pPr>
              <w:pStyle w:val="TableContents"/>
              <w:bidi w:val="0"/>
              <w:spacing w:before="0" w:after="283"/>
              <w:jc w:val="right"/>
              <w:rPr/>
            </w:pPr>
            <w:r>
              <w:rPr/>
              <w:t>1,174</w:t>
            </w:r>
          </w:p>
        </w:tc>
        <w:tc>
          <w:tcPr>
            <w:tcW w:w="80" w:type="dxa"/>
            <w:tcBorders/>
            <w:shd w:fill="CCEE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Foxconn Warrants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bookmarkStart w:id="322" w:name="xdx_988_eus-gaap--AntidilutiveSecurities"/>
            <w:bookmarkEnd w:id="322"/>
          </w:p>
        </w:tc>
        <w:tc>
          <w:tcPr>
            <w:tcW w:w="18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bookmarkStart w:id="323" w:name="xdx_98F_eus-gaap--AntidilutiveSecurities"/>
            <w:bookmarkEnd w:id="323"/>
          </w:p>
        </w:tc>
        <w:tc>
          <w:tcPr>
            <w:tcW w:w="1893" w:type="dxa"/>
            <w:tcBorders/>
            <w:shd w:fill="FFFFFF" w:val="cle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bookmarkStart w:id="324" w:name="xdx_988_eus-gaap--AntidilutiveSecurities"/>
            <w:bookmarkEnd w:id="324"/>
          </w:p>
        </w:tc>
        <w:tc>
          <w:tcPr>
            <w:tcW w:w="17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bookmarkStart w:id="325" w:name="xdx_982_eus-gaap--AntidilutiveSecurities"/>
            <w:bookmarkEnd w:id="325"/>
          </w:p>
        </w:tc>
        <w:tc>
          <w:tcPr>
            <w:tcW w:w="1765" w:type="dxa"/>
            <w:tcBorders/>
            <w:shd w:fill="FFFFFF" w:val="clear"/>
            <w:vAlign w:val="center"/>
          </w:tcPr>
          <w:p>
            <w:pPr>
              <w:pStyle w:val="TableContents"/>
              <w:bidi w:val="0"/>
              <w:spacing w:before="0" w:after="283"/>
              <w:jc w:val="right"/>
              <w:rPr/>
            </w:pPr>
            <w:r>
              <w:rPr/>
              <w:t>113</w:t>
            </w:r>
          </w:p>
        </w:tc>
        <w:tc>
          <w:tcPr>
            <w:tcW w:w="80" w:type="dxa"/>
            <w:tcBorders/>
            <w:shd w:fill="FFFFFF" w:val="clear"/>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6" w:name="xdx_98C_eus-gaap--AntidilutiveSecurities"/>
            <w:bookmarkEnd w:id="326"/>
          </w:p>
        </w:tc>
        <w:tc>
          <w:tcPr>
            <w:tcW w:w="1893"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7" w:name="xdx_986_eus-gaap--AntidilutiveSecurities"/>
            <w:bookmarkEnd w:id="327"/>
          </w:p>
        </w:tc>
        <w:tc>
          <w:tcPr>
            <w:tcW w:w="1893"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8" w:name="xdx_981_eus-gaap--AntidilutiveSecurities"/>
            <w:bookmarkEnd w:id="328"/>
          </w:p>
        </w:tc>
        <w:tc>
          <w:tcPr>
            <w:tcW w:w="1765"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9" w:name="xdx_98A_eus-gaap--AntidilutiveSecurities"/>
            <w:bookmarkEnd w:id="329"/>
          </w:p>
        </w:tc>
        <w:tc>
          <w:tcPr>
            <w:tcW w:w="1765"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80" w:type="dxa"/>
            <w:tcBorders/>
            <w:shd w:fill="CCEEFF" w:val="clear"/>
            <w:vAlign w:val="center"/>
          </w:tcPr>
          <w:p>
            <w:pPr>
              <w:pStyle w:val="TableContents"/>
              <w:bidi w:val="0"/>
              <w:spacing w:before="0" w:after="283"/>
              <w:jc w:val="left"/>
              <w:rPr/>
            </w:pPr>
            <w:r>
              <w:rPr/>
              <w:t> </w:t>
            </w:r>
          </w:p>
        </w:tc>
      </w:tr>
      <w:tr>
        <w:trPr/>
        <w:tc>
          <w:tcPr>
            <w:tcW w:w="1613"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0" w:name="xdx_982_eus-gaap--AntidilutiveSecurities"/>
            <w:bookmarkEnd w:id="330"/>
          </w:p>
        </w:tc>
        <w:tc>
          <w:tcPr>
            <w:tcW w:w="1893" w:type="dxa"/>
            <w:tcBorders>
              <w:bottom w:val="double" w:sz="6" w:space="0" w:color="000000"/>
            </w:tcBorders>
            <w:shd w:fill="FFFFFF" w:val="clear"/>
            <w:tcMar>
              <w:bottom w:w="28" w:type="dxa"/>
            </w:tcMar>
            <w:vAlign w:val="center"/>
          </w:tcPr>
          <w:p>
            <w:pPr>
              <w:pStyle w:val="TableContents"/>
              <w:bidi w:val="0"/>
              <w:spacing w:before="0" w:after="283"/>
              <w:jc w:val="right"/>
              <w:rPr/>
            </w:pPr>
            <w:r>
              <w:rPr/>
              <w:t>1,424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1" w:name="xdx_982_eus-gaap--AntidilutiveSecurities"/>
            <w:bookmarkEnd w:id="331"/>
          </w:p>
        </w:tc>
        <w:tc>
          <w:tcPr>
            <w:tcW w:w="1893" w:type="dxa"/>
            <w:tcBorders>
              <w:bottom w:val="double" w:sz="6" w:space="0" w:color="000000"/>
            </w:tcBorders>
            <w:shd w:fill="FFFFFF" w:val="clear"/>
            <w:tcMar>
              <w:bottom w:w="28" w:type="dxa"/>
            </w:tcMar>
            <w:vAlign w:val="center"/>
          </w:tcPr>
          <w:p>
            <w:pPr>
              <w:pStyle w:val="TableContents"/>
              <w:bidi w:val="0"/>
              <w:spacing w:before="0" w:after="283"/>
              <w:jc w:val="right"/>
              <w:rPr/>
            </w:pPr>
            <w:r>
              <w:rPr/>
              <w:t>1,441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2" w:name="xdx_98A_eus-gaap--AntidilutiveSecurities"/>
            <w:bookmarkEnd w:id="332"/>
          </w:p>
        </w:tc>
        <w:tc>
          <w:tcPr>
            <w:tcW w:w="1765" w:type="dxa"/>
            <w:tcBorders>
              <w:bottom w:val="double" w:sz="6" w:space="0" w:color="000000"/>
            </w:tcBorders>
            <w:shd w:fill="FFFFFF" w:val="clear"/>
            <w:tcMar>
              <w:bottom w:w="28" w:type="dxa"/>
            </w:tcMar>
            <w:vAlign w:val="center"/>
          </w:tcPr>
          <w:p>
            <w:pPr>
              <w:pStyle w:val="TableContents"/>
              <w:bidi w:val="0"/>
              <w:spacing w:before="0" w:after="283"/>
              <w:jc w:val="right"/>
              <w:rPr/>
            </w:pPr>
            <w:r>
              <w:rPr/>
              <w:t>1,424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3" w:name="xdx_98F_eus-gaap--AntidilutiveSecurities"/>
            <w:bookmarkEnd w:id="333"/>
          </w:p>
        </w:tc>
        <w:tc>
          <w:tcPr>
            <w:tcW w:w="1765" w:type="dxa"/>
            <w:tcBorders>
              <w:bottom w:val="double" w:sz="6" w:space="0" w:color="000000"/>
            </w:tcBorders>
            <w:shd w:fill="FFFFFF" w:val="clear"/>
            <w:tcMar>
              <w:bottom w:w="28" w:type="dxa"/>
            </w:tcMar>
            <w:vAlign w:val="center"/>
          </w:tcPr>
          <w:p>
            <w:pPr>
              <w:pStyle w:val="TableContents"/>
              <w:bidi w:val="0"/>
              <w:spacing w:before="0" w:after="283"/>
              <w:jc w:val="right"/>
              <w:rPr/>
            </w:pPr>
            <w:r>
              <w:rPr/>
              <w:t>1,441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200"/>
        <w:gridCol w:w="23"/>
        <w:gridCol w:w="4325"/>
      </w:tblGrid>
      <w:tr>
        <w:trPr/>
        <w:tc>
          <w:tcPr>
            <w:tcW w:w="200" w:type="dxa"/>
            <w:tcBorders/>
            <w:vAlign w:val="center"/>
          </w:tcPr>
          <w:p>
            <w:pPr>
              <w:pStyle w:val="TableContents"/>
              <w:bidi w:val="0"/>
              <w:spacing w:before="0" w:after="283"/>
              <w:jc w:val="right"/>
              <w:rPr>
                <w:rFonts w:ascii="Times New Roman;Times;Serif" w:hAnsi="Times New Roman;Times;Serif"/>
                <w:sz w:val="20"/>
              </w:rPr>
            </w:pPr>
            <w:bookmarkStart w:id="334" w:name="xdx_F02_z9vk2h365Zwb"/>
            <w:bookmarkEnd w:id="334"/>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both"/>
              <w:rPr>
                <w:rFonts w:ascii="Times New Roman;Times;Serif" w:hAnsi="Times New Roman;Times;Serif"/>
                <w:sz w:val="20"/>
              </w:rPr>
            </w:pPr>
            <w:bookmarkStart w:id="335" w:name="xdx_F16_z43zDhFUS5b9"/>
            <w:bookmarkEnd w:id="335"/>
            <w:r>
              <w:rPr>
                <w:rFonts w:ascii="Times New Roman;Times;Serif" w:hAnsi="Times New Roman;Times;Serif"/>
                <w:sz w:val="20"/>
              </w:rPr>
              <w:t>All 113 Foxconn Warrants expired on May 11, 2025.</w:t>
            </w:r>
          </w:p>
        </w:tc>
      </w:tr>
    </w:tbl>
    <w:tbl>
      <w:tblPr>
        <w:tblW w:w="5628" w:type="dxa"/>
        <w:jc w:val="left"/>
        <w:tblInd w:w="0" w:type="dxa"/>
        <w:tblLayout w:type="fixed"/>
        <w:tblCellMar>
          <w:top w:w="0" w:type="dxa"/>
          <w:left w:w="0" w:type="dxa"/>
          <w:bottom w:w="0" w:type="dxa"/>
          <w:right w:w="0" w:type="dxa"/>
        </w:tblCellMar>
      </w:tblPr>
      <w:tblGrid>
        <w:gridCol w:w="200"/>
        <w:gridCol w:w="23"/>
        <w:gridCol w:w="5405"/>
      </w:tblGrid>
      <w:tr>
        <w:trPr/>
        <w:tc>
          <w:tcPr>
            <w:tcW w:w="200" w:type="dxa"/>
            <w:tcBorders/>
            <w:vAlign w:val="center"/>
          </w:tcPr>
          <w:p>
            <w:pPr>
              <w:pStyle w:val="TableContents"/>
              <w:bidi w:val="0"/>
              <w:spacing w:before="0" w:after="283"/>
              <w:jc w:val="right"/>
              <w:rPr>
                <w:rFonts w:ascii="Times New Roman;Times;Serif" w:hAnsi="Times New Roman;Times;Serif"/>
                <w:sz w:val="20"/>
              </w:rPr>
            </w:pPr>
            <w:bookmarkStart w:id="336" w:name="xdx_F00_zAgDE8jZ4GNe"/>
            <w:bookmarkEnd w:id="336"/>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both"/>
              <w:rPr>
                <w:rFonts w:ascii="Times New Roman;Times;Serif" w:hAnsi="Times New Roman;Times;Serif"/>
                <w:sz w:val="20"/>
              </w:rPr>
            </w:pPr>
            <w:bookmarkStart w:id="337" w:name="xdx_F17_zbf1o46nu5Bd"/>
            <w:bookmarkEnd w:id="337"/>
            <w:r>
              <w:rPr>
                <w:rFonts w:ascii="Times New Roman;Times;Serif" w:hAnsi="Times New Roman;Times;Serif"/>
                <w:sz w:val="20"/>
              </w:rPr>
              <w:t>Private Placement Warrants are due to expire on October 23, 2025.</w:t>
            </w:r>
          </w:p>
        </w:tc>
      </w:tr>
    </w:tbl>
    <w:p>
      <w:pPr>
        <w:pStyle w:val="TextBody"/>
        <w:bidi w:val="0"/>
        <w:spacing w:before="0" w:after="0"/>
        <w:ind w:left="0" w:right="0" w:hanging="0"/>
        <w:jc w:val="both"/>
        <w:rPr>
          <w:caps w:val="false"/>
          <w:smallCaps w:val="false"/>
        </w:rPr>
      </w:pPr>
      <w:bookmarkStart w:id="338" w:name="xdx_8AF_zEXWngNRnz8b"/>
      <w:bookmarkEnd w:id="33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9" w:name="xdx_802_eus-gaap--DisclosureOfCompensati"/>
      <w:bookmarkEnd w:id="339"/>
      <w:r>
        <w:rPr>
          <w:rFonts w:ascii="Times New Roman;Times;Serif" w:hAnsi="Times New Roman;Times;Serif"/>
          <w:b/>
          <w:i w:val="false"/>
          <w:caps w:val="false"/>
          <w:smallCaps w:val="false"/>
          <w:sz w:val="20"/>
        </w:rPr>
        <w:t xml:space="preserve">NOTE 6 - </w:t>
      </w:r>
      <w:bookmarkStart w:id="340" w:name="xdx_827_zzoBbx2855p2"/>
      <w:bookmarkEnd w:id="340"/>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w:t>
      </w:r>
      <w:bookmarkStart w:id="341" w:name="xdx_909_ecustom--TerminationPeriodForOpt"/>
      <w:bookmarkEnd w:id="341"/>
      <w:r>
        <w:rPr>
          <w:rFonts w:ascii="Times New Roman;Times;Serif" w:hAnsi="Times New Roman;Times;Serif"/>
          <w:b w:val="false"/>
          <w:i w:val="false"/>
          <w:caps w:val="false"/>
          <w:smallCaps w:val="false"/>
          <w:sz w:val="20"/>
        </w:rPr>
        <w:t>three months of an officer’s termination of employment or a director’s termination of board service with the Company will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emergence, the Company and each of its then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w:t>
      </w:r>
      <w:bookmarkStart w:id="342" w:name="xdx_90D_ecustom--SharesIssuedForAwardsVe"/>
      <w:bookmarkEnd w:id="342"/>
      <w:r>
        <w:rPr>
          <w:rFonts w:ascii="Times New Roman;Times;Serif" w:hAnsi="Times New Roman;Times;Serif"/>
          <w:b w:val="false"/>
          <w:i w:val="false"/>
          <w:caps w:val="false"/>
          <w:smallCaps w:val="false"/>
          <w:sz w:val="20"/>
        </w:rPr>
        <w:t xml:space="preserve">101,947 shares of Class A common stock to satisfy equity awards that vested during the pendency of the Chapter 11 Cases, and </w:t>
      </w:r>
      <w:bookmarkStart w:id="343" w:name="xdx_902_eus-gaap--SharebasedCompensation"/>
      <w:bookmarkEnd w:id="343"/>
      <w:r>
        <w:rPr>
          <w:rFonts w:ascii="Times New Roman;Times;Serif" w:hAnsi="Times New Roman;Times;Serif"/>
          <w:b w:val="false"/>
          <w:i w:val="false"/>
          <w:caps w:val="false"/>
          <w:smallCaps w:val="false"/>
          <w:sz w:val="20"/>
        </w:rPr>
        <w:t>102,889 shares of Class A common stock related to the accelerated vesting of the NEO awards. The accelerated vesting of the NEO awards resulted in the recognition of $</w:t>
      </w:r>
      <w:bookmarkStart w:id="344" w:name="xdx_909_eus-gaap--ShareBasedCompensation"/>
      <w:bookmarkEnd w:id="344"/>
      <w:r>
        <w:rPr>
          <w:rFonts w:ascii="Times New Roman;Times;Serif" w:hAnsi="Times New Roman;Times;Serif"/>
          <w:b w:val="false"/>
          <w:i w:val="false"/>
          <w:caps w:val="false"/>
          <w:smallCaps w:val="false"/>
          <w:sz w:val="20"/>
        </w:rPr>
        <w:t>2.6 million of stock compensation expense during the first quarter of 2024. The remaining $</w:t>
      </w:r>
      <w:bookmarkStart w:id="345" w:name="xdx_902_ecustom--ShareBasedPaymentArrang"/>
      <w:bookmarkEnd w:id="345"/>
      <w:r>
        <w:rPr>
          <w:rFonts w:ascii="Times New Roman;Times;Serif" w:hAnsi="Times New Roman;Times;Serif"/>
          <w:b w:val="false"/>
          <w:i w:val="false"/>
          <w:caps w:val="false"/>
          <w:smallCaps w:val="false"/>
          <w:sz w:val="20"/>
        </w:rPr>
        <w:t>0.8 million of stock compensation expense during the first quarter of 2024 related to non-accelerated stock-based compensation for other employees prior to emergence.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Plan, on March 14, 2024, the Board of Directors approved, adopted and ratified an amendment to the Company’s 2020 Equity Incentive Plan, as amended to increase the number of shares of Class A common stock reserved for issuance thereunder to an aggregate of </w:t>
      </w:r>
      <w:bookmarkStart w:id="346" w:name="xdx_908_eus-gaap--CommonStockCapitalShar"/>
      <w:bookmarkEnd w:id="346"/>
      <w:r>
        <w:rPr>
          <w:rFonts w:ascii="Times New Roman;Times;Serif" w:hAnsi="Times New Roman;Times;Serif"/>
          <w:b w:val="false"/>
          <w:i w:val="false"/>
          <w:caps w:val="false"/>
          <w:smallCaps w:val="false"/>
          <w:sz w:val="20"/>
        </w:rPr>
        <w:t>3,000,000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Compensation Committee of the Board of Directors of the Company adopted a modified director compensation plan for the five outside directors that constitute the Board of Directors. The director compensation plan includes a </w:t>
      </w:r>
      <w:bookmarkStart w:id="347" w:name="xdx_90E_ecustom--ShareBasedPaymentArrang"/>
      <w:bookmarkEnd w:id="347"/>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three-year grant under the Company’s 2020 Equity Compensation Plan of restricted stock units (“RSUs”) with a fair market value of $</w:t>
      </w:r>
      <w:bookmarkStart w:id="348" w:name="xdx_90F_ecustom--ShareBasedPaymentArrang"/>
      <w:bookmarkEnd w:id="348"/>
      <w:r>
        <w:rPr>
          <w:rFonts w:ascii="Times New Roman;Times;Serif" w:hAnsi="Times New Roman;Times;Serif"/>
          <w:b w:val="false"/>
          <w:i w:val="false"/>
          <w:caps w:val="false"/>
          <w:smallCaps w:val="false"/>
          <w:sz w:val="20"/>
        </w:rPr>
        <w:t>8.0 thousand per director per quarter ($</w:t>
      </w:r>
      <w:bookmarkStart w:id="349" w:name="xdx_904_ecustom--ShareBasedPaymentArrang"/>
      <w:bookmarkEnd w:id="349"/>
      <w:r>
        <w:rPr>
          <w:rFonts w:ascii="Times New Roman;Times;Serif" w:hAnsi="Times New Roman;Times;Serif"/>
          <w:b w:val="false"/>
          <w:i w:val="false"/>
          <w:caps w:val="false"/>
          <w:smallCaps w:val="false"/>
          <w:sz w:val="20"/>
        </w:rPr>
        <w:t>96.0 thousand per director in the aggregate), based on the closing price per share of the Company’s common stock on May 13, 2024. The RSUs granted cover service on the Board through the first quarter of 2027 and vest quarterly through January 30, 2027, subject to acceleration on the occurrence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and December 4, 2024, the Compensation Committee of the Board of Directors of the Company adopted the director compensation plan for 2025 which includes cash payments of $</w:t>
      </w:r>
      <w:bookmarkStart w:id="350" w:name="xdx_904_eus-gaap--ShareBasedCompensation"/>
      <w:bookmarkStart w:id="351" w:name="xdx_901_eus-gaap--ShareBasedCompensation"/>
      <w:bookmarkEnd w:id="350"/>
      <w:bookmarkEnd w:id="351"/>
      <w:r>
        <w:rPr>
          <w:rFonts w:ascii="Times New Roman;Times;Serif" w:hAnsi="Times New Roman;Times;Serif"/>
          <w:b w:val="false"/>
          <w:i w:val="false"/>
          <w:caps w:val="false"/>
          <w:smallCaps w:val="false"/>
          <w:sz w:val="20"/>
        </w:rPr>
        <w:t>140.0 thousand per year ($</w:t>
      </w:r>
      <w:bookmarkStart w:id="352" w:name="xdx_903_eus-gaap--ShareBasedCompensation"/>
      <w:bookmarkStart w:id="353" w:name="xdx_908_eus-gaap--ShareBasedCompensation"/>
      <w:bookmarkEnd w:id="352"/>
      <w:bookmarkEnd w:id="353"/>
      <w:r>
        <w:rPr>
          <w:rFonts w:ascii="Times New Roman;Times;Serif" w:hAnsi="Times New Roman;Times;Serif"/>
          <w:b w:val="false"/>
          <w:i w:val="false"/>
          <w:caps w:val="false"/>
          <w:smallCaps w:val="false"/>
          <w:sz w:val="20"/>
        </w:rPr>
        <w:t>210.0 thousand for the board of director chair (the “Chair)) and an annual RSU grant with a fair market value of $</w:t>
      </w:r>
      <w:bookmarkStart w:id="354" w:name="xdx_902_eus-gaap--ShareBasedCompensation"/>
      <w:bookmarkStart w:id="355" w:name="xdx_90F_eus-gaap--ShareBasedCompensation"/>
      <w:bookmarkEnd w:id="354"/>
      <w:bookmarkEnd w:id="355"/>
      <w:r>
        <w:rPr>
          <w:rFonts w:ascii="Times New Roman;Times;Serif" w:hAnsi="Times New Roman;Times;Serif"/>
          <w:b w:val="false"/>
          <w:i w:val="false"/>
          <w:caps w:val="false"/>
          <w:smallCaps w:val="false"/>
          <w:sz w:val="20"/>
        </w:rPr>
        <w:t>100.0 thousand ($</w:t>
      </w:r>
      <w:bookmarkStart w:id="356" w:name="xdx_901_eus-gaap--ShareBasedCompensation"/>
      <w:bookmarkStart w:id="357" w:name="xdx_909_eus-gaap--ShareBasedCompensation"/>
      <w:bookmarkEnd w:id="356"/>
      <w:bookmarkEnd w:id="357"/>
      <w:r>
        <w:rPr>
          <w:rFonts w:ascii="Times New Roman;Times;Serif" w:hAnsi="Times New Roman;Times;Serif"/>
          <w:b w:val="false"/>
          <w:i w:val="false"/>
          <w:caps w:val="false"/>
          <w:smallCaps w:val="false"/>
          <w:sz w:val="20"/>
        </w:rPr>
        <w:t>150.0 thousand for Chair), vesting in substantially equal tranches on the first two anniversaries of the grant date. The grant date is the first trading day in January of each year (i.e., January 2, 2025). The fair value shall be determined based on the fair market value as of the grant date using the closing price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shares in respect to vested RSUs will occur as such shares vest, unless a director makes an irrevocable election to defer settlement (i.e., on the earliest of (x) five years after the grant date, (y) a change in control event, or (z) separation from service). Such election must be made in the calendar year prior to RSUs being granted. All Company directors elected this deferral in December 2024 related to RSUs granted to Board of Directors for 2025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the Company recognized $</w:t>
      </w:r>
      <w:bookmarkStart w:id="358" w:name="xdx_90C_eus-gaap--AllocatedShareBasedCom"/>
      <w:bookmarkEnd w:id="358"/>
      <w:r>
        <w:rPr>
          <w:rFonts w:ascii="Times New Roman;Times;Serif" w:hAnsi="Times New Roman;Times;Serif"/>
          <w:b w:val="false"/>
          <w:i w:val="false"/>
          <w:caps w:val="false"/>
          <w:smallCaps w:val="false"/>
          <w:sz w:val="20"/>
        </w:rPr>
        <w:t>0.1 million and $</w:t>
      </w:r>
      <w:bookmarkStart w:id="359" w:name="xdx_908_eus-gaap--AllocatedShareBasedCom"/>
      <w:bookmarkEnd w:id="359"/>
      <w:r>
        <w:rPr>
          <w:rFonts w:ascii="Times New Roman;Times;Serif" w:hAnsi="Times New Roman;Times;Serif"/>
          <w:b w:val="false"/>
          <w:i w:val="false"/>
          <w:caps w:val="false"/>
          <w:smallCaps w:val="false"/>
          <w:sz w:val="20"/>
        </w:rPr>
        <w:t>0.2 million of stock-based compensation expense, respectively, which was included in selling, general, and administrative expense on the condensed consolidated statements of operations and comprehensive income (loss). As of June 30, 2025, there was $</w:t>
      </w:r>
      <w:bookmarkStart w:id="360" w:name="xdx_90A_eus-gaap--EmployeeServiceShareBa"/>
      <w:bookmarkEnd w:id="360"/>
      <w:r>
        <w:rPr>
          <w:rFonts w:ascii="Times New Roman;Times;Serif" w:hAnsi="Times New Roman;Times;Serif"/>
          <w:b w:val="false"/>
          <w:i w:val="false"/>
          <w:caps w:val="false"/>
          <w:smallCaps w:val="false"/>
          <w:sz w:val="20"/>
        </w:rPr>
        <w:t xml:space="preserve">0.7 million of unrecognized stock-based compensation related to non-vested awards that is expected to be recognized over a weighted average period of </w:t>
      </w:r>
      <w:bookmarkStart w:id="361" w:name="xdx_905_eus-gaap--ShareBasedCompensation"/>
      <w:bookmarkEnd w:id="361"/>
      <w:r>
        <w:rPr>
          <w:rFonts w:ascii="Times New Roman;Times;Serif" w:hAnsi="Times New Roman;Times;Serif"/>
          <w:b w:val="false"/>
          <w:i w:val="false"/>
          <w:caps w:val="false"/>
          <w:smallCaps w:val="false"/>
          <w:sz w:val="20"/>
        </w:rPr>
        <w:t>1.55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2" w:name="xdx_80C_eus-gaap--CommitmentsAndContinge"/>
      <w:bookmarkEnd w:id="362"/>
      <w:r>
        <w:rPr>
          <w:rFonts w:ascii="Times New Roman;Times;Serif" w:hAnsi="Times New Roman;Times;Serif"/>
          <w:b/>
          <w:i w:val="false"/>
          <w:caps w:val="false"/>
          <w:smallCaps w:val="false"/>
          <w:sz w:val="20"/>
        </w:rPr>
        <w:t xml:space="preserve">NOTE 7 - </w:t>
      </w:r>
      <w:bookmarkStart w:id="363" w:name="xdx_82D_zgSs2u6mHsN4"/>
      <w:bookmarkEnd w:id="363"/>
      <w:r>
        <w:rPr>
          <w:rFonts w:ascii="Times New Roman;Times;Serif" w:hAnsi="Times New Roman;Times;Serif"/>
          <w:b/>
          <w:i w:val="false"/>
          <w:caps w:val="false"/>
          <w:smallCaps w:val="false"/>
          <w:sz w:val="20"/>
        </w:rPr>
        <w:t>COMMITMENTS AND CONTINGENCIES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Voluntary Chapter 11 Proceedings, Liabilities Subject to Compromise and Other Potential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and its subsidiaries commenced the Chapter 11 Cases in the Bankruptcy Court. See Note 1 - Description of Organization and Business Operations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filing the Chapter 11 petitions, until our emergence from bankruptcy on March 14, 2024, the Company operated as debtor-in-possession under the jurisdiction of the Bankruptcy Court and in accordance with the applicable provisions of the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the Bankruptcy Court’s approval of its customary motions filed on June 27, 2023, which authorized the Company to conduct its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firstLine="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8, 2023, the Bankruptcy Court approved procedures for the Company to conduct a comprehensive marketing and sale process for some, all, or substantially all of their assets in order to maximize the value of those assets. The marketing process culminated in the Company entering into the LandX Asset Purchase Agreement on March 29, 2023, providing for the sale of </w:t>
      </w:r>
      <w:r>
        <w:rPr>
          <w:rFonts w:ascii="Times New Roman;Times;Serif" w:hAnsi="Times New Roman;Times;Serif"/>
          <w:b w:val="false"/>
          <w:i w:val="false"/>
          <w:caps w:val="false"/>
          <w:smallCaps w:val="false"/>
          <w:sz w:val="20"/>
          <w:shd w:fill="FFFFFF" w:val="clear"/>
        </w:rPr>
        <w:t>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w:t>
      </w:r>
      <w:bookmarkStart w:id="364" w:name="xdx_90B_eus-gaap--PaymentsToAcquireProdu"/>
      <w:bookmarkEnd w:id="364"/>
      <w:r>
        <w:rPr>
          <w:rFonts w:ascii="Times New Roman;Times;Serif" w:hAnsi="Times New Roman;Times;Serif"/>
          <w:b w:val="false"/>
          <w:i w:val="false"/>
          <w:caps w:val="false"/>
          <w:smallCaps w:val="false"/>
          <w:sz w:val="20"/>
          <w:shd w:fill="FFFFFF" w:val="clear"/>
        </w:rPr>
        <w:t xml:space="preserve">10.2 million in cash. This transaction closed on October 27, 2023. See Note </w:t>
      </w: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shd w:fill="FFFFFF" w:val="clear"/>
        </w:rPr>
        <w:t>- Description of Organization and Business Operations - 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pursuant to the Bankruptcy Court’s order confirming the Plan.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NTD: Legal/Management to provide update.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or that may arise due to our obligations under the Highway Safety Act of 1970 (the “Safety Act”) administered by the National Highway Traffic Safety Administration (“NHTSA”) described under “NHTSA Matters” below. The deadline to assert rejection damage claims and administrative expense claims has passed. The ability of creditors to amend previously filed proofs of claim, both in terms of amount and nature of claim, will be governed in accordance with applicable law. Furthermore, proofs of claim have been filed asserting unliquidated damages or claims in respect of certain indemnifications or otherwise that we may not be able to estimate, or may be materially more than we estimate. The amount of such liability may diminish the assets available to satisfy general unsecured claims. There is substantial risk of litigation by and against the Company or its indemnified directors and officers with respect to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deadline for parties to file proofs of claim arising from the Company’s rejection of an executory contract or unexpired lease, and proofs of claim for administrative expense claims, was April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rejection damages and administrative expense claims were filed, all of which have been settled or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any unliquidated claims may be settled or resolved for materially different amounts. These amounts are also subject to adjustments if we make changes to our assumptions or estimates related to unliquidated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the Company recorded $</w:t>
      </w:r>
      <w:bookmarkStart w:id="365" w:name="xdx_903_eus-gaap--RestrictedCashCurrent_"/>
      <w:bookmarkEnd w:id="365"/>
      <w:r>
        <w:rPr>
          <w:rFonts w:ascii="Times New Roman;Times;Serif" w:hAnsi="Times New Roman;Times;Serif"/>
          <w:b w:val="false"/>
          <w:i w:val="false"/>
          <w:caps w:val="false"/>
          <w:smallCaps w:val="false"/>
          <w:sz w:val="20"/>
        </w:rPr>
        <w:t>60.7 million in restricted cash as required by the Plan of Reorganization for bankruptcy and administrative claim settlements and pre-emergence bankruptcy professional fees. Post emergence the Company settled claims and pre-emergence bankruptcy professional fees totaling $</w:t>
      </w:r>
      <w:bookmarkStart w:id="366" w:name="xdx_90C_eus-gaap--BankruptcyClaimsAmount"/>
      <w:bookmarkEnd w:id="366"/>
      <w:r>
        <w:rPr>
          <w:rFonts w:ascii="Times New Roman;Times;Serif" w:hAnsi="Times New Roman;Times;Serif"/>
          <w:b w:val="false"/>
          <w:i w:val="false"/>
          <w:caps w:val="false"/>
          <w:smallCaps w:val="false"/>
          <w:sz w:val="20"/>
        </w:rPr>
        <w:t>38.3 million, resulting in a restricted cash balance of $</w:t>
      </w:r>
      <w:bookmarkStart w:id="367" w:name="xdx_904_eus-gaap--RestrictedCashCurrent_"/>
      <w:bookmarkEnd w:id="367"/>
      <w:r>
        <w:rPr>
          <w:rFonts w:ascii="Times New Roman;Times;Serif" w:hAnsi="Times New Roman;Times;Serif"/>
          <w:b w:val="false"/>
          <w:i w:val="false"/>
          <w:caps w:val="false"/>
          <w:smallCaps w:val="false"/>
          <w:sz w:val="20"/>
        </w:rPr>
        <w:t>2.7 million and a restricted short-term investments balance of $</w:t>
      </w:r>
      <w:bookmarkStart w:id="368" w:name="xdx_905_eus-gaap--OtherShortTermInvestme"/>
      <w:bookmarkEnd w:id="368"/>
      <w:r>
        <w:rPr>
          <w:rFonts w:ascii="Times New Roman;Times;Serif" w:hAnsi="Times New Roman;Times;Serif"/>
          <w:b w:val="false"/>
          <w:i w:val="false"/>
          <w:caps w:val="false"/>
          <w:smallCaps w:val="false"/>
          <w:sz w:val="20"/>
        </w:rPr>
        <w:t>19.7 million as of June 30, 2025. In accordance with Plan, the Claims Ombudsman had until the end of the GUC Reserve Adjustment Period (as defined in the Plan) to request an increase in the reserve, if he believed the existing reserve would be insufficient to fund all allowed and disputed unsecured claims. The Claims Ombudsman made no such request, and the GUC Reserve Adjustment Period concluded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the Company recorded a liability totaling $</w:t>
      </w:r>
      <w:bookmarkStart w:id="369" w:name="xdx_909_eus-gaap--LiabilitiesSubjectToCo"/>
      <w:bookmarkEnd w:id="369"/>
      <w:r>
        <w:rPr>
          <w:rFonts w:ascii="Times New Roman;Times;Serif" w:hAnsi="Times New Roman;Times;Serif"/>
          <w:b w:val="false"/>
          <w:i w:val="false"/>
          <w:caps w:val="false"/>
          <w:smallCaps w:val="false"/>
          <w:sz w:val="20"/>
        </w:rPr>
        <w:t>29.9 million upon emergence from bankruptcy within liabilities subject to compromise, which was reflective of the expected allowed claims amounts in accordance with ASC 852-10. After emerging from bankruptcy, the Company settled liabilities subject to compromise since emergence from bankruptcy in the amount totaling $</w:t>
      </w:r>
      <w:bookmarkStart w:id="370" w:name="xdx_904_eus-gaap--LiabilitiesSubjectToCo"/>
      <w:bookmarkEnd w:id="370"/>
      <w:r>
        <w:rPr>
          <w:rFonts w:ascii="Times New Roman;Times;Serif" w:hAnsi="Times New Roman;Times;Serif"/>
          <w:b w:val="false"/>
          <w:i w:val="false"/>
          <w:caps w:val="false"/>
          <w:smallCaps w:val="false"/>
          <w:sz w:val="20"/>
        </w:rPr>
        <w:t>22.4 million, resulting in a liabilities subject to compromise balance of $</w:t>
      </w:r>
      <w:bookmarkStart w:id="371" w:name="xdx_907_eus-gaap--LiabilitiesSubjectToCo"/>
      <w:bookmarkEnd w:id="371"/>
      <w:r>
        <w:rPr>
          <w:rFonts w:ascii="Times New Roman;Times;Serif" w:hAnsi="Times New Roman;Times;Serif"/>
          <w:b w:val="false"/>
          <w:i w:val="false"/>
          <w:caps w:val="false"/>
          <w:smallCaps w:val="false"/>
          <w:sz w:val="20"/>
        </w:rPr>
        <w:t>7.5 million as of June 30, 2025. This balance reflects both undisputed and partially disputed amounts the Company may owe.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 as of June 30, 2025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Insurance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2024, the Company filed a complaint in the United States Bankruptcy Court for the District of Delaware seeking a declaration that the Company is entitled to coverage from the 2020-2022 primary layer D&amp;O liability insurance company for costs to defend certain lawsuits and respond to certain SEC and DOJ investigations. The primary policy had a face limit of $</w:t>
      </w:r>
      <w:bookmarkStart w:id="372" w:name="xdx_900_ecustom--PolicyFacialLimit_iI_pn"/>
      <w:bookmarkEnd w:id="372"/>
      <w:r>
        <w:rPr>
          <w:rFonts w:ascii="Times New Roman;Times;Serif" w:hAnsi="Times New Roman;Times;Serif"/>
          <w:b w:val="false"/>
          <w:i w:val="false"/>
          <w:caps w:val="false"/>
          <w:smallCaps w:val="false"/>
          <w:sz w:val="20"/>
        </w:rPr>
        <w:t>5 million. The Company filed a memorandum of law in support of its motion for summary judgment with the Court on November 4, 2024. In response, the primary layer insurer moved to dismiss and filed a competing lawsuit in New York State court seeking a declaration that there is no coverage for the same lawsuits and SEC and DOJ investigations. No damages are sought against the Company. The motion to dismiss was granted by the Bankruptcy Court. The litigation filed by the primary layer insurance company in New York is moving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directors and officers have also stated that they intend to pursue coverage for their defense costs related to these lawsuits, and the Bankruptcy Court has ordered that they coordinate with the Company on these efforts in order to maximize the amount of coverage potentially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Ohio Securities Class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373" w:name="xdx_902_eus-gaap--LossContingencyNewClai"/>
      <w:bookmarkEnd w:id="373"/>
      <w:r>
        <w:rPr>
          <w:rFonts w:ascii="Times New Roman;Times;Serif" w:hAnsi="Times New Roman;Times;Serif"/>
          <w:b w:val="false"/>
          <w:i w:val="false"/>
          <w:caps w:val="false"/>
          <w:smallCaps w:val="false"/>
          <w:sz w:val="20"/>
          <w:shd w:fill="FFFFFF" w:val="clear"/>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Plan settled the Ohio Securities Class Action, with the lead plaintiff receiving (i) $</w:t>
      </w:r>
      <w:bookmarkStart w:id="374" w:name="xdx_909_eus-gaap--DebtorReorganizationIt"/>
      <w:bookmarkEnd w:id="374"/>
      <w:r>
        <w:rPr>
          <w:rFonts w:ascii="Times New Roman;Times;Serif" w:hAnsi="Times New Roman;Times;Serif"/>
          <w:b w:val="false"/>
          <w:i w:val="false"/>
          <w:caps w:val="false"/>
          <w:smallCaps w:val="false"/>
          <w:sz w:val="20"/>
          <w:shd w:fill="FFFFFF" w:val="clear"/>
        </w:rPr>
        <w:t>3 million in cash and (ii) up to an additional $</w:t>
      </w:r>
      <w:bookmarkStart w:id="375" w:name="xdx_90E_ecustom--DebtorReorganizationIte"/>
      <w:bookmarkEnd w:id="375"/>
      <w:r>
        <w:rPr>
          <w:rFonts w:ascii="Times New Roman;Times;Serif" w:hAnsi="Times New Roman;Times;Serif"/>
          <w:b w:val="false"/>
          <w:i w:val="false"/>
          <w:caps w:val="false"/>
          <w:smallCaps w:val="false"/>
          <w:sz w:val="20"/>
          <w:shd w:fill="FFFFFF" w:val="clear"/>
        </w:rPr>
        <w:t xml:space="preserve">7 million, consisting of (a) </w:t>
      </w:r>
      <w:bookmarkStart w:id="376" w:name="xdx_904_ecustom--DebtorReorganizationIte"/>
      <w:bookmarkEnd w:id="376"/>
      <w:r>
        <w:rPr>
          <w:rFonts w:ascii="Times New Roman;Times;Serif" w:hAnsi="Times New Roman;Times;Serif"/>
          <w:b w:val="false"/>
          <w:i w:val="false"/>
          <w:caps w:val="false"/>
          <w:smallCaps w:val="false"/>
          <w:sz w:val="20"/>
          <w:shd w:fill="FFFFFF" w:val="clear"/>
        </w:rPr>
        <w:t xml:space="preserve">25% of all net litigation proceeds received by the Company on Retained Causes of Action (if any); and (b) the lesser of (x) </w:t>
      </w:r>
      <w:bookmarkStart w:id="377" w:name="xdx_903_ecustom--DebtorReorganizationIte"/>
      <w:bookmarkEnd w:id="377"/>
      <w:r>
        <w:rPr>
          <w:rFonts w:ascii="Times New Roman;Times;Serif" w:hAnsi="Times New Roman;Times;Serif"/>
          <w:b w:val="false"/>
          <w:i w:val="false"/>
          <w:caps w:val="false"/>
          <w:smallCaps w:val="false"/>
          <w:sz w:val="20"/>
          <w:shd w:fill="FFFFFF" w:val="clear"/>
        </w:rPr>
        <w:t>16% of any distribution made by the Company on account of Foxconn’s preferred stock liquidation preference, and (y) $</w:t>
      </w:r>
      <w:bookmarkStart w:id="378" w:name="xdx_908_ecustom--DebtorReorganizationIte"/>
      <w:bookmarkEnd w:id="378"/>
      <w:r>
        <w:rPr>
          <w:rFonts w:ascii="Times New Roman;Times;Serif" w:hAnsi="Times New Roman;Times;Serif"/>
          <w:b w:val="false"/>
          <w:i w:val="false"/>
          <w:caps w:val="false"/>
          <w:smallCaps w:val="false"/>
          <w:sz w:val="20"/>
          <w:shd w:fill="FFFFFF" w:val="clear"/>
        </w:rPr>
        <w:t xml:space="preserve">5 million, on behalf of the Ohio Settlement Class (as defined in the Plan).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9" w:name="xdx_909_eus-gaap--LossContingencyNewClai"/>
      <w:bookmarkEnd w:id="379"/>
      <w:r>
        <w:rPr>
          <w:rFonts w:ascii="Times New Roman;Times;Serif" w:hAnsi="Times New Roman;Times;Serif"/>
          <w:b w:val="false"/>
          <w:i w:val="false"/>
          <w:caps w:val="false"/>
          <w:smallCaps w:val="false"/>
          <w:sz w:val="20"/>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On March 12, 2025, the pending District of Delaware action was dismissed pursuant to a notice of voluntary dismissal.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DiamondPeak Delaware Class Action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0" w:name="xdx_908_ecustom--NumberOfPutativeClassAc"/>
      <w:bookmarkEnd w:id="380"/>
      <w:r>
        <w:rPr>
          <w:rFonts w:ascii="Times New Roman;Times;Serif" w:hAnsi="Times New Roman;Times;Serif"/>
          <w:b w:val="false"/>
          <w:i w:val="false"/>
          <w:caps w:val="false"/>
          <w:smallCaps w:val="false"/>
          <w:sz w:val="20"/>
        </w:rPr>
        <w:t>Two putative class action lawsuits were filed against former DiamondPeak directors and DiamondPeak Sponsor LLC on December 8 and 13, 2021 in the Delaware Court of Chancery (</w:t>
      </w:r>
      <w:r>
        <w:rPr>
          <w:rFonts w:ascii="Times New Roman;Times;Serif" w:hAnsi="Times New Roman;Times;Serif"/>
          <w:b w:val="false"/>
          <w:i/>
          <w:caps w:val="false"/>
          <w:smallCaps w:val="false"/>
          <w:sz w:val="20"/>
        </w:rPr>
        <w:t>Hebert v. Hamamoto, et al.</w:t>
      </w:r>
      <w:r>
        <w:rPr>
          <w:rFonts w:ascii="Times New Roman;Times;Serif" w:hAnsi="Times New Roman;Times;Serif"/>
          <w:b w:val="false"/>
          <w:i w:val="false"/>
          <w:caps w:val="false"/>
          <w:smallCaps w:val="false"/>
          <w:sz w:val="20"/>
        </w:rPr>
        <w:t xml:space="preserve"> (C.A. No. 2021-1066); and </w:t>
      </w:r>
      <w:r>
        <w:rPr>
          <w:rFonts w:ascii="Times New Roman;Times;Serif" w:hAnsi="Times New Roman;Times;Serif"/>
          <w:b w:val="false"/>
          <w:i/>
          <w:caps w:val="false"/>
          <w:smallCaps w:val="false"/>
          <w:sz w:val="20"/>
        </w:rPr>
        <w:t>Amin v Hamamoto, et al.</w:t>
      </w:r>
      <w:r>
        <w:rPr>
          <w:rFonts w:ascii="Times New Roman;Times;Serif" w:hAnsi="Times New Roman;Times;Serif"/>
          <w:b w:val="false"/>
          <w:i w:val="false"/>
          <w:caps w:val="false"/>
          <w:smallCaps w:val="false"/>
          <w:sz w:val="20"/>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 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Times New Roman;Times;Serif" w:hAnsi="Times New Roman;Times;Serif"/>
          <w:b w:val="false"/>
          <w:i/>
          <w:caps w:val="false"/>
          <w:smallCaps w:val="false"/>
          <w:sz w:val="20"/>
        </w:rPr>
        <w:t>Lordstown Motors Corp. v. Amin</w:t>
      </w:r>
      <w:r>
        <w:rPr>
          <w:rFonts w:ascii="Times New Roman;Times;Serif" w:hAnsi="Times New Roman;Times;Serif"/>
          <w:b w:val="false"/>
          <w:i w:val="false"/>
          <w:caps w:val="false"/>
          <w:smallCaps w:val="false"/>
          <w:sz w:val="20"/>
        </w:rPr>
        <w:t>, Adv. Proc. No. 23-50428 (Bankr. D. Del.) and (ii) a motion and brief in support thereof, 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set forth in Article III B.8 of the Plan. The proceedings remain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2024, the Company and the former DiamondPeak directors entered into a settlement agreement pursuant to which, among other things, such former directors’ claims against the Company were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w:t>
      </w:r>
      <w:bookmarkStart w:id="381" w:name="xdx_900_ecustom--LossContingencyNumberOf"/>
      <w:bookmarkEnd w:id="381"/>
      <w:r>
        <w:rPr>
          <w:rFonts w:ascii="Times New Roman;Times;Serif" w:hAnsi="Times New Roman;Times;Serif"/>
          <w:b w:val="false"/>
          <w:i w:val="false"/>
          <w:caps w:val="false"/>
          <w:smallCaps w:val="false"/>
          <w:sz w:val="20"/>
        </w:rPr>
        <w:t xml:space="preserve"> two subpoenas from the SEC for the production of documents and information, including relating to the merger between DiamondPeak and Legacy Lordstown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w:t>
      </w:r>
      <w:bookmarkStart w:id="382" w:name="xdx_900_eus-gaap--BankruptcyClaimsAmount"/>
      <w:bookmarkEnd w:id="382"/>
      <w:r>
        <w:rPr>
          <w:rFonts w:ascii="Times New Roman;Times;Serif" w:hAnsi="Times New Roman;Times;Serif"/>
          <w:b w:val="false"/>
          <w:i w:val="false"/>
          <w:caps w:val="false"/>
          <w:smallCaps w:val="false"/>
          <w:sz w:val="20"/>
        </w:rPr>
        <w:t>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7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 Refer to Note 4 - Series A Convertible Preferred Stock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2024, the Bankruptcy Court entered an opinion and order partially denying and partially granting the Foxconn Adversary Motion to Dismiss, which was subsequently amended on October 1, 2024. </w:t>
      </w:r>
      <w:bookmarkStart w:id="383" w:name="xdx_90B_ecustom--LossContingencyClaimsSu"/>
      <w:bookmarkEnd w:id="383"/>
      <w:r>
        <w:rPr>
          <w:rFonts w:ascii="Times New Roman;Times;Serif" w:hAnsi="Times New Roman;Times;Serif"/>
          <w:b w:val="false"/>
          <w:i w:val="false"/>
          <w:caps w:val="false"/>
          <w:smallCaps w:val="false"/>
          <w:sz w:val="20"/>
        </w:rPr>
        <w:t xml:space="preserve">Nine of the Company’s claims survived the motion to dismiss on the grounds that the Company pled viable claims against Foxconn and the claims were not subject to mandatory arbitration. The Court also dismissed </w:t>
      </w:r>
      <w:bookmarkStart w:id="384" w:name="xdx_90E_eus-gaap--LossContingencyClaimsD"/>
      <w:bookmarkEnd w:id="384"/>
      <w:r>
        <w:rPr>
          <w:rFonts w:ascii="Times New Roman;Times;Serif" w:hAnsi="Times New Roman;Times;Serif"/>
          <w:b w:val="false"/>
          <w:i w:val="false"/>
          <w:caps w:val="false"/>
          <w:smallCaps w:val="false"/>
          <w:sz w:val="20"/>
        </w:rPr>
        <w:t>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District Court proceedings, the Company and Foxconn engaged in a mediation effort. On January 15, 2025, the Company informed the District Court that the mediation did not result in a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the Company moved the District Court to allow the appeal to be heard directly by the Court of Appeals for the Third Circuit. That motion is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vigorously pursuing the litigation.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Post-Petition Securities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each filed motions for appointment as lead plaintiff in the Post-Petition Securities Action. On September 30, 2024, the Post-Petition Securities Action was dismissed in full on the grounds that none of the allegations were actionable.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Plan constituted an objection to each of the RIDE Proofs of Claim, and on October 25, 2024, the Company filed additional objections to the RIDE Proofs of Claim on various grounds. Each of the RIDE Proofs of Claim was disallowed by Bankruptcy Court order, and the Company bears no liability for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NHTSA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has repurchased all of the vehicles that were sold (other than the vehicles sold to LAS Capital or its affiliates, for which it assumed warranty, product liability and recall liabilities). The Company cannot predict the extent of the liability that may arise from the Safety Act obligations for vehicles the Company has already manufactured and sold, or any claims that may be asserted by NHTSA.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5" w:name="xdx_809_eus-gaap--RelatedPartyTransactio"/>
      <w:bookmarkEnd w:id="385"/>
      <w:r>
        <w:rPr>
          <w:rFonts w:ascii="Times New Roman;Times;Serif" w:hAnsi="Times New Roman;Times;Serif"/>
          <w:b/>
          <w:i w:val="false"/>
          <w:caps w:val="false"/>
          <w:smallCaps w:val="false"/>
          <w:sz w:val="20"/>
        </w:rPr>
        <w:t xml:space="preserve">NOTE 8 - </w:t>
      </w:r>
      <w:bookmarkStart w:id="386" w:name="xdx_82F_zDcasjGO8Yt6"/>
      <w:bookmarkEnd w:id="386"/>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Investment Agreement, Foxconn made additional equity investments in the Company, whereby it became a related party under the Company’s Related Party Transaction Policy as a </w:t>
      </w:r>
      <w:bookmarkStart w:id="387" w:name="xdx_900_ecustom--RelatedPartyTransaction"/>
      <w:bookmarkEnd w:id="387"/>
      <w:r>
        <w:rPr>
          <w:rFonts w:ascii="Times New Roman;Times;Serif" w:hAnsi="Times New Roman;Times;Serif"/>
          <w:b w:val="false"/>
          <w:i w:val="false"/>
          <w:caps w:val="false"/>
          <w:smallCaps w:val="false"/>
          <w:sz w:val="20"/>
        </w:rPr>
        <w:t xml:space="preserve">5% or more beneficial owner of the Company’s Class A common stock. For the three and six months ended June 30, 2025 and 2024, the Company made </w:t>
      </w:r>
      <w:bookmarkStart w:id="388" w:name="xdx_907_ecustom--PaymentsToRelatedPartie"/>
      <w:bookmarkStart w:id="389" w:name="xdx_903_ecustom--PaymentsToRelatedPartie"/>
      <w:bookmarkEnd w:id="388"/>
      <w:bookmarkEnd w:id="389"/>
      <w:r>
        <w:rPr>
          <w:rFonts w:ascii="Times New Roman;Times;Serif" w:hAnsi="Times New Roman;Times;Serif"/>
          <w:b w:val="false"/>
          <w:i w:val="false"/>
          <w:caps w:val="false"/>
          <w:smallCaps w:val="false"/>
          <w:sz w:val="20"/>
        </w:rPr>
        <w:t xml:space="preserve">no payments, and had </w:t>
      </w:r>
      <w:bookmarkStart w:id="390" w:name="xdx_90C_eus-gaap--OtherLiabilities_iI_do"/>
      <w:bookmarkEnd w:id="390"/>
      <w:r>
        <w:rPr>
          <w:rFonts w:ascii="Times New Roman;Times;Serif" w:hAnsi="Times New Roman;Times;Serif"/>
          <w:b w:val="false"/>
          <w:i w:val="false"/>
          <w:caps w:val="false"/>
          <w:smallCaps w:val="false"/>
          <w:sz w:val="20"/>
        </w:rPr>
        <w:t>no amounts payable, to Foxconn.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 the Company’s Chief Executive Officer, is a principal of M3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Mr. Gallagher has been, and will remain, employed by M3 Partners and will provide his services pursuant to the Engagement Agreement. Pursuant to the Engagement Agreement, M3 Partners’ fees are calculated on an hourly basis. The Company incurred approximately $</w:t>
      </w:r>
      <w:bookmarkStart w:id="391" w:name="xdx_908_eus-gaap--ProfessionalFees_pn5n6"/>
      <w:bookmarkEnd w:id="391"/>
      <w:r>
        <w:rPr>
          <w:rFonts w:ascii="Times New Roman;Times;Serif" w:hAnsi="Times New Roman;Times;Serif"/>
          <w:b w:val="false"/>
          <w:i w:val="false"/>
          <w:caps w:val="false"/>
          <w:smallCaps w:val="false"/>
          <w:sz w:val="20"/>
        </w:rPr>
        <w:t>0.2 million and $</w:t>
      </w:r>
      <w:bookmarkStart w:id="392" w:name="xdx_900_eus-gaap--ProfessionalFees_pn5n6"/>
      <w:bookmarkEnd w:id="392"/>
      <w:r>
        <w:rPr>
          <w:rFonts w:ascii="Times New Roman;Times;Serif" w:hAnsi="Times New Roman;Times;Serif"/>
          <w:b w:val="false"/>
          <w:i w:val="false"/>
          <w:caps w:val="false"/>
          <w:smallCaps w:val="false"/>
          <w:sz w:val="20"/>
        </w:rPr>
        <w:t>0.5 million in fees payable to M3 Partners under the Engagement Agreement for the three and six months ended June 30, 2025, respectively, which is included in selling, general, and administrative expenses within the condensed consolidated statements of operations and comprehensive (loss) income. For the three and six months ended June 30, 2024, the Company incurred approximately $</w:t>
      </w:r>
      <w:bookmarkStart w:id="393" w:name="xdx_90B_eus-gaap--ProfessionalFees_pn5n6"/>
      <w:bookmarkEnd w:id="393"/>
      <w:r>
        <w:rPr>
          <w:rFonts w:ascii="Times New Roman;Times;Serif" w:hAnsi="Times New Roman;Times;Serif"/>
          <w:b w:val="false"/>
          <w:i w:val="false"/>
          <w:caps w:val="false"/>
          <w:smallCaps w:val="false"/>
          <w:sz w:val="20"/>
        </w:rPr>
        <w:t>0.5 million and $</w:t>
      </w:r>
      <w:bookmarkStart w:id="394" w:name="xdx_90C_eus-gaap--ProfessionalFees_pn5n6"/>
      <w:bookmarkEnd w:id="394"/>
      <w:r>
        <w:rPr>
          <w:rFonts w:ascii="Times New Roman;Times;Serif" w:hAnsi="Times New Roman;Times;Serif"/>
          <w:b w:val="false"/>
          <w:i w:val="false"/>
          <w:caps w:val="false"/>
          <w:smallCaps w:val="false"/>
          <w:sz w:val="20"/>
        </w:rPr>
        <w:t>0.6 million in fees payable to M3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5" w:name="xdx_80E_eus-gaap--SubsequentEventsTextBl"/>
      <w:bookmarkEnd w:id="395"/>
      <w:r>
        <w:rPr>
          <w:rFonts w:ascii="Times New Roman;Times;Serif" w:hAnsi="Times New Roman;Times;Serif"/>
          <w:b/>
          <w:i w:val="false"/>
          <w:caps w:val="false"/>
          <w:smallCaps w:val="false"/>
          <w:sz w:val="20"/>
        </w:rPr>
        <w:t xml:space="preserve">NOTE 9 - </w:t>
      </w:r>
      <w:bookmarkStart w:id="396" w:name="xdx_827_zBgowxGy9wv8"/>
      <w:bookmarkEnd w:id="39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pStyle w:val="TextBody"/>
        <w:bidi w:val="0"/>
        <w:spacing w:before="0" w:after="0"/>
        <w:ind w:left="0" w:right="0" w:hanging="0"/>
        <w:jc w:val="both"/>
        <w:rPr>
          <w:caps w:val="false"/>
          <w:smallCaps w:val="false"/>
        </w:rPr>
      </w:pPr>
      <w:bookmarkStart w:id="397" w:name="xdx_815_zMxUUSbFZ6t2"/>
      <w:bookmarkEnd w:id="39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8" w:name="a_008"/>
      <w:bookmarkEnd w:id="398"/>
      <w:r>
        <w:rPr>
          <w:rFonts w:ascii="Times New Roman;Times;Serif" w:hAnsi="Times New Roman;Times;Serif"/>
          <w:b/>
          <w:i w:val="false"/>
          <w:caps w:val="false"/>
          <w:smallCaps w:val="false"/>
          <w:sz w:val="20"/>
        </w:rPr>
        <w:t>Item 2. Management’s Discussion &amp;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the “Risk Factors” section under Part I - Item 1A in our Annual Report on Form 10-K and Part II - Item 1A below for a discussion of these risks and uncertainties, including without limitation, with respect to the Chapter 11 Cases, our emergence from bankruptcy and our liquidity, capital resources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Lordstown Motors Corp. and its subsidiaries commenced voluntary proceedings under chapter 11 (the “Chapter 11 Cases”) of the U.S. Bankruptcy Code in the U.S. Bankruptcy Court for the District of Delaware (the “Bankruptcy Court”). On September 1, 2023, we filed with the Bankruptcy Court a plan of reorganization and related disclosure statement (as amended from time to time, the “Proposed Plan”). On November 1, 2023, the Bankruptcy Court entered the Disclosure Statement Order and, thereafter, we solicited votes from their creditors and shareholders for approval of the Proposed Plan. On January 31, 2024, we filed the as-approved Proposed Plan with the Bankruptcy Court. On March 5, 2024, the Bankruptcy Court entered a confirmation order confirming the Proposed Plan (as confirmed, the “Plan”). Following the entry of the confirmation order and all conditions to effectiveness of the Plan being satisfied, we emerged from bankruptcy on March 14, 2024 under the name “Nu Ride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The deadline to assert rejection damage claims and administrative expense claims has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emergence: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of Reorganization, and (iv) we will continue to conduct business and may enter into transactions, including business combinations, or otherwise, that could permit the Company an opportunity to create value, including through use of the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a new Board of Directors was appointed pursuant to the Plan and all remaining full-time employees, including the Company’s pre-emergence executive officers, were terminated. The Board of Directors oversees and directs the administration of the Company’s operations, in accordance with the Plan and the Company’s charter and by-laws. Some former employees continue to provide services to the Company as consultants. Our Chief Executive Officer, who is the sole executive officer, was elected by the new Board of Directors in accordance with the Plan, as of the date we emerged from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operations during the six months ended June 30, 2025 have consisted of actions and related expenditures associated with completing the Chapter 11 Cases and emerging from bankruptcy, resolving substantial litigation, claims reconciliation, financial reporting and regulatory compliance. Our assets consist of cash, cash equivalents, short-term investments, and restricted short-term investments. Additional potential assets, such as the Foxconn Litigation claims, claims the Company may have against other parties, and NOLs, are not reflected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our emergence from bankruptcy on March 14, 2024, our results for the six months ended June 30, 2025, reflect the accounting assumptions and treatment caused by the Chapter 11 Cases and the Plan and may not be representative of our operations and results going forward. See the risks and factors described in the “Risk Factors” section of our Annual Report on Form 10-K for the year ended December 31, 2024 and Part II - Item 1A below for further discussion of the risks associated with our emergence from bankruptcy, our liquidity, capital resources and financial condition, and the use of estimates and resulting uncertainty in establishing our presented financial results, among other risks.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June 30, 2025 and 2024</w:t>
      </w:r>
    </w:p>
    <w:p>
      <w:pPr>
        <w:pStyle w:val="TextBody"/>
        <w:bidi w:val="0"/>
        <w:spacing w:before="0" w:after="0"/>
        <w:ind w:left="0" w:right="0" w:hanging="0"/>
        <w:jc w:val="both"/>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4670"/>
        <w:gridCol w:w="60"/>
        <w:gridCol w:w="382"/>
        <w:gridCol w:w="1737"/>
        <w:gridCol w:w="95"/>
        <w:gridCol w:w="60"/>
        <w:gridCol w:w="382"/>
        <w:gridCol w:w="1737"/>
        <w:gridCol w:w="110"/>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3" w:type="dxa"/>
            <w:gridSpan w:val="6"/>
            <w:tcBorders/>
            <w:vAlign w:val="center"/>
          </w:tcPr>
          <w:p>
            <w:pPr>
              <w:pStyle w:val="TableContents"/>
              <w:bidi w:val="0"/>
              <w:spacing w:before="0" w:after="283"/>
              <w:jc w:val="center"/>
              <w:rPr/>
            </w:pPr>
            <w:r>
              <w:rPr/>
              <w:t xml:space="preserve">(in thousands) </w:t>
              <w:br/>
              <w:t>(Unaudited)</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 2024</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Operating expense (income):</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1,683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1,482</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(1,326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(2,015</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Total operating expense (income), net</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37" w:type="dxa"/>
            <w:tcBorders>
              <w:bottom w:val="single" w:sz="8" w:space="0" w:color="000000"/>
            </w:tcBorders>
            <w:shd w:fill="FFFFFF" w:val="clear"/>
            <w:tcMar>
              <w:bottom w:w="28" w:type="dxa"/>
            </w:tcM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37" w:type="dxa"/>
            <w:tcBorders>
              <w:bottom w:val="single" w:sz="8" w:space="0" w:color="000000"/>
            </w:tcBorders>
            <w:shd w:fill="FFFFFF" w:val="clear"/>
            <w:tcMar>
              <w:bottom w:w="28" w:type="dxa"/>
            </w:tcMar>
            <w:vAlign w:val="center"/>
          </w:tcPr>
          <w:p>
            <w:pPr>
              <w:pStyle w:val="TableContents"/>
              <w:bidi w:val="0"/>
              <w:spacing w:before="0" w:after="283"/>
              <w:jc w:val="right"/>
              <w:rPr/>
            </w:pPr>
            <w:r>
              <w:rPr/>
              <w:t>(533</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(Loss) income from operations</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533</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right"/>
              <w:rPr/>
            </w:pPr>
            <w:r>
              <w:rPr/>
              <w:t>(65</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Investment and interest income</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1,010</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w:t>
            </w:r>
          </w:p>
        </w:tc>
        <w:tc>
          <w:tcPr>
            <w:tcW w:w="1737" w:type="dxa"/>
            <w:tcBorders/>
            <w:shd w:fill="FFFFFF" w:val="cle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w:t>
            </w:r>
          </w:p>
        </w:tc>
        <w:tc>
          <w:tcPr>
            <w:tcW w:w="1737" w:type="dxa"/>
            <w:tcBorders/>
            <w:shd w:fill="FFFFFF" w:val="clear"/>
            <w:vAlign w:val="center"/>
          </w:tcPr>
          <w:p>
            <w:pPr>
              <w:pStyle w:val="TableContents"/>
              <w:bidi w:val="0"/>
              <w:spacing w:before="0" w:after="283"/>
              <w:jc w:val="right"/>
              <w:rPr/>
            </w:pPr>
            <w:r>
              <w:rPr/>
              <w:t>1,478</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1,478</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Less accrued preferred stock dividend</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668</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Net income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7"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7" w:type="dxa"/>
            <w:tcBorders>
              <w:bottom w:val="double" w:sz="6" w:space="0" w:color="000000"/>
            </w:tcBorders>
            <w:shd w:fill="FFFFFF" w:val="clear"/>
            <w:tcMar>
              <w:bottom w:w="28" w:type="dxa"/>
            </w:tcMar>
            <w:vAlign w:val="center"/>
          </w:tcPr>
          <w:p>
            <w:pPr>
              <w:pStyle w:val="TableContents"/>
              <w:bidi w:val="0"/>
              <w:spacing w:before="0" w:after="283"/>
              <w:jc w:val="right"/>
              <w:rPr/>
            </w:pPr>
            <w:r>
              <w:rPr/>
              <w:t>810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(“SG&amp;A”) totaled $1.7 million for the three months ended June 30, 2025 compared to $1.5 million for the three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three months ended June 30, 2025 and 2024 consisted entirely of personnel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settlement and litigation benefit,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 and litigation benefit, net totaling $1.3 million represents adjustments to accrued liabilities subject to compromise from claims as a result of the final settlement of claims for the three months ended June 30, 2025. For the three months ended June 30, 2024, the Company recorded $2.0 million of legal settlement and litigation benefit, net as a result of settling claims.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2025 and 2024</w:t>
      </w:r>
    </w:p>
    <w:p>
      <w:pPr>
        <w:pStyle w:val="TextBody"/>
        <w:bidi w:val="0"/>
        <w:spacing w:before="0" w:after="0"/>
        <w:ind w:left="0" w:right="0" w:hanging="0"/>
        <w:jc w:val="both"/>
        <w:rPr>
          <w:caps w:val="false"/>
          <w:smallCaps w:val="false"/>
        </w:rPr>
      </w:pPr>
      <w:r>
        <w:rPr>
          <w:caps w:val="false"/>
          <w:smallCaps w:val="false"/>
        </w:rPr>
        <w:t> </w:t>
      </w:r>
    </w:p>
    <w:tbl>
      <w:tblPr>
        <w:tblW w:w="8633" w:type="dxa"/>
        <w:jc w:val="left"/>
        <w:tblInd w:w="0" w:type="dxa"/>
        <w:tblLayout w:type="fixed"/>
        <w:tblCellMar>
          <w:top w:w="0" w:type="dxa"/>
          <w:left w:w="0" w:type="dxa"/>
          <w:bottom w:w="0" w:type="dxa"/>
          <w:right w:w="0" w:type="dxa"/>
        </w:tblCellMar>
      </w:tblPr>
      <w:tblGrid>
        <w:gridCol w:w="4670"/>
        <w:gridCol w:w="60"/>
        <w:gridCol w:w="328"/>
        <w:gridCol w:w="1491"/>
        <w:gridCol w:w="95"/>
        <w:gridCol w:w="60"/>
        <w:gridCol w:w="328"/>
        <w:gridCol w:w="1491"/>
        <w:gridCol w:w="110"/>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3" w:type="dxa"/>
            <w:gridSpan w:val="6"/>
            <w:tcBorders/>
            <w:vAlign w:val="center"/>
          </w:tcPr>
          <w:p>
            <w:pPr>
              <w:pStyle w:val="TableContents"/>
              <w:bidi w:val="0"/>
              <w:spacing w:before="0" w:after="283"/>
              <w:jc w:val="center"/>
              <w:rPr/>
            </w:pPr>
            <w:r>
              <w:rPr/>
              <w:t xml:space="preserve">(in thousands) </w:t>
              <w:br/>
              <w:t>(Unaudited)</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2024</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Operating (income) expenses</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3,621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6,725</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(1,498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(2,559</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Reorganization items</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4,785</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Total operating expense, net</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91" w:type="dxa"/>
            <w:tcBorders>
              <w:bottom w:val="single" w:sz="8" w:space="0" w:color="000000"/>
            </w:tcBorders>
            <w:shd w:fill="CCEEFF" w:val="clear"/>
            <w:tcMar>
              <w:bottom w:w="28" w:type="dxa"/>
            </w:tcMar>
            <w:vAlign w:val="center"/>
          </w:tcPr>
          <w:p>
            <w:pPr>
              <w:pStyle w:val="TableContents"/>
              <w:bidi w:val="0"/>
              <w:spacing w:before="0" w:after="283"/>
              <w:jc w:val="right"/>
              <w:rPr/>
            </w:pPr>
            <w:r>
              <w:rPr/>
              <w:t>2,123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91" w:type="dxa"/>
            <w:tcBorders>
              <w:bottom w:val="single" w:sz="8" w:space="0" w:color="000000"/>
            </w:tcBorders>
            <w:shd w:fill="CCEEFF" w:val="clear"/>
            <w:tcMar>
              <w:bottom w:w="28" w:type="dxa"/>
            </w:tcMar>
            <w:vAlign w:val="center"/>
          </w:tcPr>
          <w:p>
            <w:pPr>
              <w:pStyle w:val="TableContents"/>
              <w:bidi w:val="0"/>
              <w:spacing w:before="0" w:after="283"/>
              <w:jc w:val="right"/>
              <w:rPr/>
            </w:pPr>
            <w:r>
              <w:rPr/>
              <w:t>8,951</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(2,123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(8,951</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(163</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Realized gain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Investment and interest income</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2,119</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491" w:type="dxa"/>
            <w:tcBorders/>
            <w:shd w:fill="CCEEFF" w:val="clear"/>
            <w:vAlign w:val="center"/>
          </w:tcPr>
          <w:p>
            <w:pPr>
              <w:pStyle w:val="TableContents"/>
              <w:bidi w:val="0"/>
              <w:spacing w:before="0" w:after="283"/>
              <w:jc w:val="right"/>
              <w:rPr/>
            </w:pPr>
            <w:r>
              <w:rPr/>
              <w:t>(469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491" w:type="dxa"/>
            <w:tcBorders/>
            <w:shd w:fill="CCEEFF" w:val="clear"/>
            <w:vAlign w:val="center"/>
          </w:tcPr>
          <w:p>
            <w:pPr>
              <w:pStyle w:val="TableContents"/>
              <w:bidi w:val="0"/>
              <w:spacing w:before="0" w:after="283"/>
              <w:jc w:val="right"/>
              <w:rPr/>
            </w:pPr>
            <w:r>
              <w:rPr/>
              <w:t>(6,995</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right"/>
              <w:rPr/>
            </w:pPr>
            <w:r>
              <w:rPr/>
              <w:t>(6,995</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Less accrued preferred stock dividend</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1,432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1,323</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91" w:type="dxa"/>
            <w:tcBorders>
              <w:bottom w:val="double" w:sz="6" w:space="0" w:color="000000"/>
            </w:tcBorders>
            <w:shd w:fill="CCEEFF" w:val="clear"/>
            <w:tcMar>
              <w:bottom w:w="28" w:type="dxa"/>
            </w:tcMar>
            <w:vAlign w:val="center"/>
          </w:tcPr>
          <w:p>
            <w:pPr>
              <w:pStyle w:val="TableContents"/>
              <w:bidi w:val="0"/>
              <w:spacing w:before="0" w:after="283"/>
              <w:jc w:val="right"/>
              <w:rPr/>
            </w:pPr>
            <w:r>
              <w:rPr/>
              <w:t>(1,901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91" w:type="dxa"/>
            <w:tcBorders>
              <w:bottom w:val="double" w:sz="6" w:space="0" w:color="000000"/>
            </w:tcBorders>
            <w:shd w:fill="CCEEFF" w:val="clear"/>
            <w:tcMar>
              <w:bottom w:w="28" w:type="dxa"/>
            </w:tcMar>
            <w:vAlign w:val="center"/>
          </w:tcPr>
          <w:p>
            <w:pPr>
              <w:pStyle w:val="TableContents"/>
              <w:bidi w:val="0"/>
              <w:spacing w:before="0" w:after="283"/>
              <w:jc w:val="right"/>
              <w:rPr/>
            </w:pPr>
            <w:r>
              <w:rPr/>
              <w:t>(8,318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(“SG&amp;A”) totaled $3.6 million for the six months ended June 30, 2025 compared to $6.7 million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six months ended June 30, 2025 consisted entirely of personnel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six months ended June 30, 2024 consisted primarily of $3.9 million in personnel and professional fees, including $3.4 million in accelerated stock compensation expense as well as insurance premium amortization of $2.9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settlement and litigation benefit,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 and litigation benefit, net totaling $1.5 million represents adjustments to accrued liabilities subject to compromise from claims as a result of the final settlement of claims for the six months ended June 30, 2025. For the six months ended June 30, 2024, the Company recorded $2.6 million of legal settlement and litigation benefit, net as a result of setting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items represent the expenses directly and incrementally resulting from the Chapter 11 Cases filed on June 27, 2023. For the six months ended June 30, 2025, no reorganization items were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reorganization items consisted of $3.6 million in legal fees and $1.1 million in consulting fees. The reorganization items included costs incurred by the Company as well as those incurred by the official Unsecured Creditors Committee and official Equity Committee, for which the Company was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$26.8 million, excluding restricted cash of restricted of approximately $2.7 million, and restricted short-term investments of approximately $19.7 million, an accumulated deficit of $1.2 billion at June 30, 2025, and a net loss of $0.5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ability to continue as a going concern is dependent upon, among other things: (i) the resolution of significant contingent and other claims, liabilities (see Note 7 - Commitments and Contingencies) and (ii) the outcome of our efforts to realize value, if any, from the Company’s retained causes of action, including the Foxconn Litigation, and other remaining assets.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professional fees and other costs in connection with preparation for and prosecution of the Chapter 11 Cases and expect to continue to incur significant professional fees and costs. In addition, we are subject to significant contingent unliquidated liabilities, the full scope of which is uncertain at this time (see Note 7 - Commitments and Contingencies). Furthermore, under the Plan, we are conducting a process to reconcile the claims asserted that has resulted in approximately $19.7 million of the Company’s short-term investments and $2.7 million of cash being restricted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Professional Fee Escrow was established based upon estimates and assumptions as of the date the Company emerged from bankruptcy. The Plan also required the Company to establish a $45 million reserve for allowed and disputed claims of general unsecured creditors (the “Claims Reserve”), including interest (although there can be no assurance the Company will be able to pay such claims in full, with interest). As of June 30, 2025, $21.8 million was included in cash and short-term investments, which represents the initial Claims Reserve of $45 million, less $23.2 million which was released from the Claims Reserve related to the claims reconciliation process including $14.8 million of payments to creditors in connection with the Plan and $8.4 million released from the Claims Reserve as a result of claim settlements that were less than the Claims Reserve. Pursuant to the Plan (which includes certain exceptions), upon emergence (i) the Claims Ombudsman was appointed to oversee the administration of claims asserted against the Company by general unsecured creditors and (ii) a trustee was appointed to oversee the litigation claims held by the trust, which may be funded with certain retained causes of action of the Company, as determined by the Board.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to reflect the increased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Claims Reserve is subject to change and could increase materially if amounts paid in respect of unliquidated claims are greater than anticipated. The Claims Reserve is adjusted downward as payments are made for allowed claims, and may also be adjusted downward as claims are resolved or otherwise as a result of the claims resolution process.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consist of cash and cash equivalents, restricted cash, short-term investments, restricted short-term investments, the Foxconn Litigation claims, the claims the Company may have against other parties, and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under Part I - Item 1A in our Annual Report on Form 10-K and Part II - Item 1A below for further discussion of the risks associated with our limited capital resources and loss exposures, among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Company’s cash flow data for the period indicated:</w:t>
      </w:r>
    </w:p>
    <w:p>
      <w:pPr>
        <w:pStyle w:val="TextBody"/>
        <w:bidi w:val="0"/>
        <w:spacing w:before="0" w:after="0"/>
        <w:ind w:left="0" w:right="0" w:hanging="0"/>
        <w:jc w:val="both"/>
        <w:rPr>
          <w:caps w:val="false"/>
          <w:smallCaps w:val="false"/>
        </w:rPr>
      </w:pPr>
      <w:r>
        <w:rPr>
          <w:caps w:val="false"/>
          <w:smallCaps w:val="false"/>
        </w:rPr>
        <w:t> </w:t>
      </w:r>
    </w:p>
    <w:tbl>
      <w:tblPr>
        <w:tblW w:w="7823" w:type="dxa"/>
        <w:jc w:val="left"/>
        <w:tblInd w:w="0" w:type="dxa"/>
        <w:tblLayout w:type="fixed"/>
        <w:tblCellMar>
          <w:top w:w="0" w:type="dxa"/>
          <w:left w:w="0" w:type="dxa"/>
          <w:bottom w:w="0" w:type="dxa"/>
          <w:right w:w="0" w:type="dxa"/>
        </w:tblCellMar>
      </w:tblPr>
      <w:tblGrid>
        <w:gridCol w:w="3860"/>
        <w:gridCol w:w="60"/>
        <w:gridCol w:w="310"/>
        <w:gridCol w:w="1509"/>
        <w:gridCol w:w="95"/>
        <w:gridCol w:w="60"/>
        <w:gridCol w:w="284"/>
        <w:gridCol w:w="1535"/>
        <w:gridCol w:w="11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2024</w:t>
            </w:r>
          </w:p>
        </w:tc>
        <w:tc>
          <w:tcPr>
            <w:tcW w:w="11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509" w:type="dxa"/>
            <w:tcBorders/>
            <w:shd w:fill="CCEEFF" w:val="clear"/>
            <w:vAlign w:val="center"/>
          </w:tcPr>
          <w:p>
            <w:pPr>
              <w:pStyle w:val="TableContents"/>
              <w:bidi w:val="0"/>
              <w:spacing w:before="0" w:after="283"/>
              <w:jc w:val="right"/>
              <w:rPr/>
            </w:pPr>
            <w:r>
              <w:rPr/>
              <w:t>(3,980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(24,738</w:t>
            </w:r>
          </w:p>
        </w:tc>
        <w:tc>
          <w:tcPr>
            <w:tcW w:w="110" w:type="dxa"/>
            <w:tcBorders/>
            <w:shd w:fill="CCEEFF" w:val="clear"/>
            <w:vAlign w:val="center"/>
          </w:tcPr>
          <w:p>
            <w:pPr>
              <w:pStyle w:val="TableContents"/>
              <w:bidi w:val="0"/>
              <w:spacing w:before="0" w:after="283"/>
              <w:jc w:val="left"/>
              <w:rPr/>
            </w:pPr>
            <w:r>
              <w:rPr/>
              <w:t>)</w:t>
            </w:r>
          </w:p>
        </w:tc>
      </w:tr>
      <w:tr>
        <w:trPr/>
        <w:tc>
          <w:tcPr>
            <w:tcW w:w="3860"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w:t>
            </w:r>
          </w:p>
        </w:tc>
        <w:tc>
          <w:tcPr>
            <w:tcW w:w="1509" w:type="dxa"/>
            <w:tcBorders/>
            <w:shd w:fill="FFFFFF" w:val="clear"/>
            <w:vAlign w:val="center"/>
          </w:tcPr>
          <w:p>
            <w:pPr>
              <w:pStyle w:val="TableContents"/>
              <w:bidi w:val="0"/>
              <w:spacing w:before="0" w:after="283"/>
              <w:jc w:val="right"/>
              <w:rPr/>
            </w:pPr>
            <w:r>
              <w:rPr/>
              <w:t>10,411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w:t>
            </w:r>
          </w:p>
        </w:tc>
        <w:tc>
          <w:tcPr>
            <w:tcW w:w="15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5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$20.8 million for the six months ended June 30, 2025 compared to the same period in 2024. The Company’s net loss, as adjusted to reconcile cash used by operating activities was $0.5 million for the six months ended June 30, 2025, compared to $7.0 million for same period in 2024. The $4.0 million of cash used in operating activities for the six months ended June 30, 2025 was comprised of the $0.5 million net loss for the period, as adjusted to reconcile cash used by operating activities for the six months ended June 30, 2025 which included $0.9 million of realized gain on debt securities available for sale, $2.7 million of changes in operating assets and liabilities, partially offset by $0.2 million of stock-based compensations. The $24.7 million of cash used in operating activities for the six months ended June 30, 2024 was comprised of the $7.0 million net loss for the period, as adjusted to reconcile cash used by operating activities for the six months ended June 30, 2024, which included $21.2 million of changes in operating assets and liabilities, partially offset by $3.4 million of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investing activities was $10.4 million for the six months ended June 30, 2025, which included $30.0 million related to maturities of short-term investments, partially offset by $19.6 million for purchases of short-term investments. The Company had no investing activities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had no financing activities. For the six months ended June 30, 2024, financing activities were limited to tax withholding payments related to net-settled restricted stock compensation associated with the Company’s 2020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obligations, assets or liabilities, which would be considered off-balance sheet arrangements as of June 30, 2025. The Company does not participate in transactions that create relationships with unconsolidated entities or financial partnerships, often referred to as variable interest entities, which would have been established for the purpose of facilitating off-balance sheet arrangements. The Company has not entered into any off-balance sheet financing arrangements,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Liabilities Subject to Compromise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7 - Commitments and Contingencies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Summary of Significant Accounting Policies to the condensed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9" w:name="a_009"/>
      <w:bookmarkEnd w:id="39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is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0" w:name="a_010"/>
      <w:bookmarkEnd w:id="400"/>
      <w:r>
        <w:rPr>
          <w:rFonts w:ascii="Times New Roman;Times;Serif" w:hAnsi="Times New Roman;Times;Serif"/>
          <w:b/>
          <w:i w:val="false"/>
          <w:caps w:val="false"/>
          <w:smallCaps w:val="false"/>
          <w:sz w:val="20"/>
        </w:rPr>
        <w:t xml:space="preserve">Item 4.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Evaluation of our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Chief Financial Officer, carried out an evaluation of the effectiveness of the design and operation of our disclosure controls and procedures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such term is defined in Rules 13a-15(f) and 15d-15(f) of the Exchange Act) during the quarter ended June 30, 2025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1" w:name="a_011"/>
      <w:bookmarkEnd w:id="401"/>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2" w:name="a_012"/>
      <w:bookmarkEnd w:id="40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legal proceedings, see Note 7 - Commitments and Contingencies of the 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3" w:name="a_013"/>
      <w:bookmarkEnd w:id="40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You should carefully consider the risks set forth in the section captured “Risk Factors” in our Annual Report on Form 10-K for the year ended December 31, 2024, filed with the SEC on March 28, 2025, before making an investment decision. During the period covered by this Quarterly Report on Form 10-Q, there have been no material changes to the risk factors previously discussed in the Company’s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4" w:name="a_014"/>
      <w:bookmarkEnd w:id="40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5" w:name="a_015"/>
      <w:bookmarkEnd w:id="40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6" w:name="a_016"/>
      <w:bookmarkEnd w:id="40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7" w:name="a_017"/>
      <w:bookmarkEnd w:id="40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applicable.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quarter ended June 30, 2025, none of our directors or officers </w:t>
      </w:r>
      <w:bookmarkStart w:id="408" w:name="xdx_90A_eecd--NonRule10b51ArrAdoptedFlag"/>
      <w:bookmarkStart w:id="409" w:name="xdx_90F_eecd--Rule10b51ArrAdoptedFlag_db"/>
      <w:bookmarkEnd w:id="408"/>
      <w:bookmarkEnd w:id="409"/>
      <w:r>
        <w:rPr>
          <w:rFonts w:ascii="Times New Roman;Times;Serif" w:hAnsi="Times New Roman;Times;Serif"/>
          <w:b w:val="false"/>
          <w:i w:val="false"/>
          <w:caps w:val="false"/>
          <w:smallCaps w:val="false"/>
          <w:sz w:val="20"/>
        </w:rPr>
        <w:t xml:space="preserve">adopted or </w:t>
      </w:r>
      <w:bookmarkStart w:id="410" w:name="xdx_901_eecd--NonRule10b51ArrTrmntdFlag_"/>
      <w:bookmarkStart w:id="411" w:name="xdx_904_eecd--Rule10b51ArrTrmntdFlag_dbF"/>
      <w:bookmarkEnd w:id="410"/>
      <w:bookmarkEnd w:id="411"/>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2" w:name="a_018"/>
      <w:bookmarkEnd w:id="412"/>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0"/>
        <w:gridCol w:w="60"/>
        <w:gridCol w:w="9325"/>
      </w:tblGrid>
      <w:tr>
        <w:trPr/>
        <w:tc>
          <w:tcPr>
            <w:tcW w:w="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Third Amended and Restated Certificate of Incorporation (incorporated by reference to Exhibit 3.1 to the Company’s Current Report on Form 8-K filed with the SEC on March 15, 2024).</w:t>
              </w:r>
            </w:hyperlink>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Second Amended and Restated Bylaws (incorporated by reference to Exhibit 3.2 to the Company’s Current Report on Form 8-K filed with the SEC on March 15, 2024).</w:t>
              </w:r>
            </w:hyperlink>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Designation, Preferences and Rights of Series A Convertible Preferred Stock (incorporated by reference to the Company’s Current Report on Form 8-K, filed with the SEC on November 22, 2022)</w:t>
              </w:r>
            </w:hyperlink>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Rule 13a-14(a) /15d-14(a), as adopted pursuant to Section 302 of the Sarbanes-Oxley Act of 2002</w:t>
              </w:r>
            </w:hyperlink>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101.SCH*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101.CAL*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r>
      <w:tr>
        <w:trPr/>
        <w:tc>
          <w:tcPr>
            <w:tcW w:w="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30"/>
        <w:gridCol w:w="15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1865"/>
        <w:gridCol w:w="545"/>
        <w:gridCol w:w="482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2025</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Gallagher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right"/>
        <w:rPr>
          <w:caps w:val="false"/>
          <w:smallCaps w:val="false"/>
        </w:rPr>
      </w:pPr>
      <w:bookmarkStart w:id="413" w:name="ex31-1.htm"/>
      <w:bookmarkStart w:id="414" w:name="ksex311"/>
      <w:bookmarkEnd w:id="413"/>
      <w:bookmarkEnd w:id="414"/>
      <w:r>
        <w:rPr>
          <w:caps w:val="false"/>
          <w:smallCaps w:val="false"/>
        </w:rPr>
        <w:t> </w:t>
      </w:r>
      <w:r>
        <w:br w:type="page"/>
      </w:r>
    </w:p>
    <w:p>
      <w:pPr>
        <w:pStyle w:val="TextBody"/>
        <w:bidi w:val="0"/>
        <w:spacing w:before="0" w:after="0"/>
        <w:ind w:left="720" w:right="0" w:hanging="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i w:val="false"/>
          <w:caps w:val="false"/>
          <w:smallCaps w:val="false"/>
          <w:sz w:val="20"/>
        </w:rPr>
        <w:t>XHIBIT</w:t>
      </w:r>
      <w:r>
        <w:rPr>
          <w:rFonts w:ascii="Times New Roman;Times;Serif" w:hAnsi="Times New Roman;Times;Serif"/>
          <w:b/>
          <w:i w:val="false"/>
          <w:caps w:val="false"/>
          <w:smallCaps w:val="false"/>
          <w:sz w:val="20"/>
        </w:rPr>
        <w:t xml:space="preserve"> 31.1</w:t>
      </w:r>
    </w:p>
    <w:p>
      <w:pPr>
        <w:pStyle w:val="TextBody"/>
        <w:bidi w:val="0"/>
        <w:spacing w:before="0" w:after="0"/>
        <w:ind w:left="720" w:right="0" w:hanging="720"/>
        <w:jc w:val="right"/>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i w:val="false"/>
          <w:caps w:val="false"/>
          <w:smallCaps w:val="false"/>
          <w:color w:val="333333"/>
          <w:sz w:val="20"/>
          <w:shd w:fill="FFFFFF" w:val="clear"/>
        </w:rPr>
      </w:pPr>
      <w:r>
        <w:rPr>
          <w:rFonts w:ascii="Times New Roman;Times;Serif" w:hAnsi="Times New Roman;Times;Serif"/>
          <w:b/>
          <w:i w:val="false"/>
          <w:caps w:val="false"/>
          <w:smallCaps w:val="false"/>
          <w:color w:val="333333"/>
          <w:sz w:val="20"/>
          <w:shd w:fill="FFFFFF" w:val="clear"/>
        </w:rPr>
        <w:t xml:space="preserve">CERTIFICATION PURSUANT TO SECTION 302 </w:t>
      </w:r>
    </w:p>
    <w:p>
      <w:pPr>
        <w:pStyle w:val="TextBody"/>
        <w:bidi w:val="0"/>
        <w:spacing w:before="0" w:after="0"/>
        <w:ind w:left="0" w:right="0" w:hanging="720"/>
        <w:jc w:val="center"/>
        <w:rPr>
          <w:rFonts w:ascii="Times New Roman;Times;Serif" w:hAnsi="Times New Roman;Times;Serif"/>
          <w:b/>
          <w:i w:val="false"/>
          <w:caps w:val="false"/>
          <w:smallCaps w:val="false"/>
          <w:color w:val="333333"/>
          <w:sz w:val="20"/>
          <w:shd w:fill="FFFFFF" w:val="clear"/>
        </w:rPr>
      </w:pPr>
      <w:r>
        <w:rPr>
          <w:rFonts w:ascii="Times New Roman;Times;Serif" w:hAnsi="Times New Roman;Times;Serif"/>
          <w:b/>
          <w:i w:val="false"/>
          <w:caps w:val="false"/>
          <w:smallCaps w:val="false"/>
          <w:color w:val="333333"/>
          <w:sz w:val="20"/>
          <w:shd w:fill="FFFFFF" w:val="clear"/>
        </w:rPr>
        <w:t>OF THE SARBANES-OXLEY ACT OF 2002</w:t>
      </w:r>
    </w:p>
    <w:p>
      <w:pPr>
        <w:pStyle w:val="TextBody"/>
        <w:bidi w:val="0"/>
        <w:spacing w:before="0" w:after="0"/>
        <w:ind w:left="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William Gallagher,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Nu Ride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865"/>
        <w:gridCol w:w="489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2025</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Gallagher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15" w:name="ex32-1.htm"/>
      <w:bookmarkStart w:id="416" w:name="ksex321"/>
      <w:bookmarkEnd w:id="415"/>
      <w:bookmarkEnd w:id="4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Nu Ride Inc. (the “Company”) for the period ended June 30, 2025, as filed with the Securities and Exchange Commission on the date hereof (the “Report”), I, William Gallagher, Chief Executive Officer, President, Secretary, and Treasurer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6600" w:type="dxa"/>
        <w:jc w:val="left"/>
        <w:tblInd w:w="0" w:type="dxa"/>
        <w:tblLayout w:type="fixed"/>
        <w:tblCellMar>
          <w:top w:w="0" w:type="dxa"/>
          <w:left w:w="0" w:type="dxa"/>
          <w:bottom w:w="0" w:type="dxa"/>
          <w:right w:w="0" w:type="dxa"/>
        </w:tblCellMar>
      </w:tblPr>
      <w:tblGrid>
        <w:gridCol w:w="1385"/>
        <w:gridCol w:w="320"/>
        <w:gridCol w:w="4895"/>
      </w:tblGrid>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2025</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Gallagher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9546/000110465924034627/tm248893d1_ex3-1.htm" TargetMode="External"/><Relationship Id="rId3" Type="http://schemas.openxmlformats.org/officeDocument/2006/relationships/hyperlink" Target="https://www.sec.gov/Archives/edgar/data/1759546/000110465924034627/tm248893d1_ex3-2.htm" TargetMode="External"/><Relationship Id="rId4" Type="http://schemas.openxmlformats.org/officeDocument/2006/relationships/hyperlink" Target="https://www.sec.gov/Archives/edgar/data/1759546/000110465922121019/tm2231108d1_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19555</Words>
  <Characters>106180</Characters>
  <CharactersWithSpaces>126700</CharactersWithSpaces>
  <Paragraphs>3766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