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945515</wp:posOffset>
            </wp:positionH>
            <wp:positionV relativeFrom="page">
              <wp:posOffset>911860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980440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134620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161290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300" w:right="79" w:hanging="250"/>
        <w:spacing w:after="0" w:line="245" w:lineRule="auto"/>
        <w:tabs>
          <w:tab w:leader="none" w:pos="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ind w:left="3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2022</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300" w:right="79" w:hanging="250"/>
        <w:spacing w:after="0" w:line="260" w:lineRule="auto"/>
        <w:tabs>
          <w:tab w:leader="none" w:pos="3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9019"/>
          </w:cols>
          <w:pgMar w:left="1440" w:top="1440" w:right="1440" w:bottom="1440" w:gutter="0" w:footer="0" w:header="0"/>
        </w:sectPr>
      </w:pPr>
    </w:p>
    <w:p>
      <w:pPr>
        <w:ind w:left="300"/>
        <w:spacing w:after="0" w:line="235" w:lineRule="auto"/>
        <w:tabs>
          <w:tab w:leader="none" w:pos="3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ectPr>
          <w:pgSz w:w="11900" w:h="16838" w:orient="portrait"/>
          <w:cols w:equalWidth="0" w:num="1">
            <w:col w:w="9019"/>
          </w:cols>
          <w:pgMar w:left="1440" w:top="1440" w:right="1440" w:bottom="1440" w:gutter="0" w:footer="0" w:header="0"/>
          <w:type w:val="continuous"/>
        </w:sectPr>
      </w:pPr>
    </w:p>
    <w:p>
      <w:pPr>
        <w:spacing w:after="0" w:line="7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019"/>
          </w:cols>
          <w:pgMar w:left="1440" w:top="1440" w:right="1440"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Lordstown Motors 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019"/>
          </w:cols>
          <w:pgMar w:left="1440" w:top="1440" w:right="1440" w:bottom="1440" w:gutter="0" w:footer="0" w:header="0"/>
          <w:type w:val="continuous"/>
        </w:sectPr>
      </w:pPr>
    </w:p>
    <w:p>
      <w:pPr>
        <w:spacing w:after="0" w:line="113"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(State or Other Jurisdiction of</w:t>
      </w:r>
    </w:p>
    <w:p>
      <w:pPr>
        <w:ind w:left="1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83-2533239</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(I.R.S. Employer</w:t>
      </w:r>
    </w:p>
    <w:p>
      <w:pPr>
        <w:spacing w:after="0"/>
        <w:rPr>
          <w:sz w:val="20"/>
          <w:szCs w:val="20"/>
          <w:color w:val="auto"/>
        </w:rPr>
      </w:pPr>
      <w:r>
        <w:rPr>
          <w:rFonts w:ascii="Arial" w:cs="Arial" w:eastAsia="Arial" w:hAnsi="Arial"/>
          <w:sz w:val="17"/>
          <w:szCs w:val="17"/>
          <w:b w:val="1"/>
          <w:bCs w:val="1"/>
          <w:color w:val="auto"/>
        </w:rPr>
        <w:t>Identification No.)</w:t>
      </w:r>
    </w:p>
    <w:p>
      <w:pPr>
        <w:spacing w:after="0" w:line="3" w:lineRule="exact"/>
        <w:rPr>
          <w:sz w:val="24"/>
          <w:szCs w:val="24"/>
          <w:color w:val="auto"/>
        </w:rPr>
      </w:pPr>
    </w:p>
    <w:p>
      <w:pPr>
        <w:sectPr>
          <w:pgSz w:w="11900" w:h="16838" w:orient="portrait"/>
          <w:cols w:equalWidth="0" w:num="2">
            <w:col w:w="6100" w:space="720"/>
            <w:col w:w="2199"/>
          </w:cols>
          <w:pgMar w:left="1440" w:top="1440"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2300 Hallock Young Road</w:t>
      </w:r>
    </w:p>
    <w:p>
      <w:pPr>
        <w:jc w:val="center"/>
        <w:ind w:right="19"/>
        <w:spacing w:after="0" w:line="234" w:lineRule="auto"/>
        <w:rPr>
          <w:sz w:val="20"/>
          <w:szCs w:val="20"/>
          <w:color w:val="auto"/>
        </w:rPr>
      </w:pPr>
      <w:r>
        <w:rPr>
          <w:rFonts w:ascii="Arial" w:cs="Arial" w:eastAsia="Arial" w:hAnsi="Arial"/>
          <w:sz w:val="18"/>
          <w:szCs w:val="18"/>
          <w:b w:val="1"/>
          <w:bCs w:val="1"/>
          <w:color w:val="auto"/>
        </w:rPr>
        <w:t>Lordstown, Ohio 44481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019"/>
          </w:cols>
          <w:pgMar w:left="1440" w:top="1440" w:right="1440" w:bottom="1440" w:gutter="0" w:footer="0" w:header="0"/>
          <w:type w:val="continuous"/>
        </w:sect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7"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980" w:type="dxa"/>
            <w:vAlign w:val="bottom"/>
            <w:vMerge w:val="restart"/>
          </w:tcPr>
          <w:p>
            <w:pPr>
              <w:spacing w:after="0"/>
              <w:rPr>
                <w:sz w:val="18"/>
                <w:szCs w:val="18"/>
                <w:color w:val="auto"/>
              </w:rPr>
            </w:pPr>
          </w:p>
        </w:tc>
        <w:tc>
          <w:tcPr>
            <w:tcW w:w="2540" w:type="dxa"/>
            <w:vAlign w:val="bottom"/>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8"/>
              </w:rPr>
              <w:t>Trading symbol</w:t>
            </w:r>
          </w:p>
        </w:tc>
        <w:tc>
          <w:tcPr>
            <w:tcW w:w="29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540" w:type="dxa"/>
            <w:vAlign w:val="bottom"/>
            <w:gridSpan w:val="3"/>
            <w:vMerge w:val="continue"/>
          </w:tcPr>
          <w:p>
            <w:pPr>
              <w:spacing w:after="0"/>
              <w:rPr>
                <w:sz w:val="15"/>
                <w:szCs w:val="15"/>
                <w:color w:val="auto"/>
              </w:rPr>
            </w:pPr>
          </w:p>
        </w:tc>
        <w:tc>
          <w:tcPr>
            <w:tcW w:w="2880" w:type="dxa"/>
            <w:vAlign w:val="bottom"/>
            <w:tcBorders>
              <w:top w:val="single" w:sz="8" w:color="auto"/>
            </w:tcBorders>
            <w:gridSpan w:val="3"/>
          </w:tcPr>
          <w:p>
            <w:pPr>
              <w:jc w:val="center"/>
              <w:ind w:right="20"/>
              <w:spacing w:after="0" w:line="182" w:lineRule="exact"/>
              <w:rPr>
                <w:sz w:val="20"/>
                <w:szCs w:val="20"/>
                <w:color w:val="auto"/>
              </w:rPr>
            </w:pPr>
            <w:r>
              <w:rPr>
                <w:rFonts w:ascii="Arial" w:cs="Arial" w:eastAsia="Arial" w:hAnsi="Arial"/>
                <w:sz w:val="18"/>
                <w:szCs w:val="18"/>
                <w:b w:val="1"/>
                <w:bCs w:val="1"/>
                <w:color w:val="auto"/>
                <w:w w:val="98"/>
              </w:rPr>
              <w:t>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99"/>
              </w:rPr>
              <w:t>Class A Common Stock, $0.0001</w:t>
            </w:r>
          </w:p>
        </w:tc>
        <w:tc>
          <w:tcPr>
            <w:tcW w:w="380" w:type="dxa"/>
            <w:vAlign w:val="bottom"/>
          </w:tcPr>
          <w:p>
            <w:pPr>
              <w:spacing w:after="0"/>
              <w:rPr>
                <w:sz w:val="16"/>
                <w:szCs w:val="16"/>
                <w:color w:val="auto"/>
              </w:rPr>
            </w:pPr>
          </w:p>
        </w:tc>
        <w:tc>
          <w:tcPr>
            <w:tcW w:w="2160" w:type="dxa"/>
            <w:vAlign w:val="bottom"/>
            <w:gridSpan w:val="2"/>
          </w:tcPr>
          <w:p>
            <w:pPr>
              <w:jc w:val="center"/>
              <w:ind w:right="840"/>
              <w:spacing w:after="0" w:line="191" w:lineRule="exact"/>
              <w:rPr>
                <w:sz w:val="20"/>
                <w:szCs w:val="20"/>
                <w:color w:val="auto"/>
              </w:rPr>
            </w:pPr>
            <w:r>
              <w:rPr>
                <w:rFonts w:ascii="Arial" w:cs="Arial" w:eastAsia="Arial" w:hAnsi="Arial"/>
                <w:sz w:val="18"/>
                <w:szCs w:val="18"/>
                <w:b w:val="1"/>
                <w:bCs w:val="1"/>
                <w:color w:val="auto"/>
              </w:rPr>
              <w:t>RIDE</w:t>
            </w: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0" w:type="dxa"/>
            <w:vAlign w:val="bottom"/>
          </w:tcPr>
          <w:p>
            <w:pPr>
              <w:spacing w:after="0"/>
              <w:rPr>
                <w:sz w:val="21"/>
                <w:szCs w:val="21"/>
                <w:color w:val="auto"/>
              </w:rPr>
            </w:pPr>
          </w:p>
        </w:tc>
        <w:tc>
          <w:tcPr>
            <w:tcW w:w="2540" w:type="dxa"/>
            <w:vAlign w:val="bottom"/>
            <w:gridSpan w:val="2"/>
          </w:tcPr>
          <w:p>
            <w:pPr>
              <w:ind w:left="440"/>
              <w:spacing w:after="0"/>
              <w:rPr>
                <w:sz w:val="20"/>
                <w:szCs w:val="20"/>
                <w:color w:val="auto"/>
              </w:rPr>
            </w:pPr>
            <w:r>
              <w:rPr>
                <w:rFonts w:ascii="Arial" w:cs="Arial" w:eastAsia="Arial" w:hAnsi="Arial"/>
                <w:sz w:val="18"/>
                <w:szCs w:val="18"/>
                <w:b w:val="1"/>
                <w:bCs w:val="1"/>
                <w:color w:val="auto"/>
              </w:rPr>
              <w:t>Par Value</w:t>
            </w: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00" w:type="dxa"/>
            <w:vAlign w:val="bottom"/>
            <w:gridSpan w:val="3"/>
          </w:tcPr>
          <w:p>
            <w:pPr>
              <w:jc w:val="center"/>
              <w:ind w:right="1040"/>
              <w:spacing w:after="0"/>
              <w:rPr>
                <w:sz w:val="20"/>
                <w:szCs w:val="20"/>
                <w:color w:val="auto"/>
              </w:rPr>
            </w:pPr>
            <w:r>
              <w:rPr>
                <w:rFonts w:ascii="Arial" w:cs="Arial" w:eastAsia="Arial" w:hAnsi="Arial"/>
                <w:sz w:val="18"/>
                <w:szCs w:val="18"/>
                <w:b w:val="1"/>
                <w:bCs w:val="1"/>
                <w:color w:val="auto"/>
                <w:w w:val="99"/>
              </w:rPr>
              <w:t>NASDAQ</w:t>
            </w:r>
          </w:p>
        </w:tc>
        <w:tc>
          <w:tcPr>
            <w:tcW w:w="0" w:type="dxa"/>
            <w:vAlign w:val="bottom"/>
          </w:tcPr>
          <w:p>
            <w:pPr>
              <w:spacing w:after="0"/>
              <w:rPr>
                <w:sz w:val="1"/>
                <w:szCs w:val="1"/>
                <w:color w:val="auto"/>
              </w:rPr>
            </w:pPr>
          </w:p>
        </w:tc>
      </w:tr>
    </w:tbl>
    <w:p>
      <w:pPr>
        <w:spacing w:after="0" w:line="168" w:lineRule="exact"/>
        <w:rPr>
          <w:sz w:val="24"/>
          <w:szCs w:val="24"/>
          <w:color w:val="auto"/>
        </w:rPr>
      </w:pPr>
    </w:p>
    <w:p>
      <w:pPr>
        <w:ind w:left="60" w:right="199" w:firstLine="324"/>
        <w:spacing w:after="0" w:line="176"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479" w:firstLine="324"/>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left="60" w:right="339" w:firstLine="324"/>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440" w:right="1440" w:bottom="1440" w:gutter="0" w:footer="0" w:header="0"/>
          <w:type w:val="continuous"/>
        </w:sectPr>
      </w:pPr>
    </w:p>
    <w:p>
      <w:pPr>
        <w:spacing w:after="0" w:line="203" w:lineRule="exact"/>
        <w:rPr>
          <w:sz w:val="24"/>
          <w:szCs w:val="24"/>
          <w:color w:val="auto"/>
        </w:rPr>
      </w:pPr>
    </w:p>
    <w:p>
      <w:pPr>
        <w:ind w:left="6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060" w:space="720"/>
            <w:col w:w="2180" w:space="720"/>
            <w:col w:w="2339"/>
          </w:cols>
          <w:pgMar w:left="1440" w:top="1440" w:right="1440" w:bottom="1440" w:gutter="0" w:footer="0" w:header="0"/>
          <w:type w:val="continuous"/>
        </w:sectPr>
      </w:pPr>
    </w:p>
    <w:p>
      <w:pPr>
        <w:ind w:left="13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2">
            <w:col w:w="5140" w:space="720"/>
            <w:col w:w="3159"/>
          </w:cols>
          <w:pgMar w:left="1440" w:top="1440" w:right="1440" w:bottom="1440" w:gutter="0" w:footer="0" w:header="0"/>
          <w:type w:val="continuous"/>
        </w:sectPr>
      </w:pPr>
    </w:p>
    <w:p>
      <w:pPr>
        <w:ind w:left="60" w:right="519" w:firstLine="32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380" w:right="619"/>
        <w:spacing w:after="0" w:line="229"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 2022, 205,871,561 shares of the registrant’s Class A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673735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900" w:type="dxa"/>
            <w:vAlign w:val="bottom"/>
            <w:gridSpan w:val="13"/>
          </w:tcPr>
          <w:p>
            <w:pPr>
              <w:jc w:val="center"/>
              <w:ind w:right="2220"/>
              <w:spacing w:after="0"/>
              <w:rPr>
                <w:sz w:val="20"/>
                <w:szCs w:val="20"/>
                <w:color w:val="auto"/>
              </w:rPr>
            </w:pPr>
            <w:r>
              <w:rPr>
                <w:rFonts w:ascii="Arial" w:cs="Arial" w:eastAsia="Arial" w:hAnsi="Arial"/>
                <w:sz w:val="18"/>
                <w:szCs w:val="18"/>
                <w:b w:val="1"/>
                <w:bCs w:val="1"/>
                <w:color w:val="auto"/>
                <w:w w:val="98"/>
              </w:rPr>
              <w:t>LORDSTOWN MOTORS CORP.</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00" w:type="dxa"/>
            <w:vAlign w:val="bottom"/>
            <w:gridSpan w:val="24"/>
            <w:vMerge w:val="restart"/>
          </w:tcPr>
          <w:p>
            <w:pPr>
              <w:spacing w:after="0"/>
              <w:rPr>
                <w:sz w:val="20"/>
                <w:szCs w:val="20"/>
                <w:color w:val="auto"/>
              </w:rPr>
            </w:pPr>
            <w:r>
              <w:rPr>
                <w:rFonts w:ascii="Arial" w:cs="Arial" w:eastAsia="Arial" w:hAnsi="Arial"/>
                <w:sz w:val="18"/>
                <w:szCs w:val="18"/>
                <w:color w:val="0000EE"/>
              </w:rPr>
              <w:t>PART I FINANCIAL INFORMATION</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0" w:type="dxa"/>
            <w:vAlign w:val="bottom"/>
            <w:gridSpan w:val="24"/>
            <w:vMerge w:val="continue"/>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1"/>
          </w:tcPr>
          <w:p>
            <w:pPr>
              <w:spacing w:after="0"/>
              <w:rPr>
                <w:sz w:val="20"/>
                <w:szCs w:val="20"/>
                <w:color w:val="auto"/>
              </w:rPr>
            </w:pPr>
            <w:r>
              <w:rPr>
                <w:rFonts w:ascii="Arial" w:cs="Arial" w:eastAsia="Arial" w:hAnsi="Arial"/>
                <w:sz w:val="18"/>
                <w:szCs w:val="18"/>
                <w:color w:val="0000EE"/>
              </w:rPr>
              <w:t>Financial Statements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Balance Sheets as of June 30, 2022 and December 31,</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2021</w:t>
            </w: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Operations for the three and six months</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ended June 30, 2022 and 2021</w:t>
            </w:r>
          </w:p>
        </w:tc>
        <w:tc>
          <w:tcPr>
            <w:tcW w:w="16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Stockholders’ Equity/(Deficit) for the three</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54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and six months ended June 30, 2022 and 2021</w:t>
            </w:r>
          </w:p>
        </w:tc>
        <w:tc>
          <w:tcPr>
            <w:tcW w:w="3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Condensed Consolidated Statements of Cash Flows for the six months ended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8"/>
              </w:rPr>
              <w:t>June 30, 2022 and 2021</w:t>
            </w:r>
          </w:p>
        </w:tc>
        <w:tc>
          <w:tcPr>
            <w:tcW w:w="4240" w:type="dxa"/>
            <w:vAlign w:val="bottom"/>
            <w:tcBorders>
              <w:top w:val="single" w:sz="8" w:color="0000EE"/>
            </w:tcBorders>
            <w:gridSpan w:val="9"/>
          </w:tcPr>
          <w:p>
            <w:pPr>
              <w:spacing w:after="0"/>
              <w:rPr>
                <w:sz w:val="15"/>
                <w:szCs w:val="15"/>
                <w:color w:val="auto"/>
              </w:rPr>
            </w:pPr>
          </w:p>
        </w:tc>
        <w:tc>
          <w:tcPr>
            <w:tcW w:w="660" w:type="dxa"/>
            <w:vAlign w:val="bottom"/>
            <w:gridSpan w:val="4"/>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684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Operations</w:t>
            </w:r>
          </w:p>
        </w:tc>
        <w:tc>
          <w:tcPr>
            <w:tcW w:w="5260" w:type="dxa"/>
            <w:vAlign w:val="bottom"/>
            <w:tcBorders>
              <w:top w:val="single" w:sz="8" w:color="0000EE"/>
            </w:tcBorders>
            <w:gridSpan w:val="13"/>
          </w:tcPr>
          <w:p>
            <w:pPr>
              <w:spacing w:after="0"/>
              <w:rPr>
                <w:sz w:val="15"/>
                <w:szCs w:val="15"/>
                <w:color w:val="auto"/>
              </w:rPr>
            </w:pPr>
          </w:p>
        </w:tc>
        <w:tc>
          <w:tcPr>
            <w:tcW w:w="700" w:type="dxa"/>
            <w:vAlign w:val="bottom"/>
            <w:gridSpan w:val="5"/>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684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7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6840" w:type="dxa"/>
            <w:vAlign w:val="bottom"/>
            <w:gridSpan w:val="21"/>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8000" w:type="dxa"/>
            <w:vAlign w:val="bottom"/>
            <w:gridSpan w:val="24"/>
          </w:tcPr>
          <w:p>
            <w:pPr>
              <w:spacing w:after="0"/>
              <w:rPr>
                <w:sz w:val="20"/>
                <w:szCs w:val="20"/>
                <w:color w:val="auto"/>
              </w:rPr>
            </w:pPr>
            <w:r>
              <w:rPr>
                <w:rFonts w:ascii="Arial" w:cs="Arial" w:eastAsia="Arial" w:hAnsi="Arial"/>
                <w:sz w:val="18"/>
                <w:szCs w:val="18"/>
                <w:color w:val="0000EE"/>
              </w:rPr>
              <w:t>PART II OTHER INFORMATION</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6840" w:type="dxa"/>
            <w:vAlign w:val="bottom"/>
            <w:gridSpan w:val="21"/>
          </w:tcPr>
          <w:p>
            <w:pPr>
              <w:spacing w:after="0"/>
              <w:rPr>
                <w:sz w:val="20"/>
                <w:szCs w:val="20"/>
                <w:color w:val="auto"/>
              </w:rPr>
            </w:pPr>
            <w:r>
              <w:rPr>
                <w:rFonts w:ascii="Arial" w:cs="Arial" w:eastAsia="Arial" w:hAnsi="Arial"/>
                <w:sz w:val="18"/>
                <w:szCs w:val="18"/>
                <w:color w:val="0000EE"/>
              </w:rPr>
              <w:t>Legal Proceedings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684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500" w:type="dxa"/>
            <w:vAlign w:val="bottom"/>
          </w:tcPr>
          <w:p>
            <w:pPr>
              <w:spacing w:after="0"/>
              <w:rPr>
                <w:sz w:val="24"/>
                <w:szCs w:val="24"/>
                <w:color w:val="auto"/>
              </w:rPr>
            </w:pPr>
          </w:p>
        </w:tc>
        <w:tc>
          <w:tcPr>
            <w:tcW w:w="6840" w:type="dxa"/>
            <w:vAlign w:val="bottom"/>
            <w:gridSpan w:val="21"/>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3440" w:type="dxa"/>
            <w:vAlign w:val="bottom"/>
            <w:tcBorders>
              <w:left w:val="single" w:sz="8" w:color="0000EE"/>
            </w:tcBorders>
            <w:gridSpan w:val="10"/>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6840" w:type="dxa"/>
            <w:vAlign w:val="bottom"/>
            <w:gridSpan w:val="21"/>
          </w:tcPr>
          <w:p>
            <w:pPr>
              <w:spacing w:after="0"/>
              <w:rPr>
                <w:sz w:val="20"/>
                <w:szCs w:val="20"/>
                <w:color w:val="auto"/>
              </w:rPr>
            </w:pPr>
            <w:r>
              <w:rPr>
                <w:rFonts w:ascii="Arial" w:cs="Arial" w:eastAsia="Arial" w:hAnsi="Arial"/>
                <w:sz w:val="18"/>
                <w:szCs w:val="18"/>
                <w:color w:val="0000EE"/>
              </w:rPr>
              <w:t>Other Information</w:t>
            </w: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440" w:type="dxa"/>
            <w:vAlign w:val="bottom"/>
            <w:gridSpan w:val="1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684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7"/>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EE"/>
            </w:tcBorders>
            <w:gridSpan w:val="2"/>
          </w:tcPr>
          <w:p>
            <w:pPr>
              <w:spacing w:after="0"/>
              <w:rPr>
                <w:sz w:val="24"/>
                <w:szCs w:val="24"/>
                <w:color w:val="auto"/>
              </w:rPr>
            </w:pPr>
          </w:p>
        </w:tc>
        <w:tc>
          <w:tcPr>
            <w:tcW w:w="3120" w:type="dxa"/>
            <w:vAlign w:val="bottom"/>
            <w:gridSpan w:val="10"/>
          </w:tcPr>
          <w:p>
            <w:pPr>
              <w:jc w:val="center"/>
              <w:ind w:left="2090"/>
              <w:spacing w:after="0"/>
              <w:rPr>
                <w:sz w:val="20"/>
                <w:szCs w:val="20"/>
                <w:color w:val="auto"/>
              </w:rPr>
            </w:pPr>
            <w:r>
              <w:rPr>
                <w:rFonts w:ascii="Arial" w:cs="Arial" w:eastAsia="Arial" w:hAnsi="Arial"/>
                <w:sz w:val="18"/>
                <w:szCs w:val="18"/>
                <w:color w:val="auto"/>
                <w:w w:val="99"/>
              </w:rPr>
              <w:t>2</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8" w:right="1440" w:bottom="1440" w:gutter="0" w:footer="0" w:header="0"/>
        </w:sectPr>
      </w:pPr>
    </w:p>
    <w:bookmarkStart w:id="2" w:name="page3"/>
    <w:bookmarkEnd w:id="2"/>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prospects, growth, strategies and the industry in which we operate, and any other statements that are not statements of current or historical facts.</w:t>
      </w:r>
    </w:p>
    <w:p>
      <w:pPr>
        <w:spacing w:after="0" w:line="18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our Annual Report on Form 10-K for the year ended December 31, 2021, as filed with the SEC on February 28, 2022 (the “Form 10-K”), and in subsequent reports that we file with the Securities and Exchange Commission (the “SEC”), including this Form 10-Q for the quarter ended June 30, 2022, as well as the following:</w:t>
      </w:r>
    </w:p>
    <w:p>
      <w:pPr>
        <w:spacing w:after="0" w:line="189" w:lineRule="exact"/>
        <w:rPr>
          <w:sz w:val="20"/>
          <w:szCs w:val="20"/>
          <w:color w:val="auto"/>
        </w:rPr>
      </w:pPr>
    </w:p>
    <w:p>
      <w:pPr>
        <w:ind w:left="720" w:right="199" w:hanging="319"/>
        <w:spacing w:after="0"/>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continue as a going concern, which requires us to manage costs, obtain significant additional funding to execute our business plan, and achieve our production targets for the Endurance in 2022 and beyond, and our ability to raise such funding on a reasonable timeline and with suitable terms;</w:t>
      </w:r>
    </w:p>
    <w:p>
      <w:pPr>
        <w:ind w:left="720" w:right="13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raise sufficient capital in order to invest in the tooling that we expect will enable us to eventually lower the Endurance bill of materials cost, continue design enhancements of the Endurance and fund any future vehicles we may develop;</w:t>
      </w:r>
    </w:p>
    <w:p>
      <w:pPr>
        <w:spacing w:after="0" w:line="2" w:lineRule="exact"/>
        <w:rPr>
          <w:rFonts w:ascii="Times New Roman" w:cs="Times New Roman" w:eastAsia="Times New Roman" w:hAnsi="Times New Roman"/>
          <w:sz w:val="16"/>
          <w:szCs w:val="16"/>
          <w:color w:val="auto"/>
        </w:rPr>
      </w:pPr>
    </w:p>
    <w:p>
      <w:pPr>
        <w:ind w:left="720" w:right="159" w:hanging="319"/>
        <w:spacing w:after="0" w:line="248" w:lineRule="auto"/>
        <w:tabs>
          <w:tab w:leader="none" w:pos="7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7"/>
          <w:szCs w:val="17"/>
          <w:color w:val="auto"/>
        </w:rPr>
        <w:t>the cost and other impacts of contingent liabilities such as current and future litigation, claims, regulatory proceedings, investigations, complaints, product liability claims, stockholder demand letters, availability of insurance coverage and/or adverse publicity, which may have a material adverse effect, whether or not successful or valid, on our liquidity position, cash projections, business prospects and ability and timeframe to obtain financing (See Note 5 – Commitments and Contingencies);</w:t>
      </w:r>
    </w:p>
    <w:p>
      <w:pPr>
        <w:spacing w:after="0" w:line="2" w:lineRule="exact"/>
        <w:rPr>
          <w:rFonts w:ascii="Times New Roman" w:cs="Times New Roman" w:eastAsia="Times New Roman" w:hAnsi="Times New Roman"/>
          <w:sz w:val="15"/>
          <w:szCs w:val="15"/>
          <w:color w:val="auto"/>
        </w:rPr>
      </w:pPr>
    </w:p>
    <w:p>
      <w:pPr>
        <w:ind w:left="720" w:right="11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realize the benefits from our recently completed transactions with Foxconn (as defined below) under the Asset Purchase Agreement (See Note 1 — Organization and Description of Business and Basis of Presentation), the Contract Manufacturing Agreement (as defined below) and the Foxconn Joint Venture Agreement (as defined below);</w:t>
      </w:r>
    </w:p>
    <w:p>
      <w:pPr>
        <w:spacing w:after="0" w:line="2" w:lineRule="exact"/>
        <w:rPr>
          <w:rFonts w:ascii="Times New Roman" w:cs="Times New Roman" w:eastAsia="Times New Roman" w:hAnsi="Times New Roman"/>
          <w:sz w:val="16"/>
          <w:szCs w:val="16"/>
          <w:color w:val="auto"/>
        </w:rPr>
      </w:pPr>
    </w:p>
    <w:p>
      <w:pPr>
        <w:ind w:left="720" w:right="31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execute our business plan, expansion plans, strategic alliances and other opportunities, including development and market acceptance of our planned products;</w:t>
      </w:r>
    </w:p>
    <w:p>
      <w:pPr>
        <w:spacing w:after="0" w:line="1" w:lineRule="exact"/>
        <w:rPr>
          <w:rFonts w:ascii="Times New Roman" w:cs="Times New Roman" w:eastAsia="Times New Roman" w:hAnsi="Times New Roman"/>
          <w:sz w:val="16"/>
          <w:szCs w:val="16"/>
          <w:color w:val="auto"/>
        </w:rPr>
      </w:pPr>
    </w:p>
    <w:p>
      <w:pPr>
        <w:ind w:left="720" w:right="219" w:hanging="319"/>
        <w:spacing w:after="0" w:line="239"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risks related to our limited operating history, the rollout of our business and the timing of expected business milestones, including the ability to complete the engineering of the Endurance, to ensure the completion of the retooling of the production facility, to establish appropriate supplier relationships, to successfully complete testing, homologation and certification and to start commercial production and delivery of the Endurance, in accordance with our projected timeline;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 w:name="page4"/>
    <w:bookmarkEnd w:id="3"/>
    <w:p>
      <w:pPr>
        <w:ind w:left="720" w:right="939" w:hanging="319"/>
        <w:spacing w:after="0" w:line="245"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source and maintain suppliers for our critical components and the terms of such arrangements, and our ability to complete building out our supply chain;</w:t>
      </w:r>
    </w:p>
    <w:p>
      <w:pPr>
        <w:ind w:left="720" w:right="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availability and cost of raw materials and components, particularly in light of current supply chain disruptions and labor concerns, inflation, and the consequences of such shortages on testing and other activities, which could present challenges that impact the timing of our commercial production;</w:t>
      </w:r>
    </w:p>
    <w:p>
      <w:pPr>
        <w:spacing w:after="0" w:line="2" w:lineRule="exact"/>
        <w:rPr>
          <w:rFonts w:ascii="Times New Roman" w:cs="Times New Roman" w:eastAsia="Times New Roman" w:hAnsi="Times New Roman"/>
          <w:sz w:val="16"/>
          <w:szCs w:val="16"/>
          <w:color w:val="auto"/>
        </w:rPr>
      </w:pPr>
    </w:p>
    <w:p>
      <w:pPr>
        <w:ind w:left="720" w:right="2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identify and implement actions that will lower the Endurance bill of materials cost, including sourcing benefits anticipated from our relationship with Foxconn;</w:t>
      </w:r>
    </w:p>
    <w:p>
      <w:pPr>
        <w:spacing w:after="0" w:line="1" w:lineRule="exact"/>
        <w:rPr>
          <w:rFonts w:ascii="Times New Roman" w:cs="Times New Roman" w:eastAsia="Times New Roman" w:hAnsi="Times New Roman"/>
          <w:sz w:val="16"/>
          <w:szCs w:val="16"/>
          <w:color w:val="auto"/>
        </w:rPr>
      </w:pPr>
    </w:p>
    <w:p>
      <w:pPr>
        <w:ind w:left="720" w:right="299" w:hanging="319"/>
        <w:spacing w:after="0" w:line="248" w:lineRule="auto"/>
        <w:tabs>
          <w:tab w:leader="none" w:pos="72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7"/>
          <w:szCs w:val="17"/>
          <w:color w:val="auto"/>
        </w:rPr>
        <w:t>our ability to obtain binding purchase orders and build customer relationships, including uncertainties as to whether and to what degree we are able to convert previously-reported nonbinding pre-orders and other indications of interest in our vehicle into binding orders and ultimately sales;</w:t>
      </w:r>
    </w:p>
    <w:p>
      <w:pPr>
        <w:spacing w:after="0" w:line="1" w:lineRule="exact"/>
        <w:rPr>
          <w:rFonts w:ascii="Times New Roman" w:cs="Times New Roman" w:eastAsia="Times New Roman" w:hAnsi="Times New Roman"/>
          <w:sz w:val="15"/>
          <w:szCs w:val="15"/>
          <w:color w:val="auto"/>
        </w:rPr>
      </w:pPr>
    </w:p>
    <w:p>
      <w:pPr>
        <w:ind w:left="720" w:right="1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after sale service and support that they will require;</w:t>
      </w:r>
    </w:p>
    <w:p>
      <w:pPr>
        <w:spacing w:after="0" w:line="2"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risk that our technology, including our hub motors, do not perform as expected;</w:t>
      </w:r>
    </w:p>
    <w:p>
      <w:pPr>
        <w:ind w:left="720" w:right="2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Times New Roman" w:cs="Times New Roman" w:eastAsia="Times New Roman" w:hAnsi="Times New Roman"/>
          <w:sz w:val="16"/>
          <w:szCs w:val="16"/>
          <w:color w:val="auto"/>
        </w:rPr>
      </w:pPr>
    </w:p>
    <w:p>
      <w:pPr>
        <w:ind w:left="720" w:right="6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remain in compliance with our debt covenants and the risks associated with having pledged significant assets as collateral for recently incurred indebtedness;</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attract and retain key personnel;</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Times New Roman" w:cs="Times New Roman" w:eastAsia="Times New Roman" w:hAnsi="Times New Roman"/>
          <w:sz w:val="16"/>
          <w:szCs w:val="16"/>
          <w:color w:val="auto"/>
        </w:rPr>
      </w:pPr>
    </w:p>
    <w:p>
      <w:pPr>
        <w:ind w:left="720" w:right="6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required regulatory approvals and changes in laws, regulatory requirements, governmental incentives and fuel and energy prices;</w:t>
      </w:r>
    </w:p>
    <w:p>
      <w:pPr>
        <w:spacing w:after="0" w:line="1" w:lineRule="exact"/>
        <w:rPr>
          <w:rFonts w:ascii="Times New Roman" w:cs="Times New Roman" w:eastAsia="Times New Roman" w:hAnsi="Times New Roman"/>
          <w:sz w:val="16"/>
          <w:szCs w:val="16"/>
          <w:color w:val="auto"/>
        </w:rPr>
      </w:pPr>
    </w:p>
    <w:p>
      <w:pPr>
        <w:ind w:left="720" w:right="1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cybersecurity threats and compliance with privacy and data protection laws;</w:t>
      </w:r>
    </w:p>
    <w:p>
      <w:pPr>
        <w:ind w:left="720" w:right="2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Times New Roman" w:cs="Times New Roman" w:eastAsia="Times New Roman" w:hAnsi="Times New Roman"/>
          <w:sz w:val="16"/>
          <w:szCs w:val="16"/>
          <w:color w:val="auto"/>
        </w:rPr>
      </w:pPr>
    </w:p>
    <w:p>
      <w:pPr>
        <w:ind w:left="720" w:right="539" w:hanging="319"/>
        <w:spacing w:after="0" w:line="250"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possibility that we may be adversely affected by other economic, geopolitical, business and/or competitive factors, including the direct and indirect effects of the war in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4" w:name="page5"/>
    <w:bookmarkEnd w:id="4"/>
    <w:p>
      <w:pPr>
        <w:jc w:val="center"/>
        <w:ind w:right="36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Balance Sheets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(in thousands except for share data)</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6220" w:type="dxa"/>
            <w:vAlign w:val="bottom"/>
            <w:tcBorders>
              <w:top w:val="single" w:sz="8" w:color="CCEEFF"/>
            </w:tcBorders>
            <w:shd w:val="clear" w:color="auto" w:fill="CCEEFF"/>
          </w:tcPr>
          <w:p>
            <w:pPr>
              <w:ind w:left="2620"/>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235,686</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Inventory, net</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4,013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43,080</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47,121</w:t>
            </w:r>
          </w:p>
        </w:tc>
      </w:tr>
      <w:tr>
        <w:trPr>
          <w:trHeight w:val="196"/>
        </w:trPr>
        <w:tc>
          <w:tcPr>
            <w:tcW w:w="6220" w:type="dxa"/>
            <w:vAlign w:val="bottom"/>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282,779</w:t>
            </w:r>
          </w:p>
        </w:tc>
        <w:tc>
          <w:tcPr>
            <w:tcW w:w="220" w:type="dxa"/>
            <w:vAlign w:val="bottom"/>
          </w:tcPr>
          <w:p>
            <w:pPr>
              <w:spacing w:after="0"/>
              <w:rPr>
                <w:sz w:val="17"/>
                <w:szCs w:val="17"/>
                <w:color w:val="auto"/>
              </w:rPr>
            </w:pPr>
          </w:p>
        </w:tc>
        <w:tc>
          <w:tcPr>
            <w:tcW w:w="300" w:type="dxa"/>
            <w:vAlign w:val="bottom"/>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291,137</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286,928</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382,746</w:t>
            </w: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27,487</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13,900</w:t>
            </w:r>
          </w:p>
        </w:tc>
      </w:tr>
      <w:tr>
        <w:trPr>
          <w:trHeight w:val="196"/>
        </w:trPr>
        <w:tc>
          <w:tcPr>
            <w:tcW w:w="6220" w:type="dxa"/>
            <w:vAlign w:val="bottom"/>
            <w:tcBorders>
              <w:bottom w:val="single" w:sz="8" w:color="CCEEFF"/>
            </w:tcBorders>
          </w:tcPr>
          <w:p>
            <w:pPr>
              <w:ind w:left="340"/>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598,194</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r>
        <w:trPr>
          <w:trHeight w:val="196"/>
        </w:trPr>
        <w:tc>
          <w:tcPr>
            <w:tcW w:w="6220" w:type="dxa"/>
            <w:vAlign w:val="bottom"/>
            <w:shd w:val="clear" w:color="auto" w:fill="CCEEFF"/>
          </w:tcPr>
          <w:p>
            <w:pPr>
              <w:ind w:left="10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62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12,979</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12,098</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34,355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35,507</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 price down payment from Foxconn</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6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Note payable to Foxconn</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13,500</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60,834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147,605</w:t>
            </w:r>
          </w:p>
        </w:tc>
      </w:tr>
      <w:tr>
        <w:trPr>
          <w:trHeight w:val="203"/>
        </w:trPr>
        <w:tc>
          <w:tcPr>
            <w:tcW w:w="6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Warrant and other non-current liabilities</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1,601</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r>
      <w:tr>
        <w:trPr>
          <w:trHeight w:val="196"/>
        </w:trPr>
        <w:tc>
          <w:tcPr>
            <w:tcW w:w="6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62,435</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149,183</w:t>
            </w:r>
          </w:p>
        </w:tc>
      </w:tr>
      <w:tr>
        <w:trPr>
          <w:trHeight w:val="196"/>
        </w:trPr>
        <w:tc>
          <w:tcPr>
            <w:tcW w:w="6220" w:type="dxa"/>
            <w:vAlign w:val="bottom"/>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84"/>
        </w:trPr>
        <w:tc>
          <w:tcPr>
            <w:tcW w:w="622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$0.0001 par value, 300,000,000 shares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authorized; 205,871,561 and 196,391,349 shares issued and outstanding</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1"/>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 of June 30, 2022 and December 31, 2021, respectively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6220" w:type="dxa"/>
            <w:vAlign w:val="bottom"/>
          </w:tcPr>
          <w:p>
            <w:pPr>
              <w:ind w:left="120"/>
              <w:spacing w:after="0" w:line="202" w:lineRule="exact"/>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1,106,521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1,084,390</w:t>
            </w:r>
          </w:p>
        </w:tc>
      </w:tr>
      <w:tr>
        <w:trPr>
          <w:trHeight w:val="203"/>
        </w:trPr>
        <w:tc>
          <w:tcPr>
            <w:tcW w:w="6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(570,783)</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(544,809)</w:t>
            </w:r>
          </w:p>
        </w:tc>
      </w:tr>
      <w:tr>
        <w:trPr>
          <w:trHeight w:val="196"/>
        </w:trPr>
        <w:tc>
          <w:tcPr>
            <w:tcW w:w="622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535,759</w:t>
            </w:r>
          </w:p>
        </w:tc>
        <w:tc>
          <w:tcPr>
            <w:tcW w:w="2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196"/>
        </w:trPr>
        <w:tc>
          <w:tcPr>
            <w:tcW w:w="62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598,194</w:t>
            </w: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bl>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360"/>
          </w:cols>
          <w:pgMar w:left="1440" w:top="1268" w:right="10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48,187</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line="176" w:lineRule="exact"/>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120"/>
              <w:spacing w:after="0" w:line="228"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6"/>
                <w:szCs w:val="26"/>
                <w:color w:val="auto"/>
                <w:vertAlign w:val="superscript"/>
              </w:rPr>
              <w:t>1</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72,374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168,356</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Gain on sale</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(101,736)</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(101,736)</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(income) expenses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(61,285)</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110,337</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26,598</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216,543</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(110,337)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(26,598)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(216,543)</w:t>
            </w: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(17,255)</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(108,200)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(233,411)</w:t>
            </w:r>
          </w:p>
        </w:tc>
        <w:tc>
          <w:tcPr>
            <w:tcW w:w="0" w:type="dxa"/>
            <w:vAlign w:val="bottom"/>
          </w:tcPr>
          <w:p>
            <w:pPr>
              <w:spacing w:after="0"/>
              <w:rPr>
                <w:sz w:val="1"/>
                <w:szCs w:val="1"/>
                <w:color w:val="auto"/>
              </w:rPr>
            </w:pPr>
          </w:p>
        </w:tc>
      </w:tr>
      <w:tr>
        <w:trPr>
          <w:trHeight w:val="202"/>
        </w:trPr>
        <w:tc>
          <w:tcPr>
            <w:tcW w:w="3080" w:type="dxa"/>
            <w:vAlign w:val="bottom"/>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8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(108,200)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(233,411)</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20"/>
              <w:spacing w:after="0" w:line="177" w:lineRule="exact"/>
              <w:rPr>
                <w:sz w:val="20"/>
                <w:szCs w:val="20"/>
                <w:color w:val="auto"/>
              </w:rPr>
            </w:pPr>
            <w:r>
              <w:rPr>
                <w:rFonts w:ascii="Arial" w:cs="Arial" w:eastAsia="Arial" w:hAnsi="Arial"/>
                <w:sz w:val="18"/>
                <w:szCs w:val="18"/>
                <w:color w:val="auto"/>
              </w:rPr>
              <w:t>Income (loss) per share attributable</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080" w:type="dxa"/>
            <w:vAlign w:val="bottom"/>
          </w:tcPr>
          <w:p>
            <w:pPr>
              <w:ind w:left="20"/>
              <w:spacing w:after="0"/>
              <w:rPr>
                <w:sz w:val="20"/>
                <w:szCs w:val="20"/>
                <w:color w:val="auto"/>
              </w:rPr>
            </w:pPr>
            <w:r>
              <w:rPr>
                <w:rFonts w:ascii="Arial" w:cs="Arial" w:eastAsia="Arial" w:hAnsi="Arial"/>
                <w:sz w:val="18"/>
                <w:szCs w:val="18"/>
                <w:color w:val="auto"/>
              </w:rPr>
              <w:t>to common shareholders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(0.61)</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3080" w:type="dxa"/>
            <w:vAlign w:val="bottom"/>
          </w:tcPr>
          <w:p>
            <w:pPr>
              <w:ind w:left="340"/>
              <w:spacing w:after="0" w:line="202" w:lineRule="exact"/>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(0.61)</w:t>
            </w:r>
          </w:p>
        </w:tc>
        <w:tc>
          <w:tcPr>
            <w:tcW w:w="140" w:type="dxa"/>
            <w:vAlign w:val="bottom"/>
          </w:tcPr>
          <w:p>
            <w:pPr>
              <w:spacing w:after="0"/>
              <w:rPr>
                <w:sz w:val="17"/>
                <w:szCs w:val="17"/>
                <w:color w:val="auto"/>
              </w:rPr>
            </w:pP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(0.13)</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84"/>
        </w:trPr>
        <w:tc>
          <w:tcPr>
            <w:tcW w:w="308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Weighted-average number of</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340"/>
              <w:spacing w:after="0" w:line="196"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200,821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176,585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198,674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175,595</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201,015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176,585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198,674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175,595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ind w:left="60" w:right="459" w:hanging="10"/>
        <w:spacing w:after="0" w:line="204" w:lineRule="auto"/>
        <w:tabs>
          <w:tab w:leader="none" w:pos="708"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Research and development expenses for the three and six months ended June 30, 2022 are net of $18.4 million in operating expense reimbursements as described in Note 1</w:t>
      </w:r>
    </w:p>
    <w:p>
      <w:pPr>
        <w:spacing w:after="0" w:line="37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Equity/(Deficit)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2"/>
          </w:tcPr>
          <w:p>
            <w:pPr>
              <w:jc w:val="center"/>
              <w:ind w:right="480"/>
              <w:spacing w:after="0"/>
              <w:rPr>
                <w:sz w:val="20"/>
                <w:szCs w:val="20"/>
                <w:color w:val="auto"/>
              </w:rPr>
            </w:pPr>
            <w:r>
              <w:rPr>
                <w:rFonts w:ascii="Arial" w:cs="Arial" w:eastAsia="Arial" w:hAnsi="Arial"/>
                <w:sz w:val="14"/>
                <w:szCs w:val="14"/>
                <w:b w:val="1"/>
                <w:bCs w:val="1"/>
                <w:color w:val="auto"/>
              </w:rPr>
              <w:t>Three Months Ended June 30, 2022</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60" w:type="dxa"/>
            <w:vAlign w:val="bottom"/>
            <w:tcBorders>
              <w:top w:val="single" w:sz="8" w:color="CCEEFF"/>
            </w:tcBorders>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March 31, 2022</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196,980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$ 1,088,925</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(634,442)</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454,503</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1,237</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RSU Vesting</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Common stock issued to YA</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13,733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13,734</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2,626</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63,659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63,659</w:t>
            </w:r>
          </w:p>
        </w:tc>
        <w:tc>
          <w:tcPr>
            <w:tcW w:w="20" w:type="dxa"/>
            <w:vAlign w:val="bottom"/>
          </w:tcPr>
          <w:p>
            <w:pPr>
              <w:spacing w:after="0"/>
              <w:rPr>
                <w:sz w:val="17"/>
                <w:szCs w:val="17"/>
                <w:color w:val="auto"/>
              </w:rPr>
            </w:pPr>
          </w:p>
        </w:tc>
      </w:tr>
      <w:tr>
        <w:trPr>
          <w:trHeight w:val="196"/>
        </w:trPr>
        <w:tc>
          <w:tcPr>
            <w:tcW w:w="3360" w:type="dxa"/>
            <w:vAlign w:val="bottom"/>
            <w:tcBorders>
              <w:top w:val="single" w:sz="8" w:color="CCEEFF"/>
              <w:bottom w:val="single" w:sz="8" w:color="CCEEFF"/>
            </w:tcBorders>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2022</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205,871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1,106,521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(570,783)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535,759</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jc w:val="center"/>
              <w:ind w:right="520"/>
              <w:spacing w:after="0"/>
              <w:rPr>
                <w:sz w:val="20"/>
                <w:szCs w:val="20"/>
                <w:color w:val="auto"/>
              </w:rPr>
            </w:pPr>
            <w:r>
              <w:rPr>
                <w:rFonts w:ascii="Arial" w:cs="Arial" w:eastAsia="Arial" w:hAnsi="Arial"/>
                <w:sz w:val="14"/>
                <w:szCs w:val="14"/>
                <w:b w:val="1"/>
                <w:bCs w:val="1"/>
                <w:color w:val="auto"/>
              </w:rPr>
              <w:t>Three Months Ended June 30, 2021</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34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March 31, 2021</w:t>
            </w:r>
          </w:p>
        </w:tc>
        <w:tc>
          <w:tcPr>
            <w:tcW w:w="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176,579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962,949</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(259,652)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703,315</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3,840</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(108,200)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(108,200)</w:t>
            </w:r>
          </w:p>
        </w:tc>
        <w:tc>
          <w:tcPr>
            <w:tcW w:w="20" w:type="dxa"/>
            <w:vAlign w:val="bottom"/>
          </w:tcPr>
          <w:p>
            <w:pPr>
              <w:spacing w:after="0"/>
              <w:rPr>
                <w:sz w:val="17"/>
                <w:szCs w:val="17"/>
                <w:color w:val="auto"/>
              </w:rPr>
            </w:pPr>
          </w:p>
        </w:tc>
      </w:tr>
      <w:tr>
        <w:trPr>
          <w:trHeight w:val="196"/>
        </w:trPr>
        <w:tc>
          <w:tcPr>
            <w:tcW w:w="31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160" w:type="dxa"/>
            <w:vAlign w:val="bottom"/>
            <w:tcBorders>
              <w:top w:val="single" w:sz="8" w:color="auto"/>
              <w:bottom w:val="single" w:sz="8" w:color="auto"/>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176,606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966,837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(367,852)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599,003</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jc w:val="center"/>
              <w:ind w:right="500"/>
              <w:spacing w:after="0"/>
              <w:rPr>
                <w:sz w:val="20"/>
                <w:szCs w:val="20"/>
                <w:color w:val="auto"/>
              </w:rPr>
            </w:pPr>
            <w:r>
              <w:rPr>
                <w:rFonts w:ascii="Arial" w:cs="Arial" w:eastAsia="Arial" w:hAnsi="Arial"/>
                <w:sz w:val="14"/>
                <w:szCs w:val="14"/>
                <w:b w:val="1"/>
                <w:bCs w:val="1"/>
                <w:color w:val="auto"/>
              </w:rPr>
              <w:t>Six Months Ended June 30, 2022</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2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top w:val="single" w:sz="8" w:color="auto"/>
            </w:tcBorders>
            <w:gridSpan w:val="2"/>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196,391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$1,084,390</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(544,809)</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539,600</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1,853</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RSU Vesting</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Common stock issued to YA</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13,733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13,734</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5"/>
          </w:tcPr>
          <w:p>
            <w:pPr>
              <w:jc w:val="right"/>
              <w:ind w:right="200"/>
              <w:spacing w:after="0" w:line="202" w:lineRule="exact"/>
              <w:rPr>
                <w:sz w:val="20"/>
                <w:szCs w:val="20"/>
                <w:color w:val="auto"/>
              </w:rPr>
            </w:pPr>
            <w:r>
              <w:rPr>
                <w:rFonts w:ascii="Arial" w:cs="Arial" w:eastAsia="Arial" w:hAnsi="Arial"/>
                <w:sz w:val="18"/>
                <w:szCs w:val="18"/>
                <w:color w:val="auto"/>
              </w:rPr>
              <w:t>(25,974)</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(25,974)</w:t>
            </w:r>
          </w:p>
        </w:tc>
        <w:tc>
          <w:tcPr>
            <w:tcW w:w="20" w:type="dxa"/>
            <w:vAlign w:val="bottom"/>
          </w:tcPr>
          <w:p>
            <w:pPr>
              <w:spacing w:after="0"/>
              <w:rPr>
                <w:sz w:val="17"/>
                <w:szCs w:val="17"/>
                <w:color w:val="auto"/>
              </w:rPr>
            </w:pPr>
          </w:p>
        </w:tc>
      </w:tr>
      <w:tr>
        <w:trPr>
          <w:trHeight w:val="196"/>
        </w:trPr>
        <w:tc>
          <w:tcPr>
            <w:tcW w:w="3360" w:type="dxa"/>
            <w:vAlign w:val="bottom"/>
            <w:tcBorders>
              <w:top w:val="single" w:sz="8" w:color="CCEEFF"/>
              <w:bottom w:val="single" w:sz="8" w:color="CCEEFF"/>
            </w:tcBorders>
            <w:gridSpan w:val="4"/>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June 30, 2022</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205,871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1,106,521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(570,783)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535,759</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2"/>
          </w:tcPr>
          <w:p>
            <w:pPr>
              <w:jc w:val="center"/>
              <w:ind w:right="500"/>
              <w:spacing w:after="0"/>
              <w:rPr>
                <w:sz w:val="20"/>
                <w:szCs w:val="20"/>
                <w:color w:val="auto"/>
              </w:rPr>
            </w:pPr>
            <w:r>
              <w:rPr>
                <w:rFonts w:ascii="Arial" w:cs="Arial" w:eastAsia="Arial" w:hAnsi="Arial"/>
                <w:sz w:val="14"/>
                <w:szCs w:val="14"/>
                <w:b w:val="1"/>
                <w:bCs w:val="1"/>
                <w:color w:val="auto"/>
              </w:rPr>
              <w:t>Six Months Ended June 30, 2021</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3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4"/>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3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80" w:type="dxa"/>
            <w:vAlign w:val="bottom"/>
            <w:tcBorders>
              <w:top w:val="single" w:sz="8" w:color="auto"/>
            </w:tcBorders>
            <w:gridSpan w:val="3"/>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168,008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765,162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(134,441)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630,738</w:t>
            </w:r>
          </w:p>
        </w:tc>
        <w:tc>
          <w:tcPr>
            <w:tcW w:w="20" w:type="dxa"/>
            <w:vAlign w:val="bottom"/>
          </w:tcPr>
          <w:p>
            <w:pPr>
              <w:spacing w:after="0"/>
              <w:rPr>
                <w:sz w:val="17"/>
                <w:szCs w:val="17"/>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Issuance of common stock</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1,098</w:t>
            </w:r>
          </w:p>
        </w:tc>
        <w:tc>
          <w:tcPr>
            <w:tcW w:w="20" w:type="dxa"/>
            <w:vAlign w:val="bottom"/>
          </w:tcPr>
          <w:p>
            <w:pPr>
              <w:spacing w:after="0"/>
              <w:rPr>
                <w:sz w:val="17"/>
                <w:szCs w:val="17"/>
                <w:color w:val="auto"/>
              </w:rPr>
            </w:pPr>
          </w:p>
        </w:tc>
      </w:tr>
      <w:tr>
        <w:trPr>
          <w:trHeight w:val="184"/>
        </w:trPr>
        <w:tc>
          <w:tcPr>
            <w:tcW w:w="3360" w:type="dxa"/>
            <w:vAlign w:val="bottom"/>
            <w:gridSpan w:val="4"/>
            <w:shd w:val="clear" w:color="auto" w:fill="CCEEFF"/>
          </w:tcPr>
          <w:p>
            <w:pPr>
              <w:ind w:left="120"/>
              <w:spacing w:after="0" w:line="183" w:lineRule="exact"/>
              <w:rPr>
                <w:sz w:val="20"/>
                <w:szCs w:val="20"/>
                <w:color w:val="auto"/>
              </w:rPr>
            </w:pPr>
            <w:r>
              <w:rPr>
                <w:rFonts w:ascii="Arial" w:cs="Arial" w:eastAsia="Arial" w:hAnsi="Arial"/>
                <w:sz w:val="18"/>
                <w:szCs w:val="18"/>
                <w:color w:val="auto"/>
              </w:rPr>
              <w:t>Common stock issued for exercise of</w:t>
            </w: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1"/>
        </w:trPr>
        <w:tc>
          <w:tcPr>
            <w:tcW w:w="3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194,798</w:t>
            </w:r>
          </w:p>
        </w:tc>
        <w:tc>
          <w:tcPr>
            <w:tcW w:w="20" w:type="dxa"/>
            <w:vAlign w:val="bottom"/>
          </w:tcPr>
          <w:p>
            <w:pPr>
              <w:spacing w:after="0"/>
              <w:rPr>
                <w:sz w:val="19"/>
                <w:szCs w:val="19"/>
                <w:color w:val="auto"/>
              </w:rPr>
            </w:pPr>
          </w:p>
        </w:tc>
      </w:tr>
      <w:tr>
        <w:trPr>
          <w:trHeight w:val="203"/>
        </w:trPr>
        <w:tc>
          <w:tcPr>
            <w:tcW w:w="336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20" w:type="dxa"/>
            <w:vAlign w:val="bottom"/>
          </w:tcPr>
          <w:p>
            <w:pPr>
              <w:spacing w:after="0"/>
              <w:rPr>
                <w:sz w:val="17"/>
                <w:szCs w:val="17"/>
                <w:color w:val="auto"/>
              </w:rPr>
            </w:pPr>
          </w:p>
        </w:tc>
      </w:tr>
      <w:tr>
        <w:trPr>
          <w:trHeight w:val="203"/>
        </w:trPr>
        <w:tc>
          <w:tcPr>
            <w:tcW w:w="336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(233,411)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(233,411)</w:t>
            </w:r>
          </w:p>
        </w:tc>
        <w:tc>
          <w:tcPr>
            <w:tcW w:w="20" w:type="dxa"/>
            <w:vAlign w:val="bottom"/>
          </w:tcPr>
          <w:p>
            <w:pPr>
              <w:spacing w:after="0"/>
              <w:rPr>
                <w:sz w:val="17"/>
                <w:szCs w:val="17"/>
                <w:color w:val="auto"/>
              </w:rPr>
            </w:pPr>
          </w:p>
        </w:tc>
      </w:tr>
      <w:tr>
        <w:trPr>
          <w:trHeight w:val="196"/>
        </w:trPr>
        <w:tc>
          <w:tcPr>
            <w:tcW w:w="33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Balance at June 30, 2021</w:t>
            </w:r>
          </w:p>
        </w:tc>
        <w:tc>
          <w:tcPr>
            <w:tcW w:w="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176,606</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966,837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7"/>
              </w:rPr>
              <w:t>$ (367,852)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599,003</w:t>
            </w:r>
          </w:p>
        </w:tc>
        <w:tc>
          <w:tcPr>
            <w:tcW w:w="20" w:type="dxa"/>
            <w:vAlign w:val="bottom"/>
          </w:tcPr>
          <w:p>
            <w:pPr>
              <w:spacing w:after="0"/>
              <w:rPr>
                <w:sz w:val="17"/>
                <w:szCs w:val="17"/>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Cash Flows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140" w:type="dxa"/>
            <w:vAlign w:val="bottom"/>
          </w:tcPr>
          <w:p>
            <w:pPr>
              <w:jc w:val="right"/>
              <w:ind w:right="71"/>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37"/>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(25,974)</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(233,411)</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6,546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Gain on disposal of fixed assets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(101,736)</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Other non-cash changes</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9,123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18,261</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Forgiveness of note payable</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3"/>
        </w:trPr>
        <w:tc>
          <w:tcPr>
            <w:tcW w:w="6200" w:type="dxa"/>
            <w:vAlign w:val="bottom"/>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Accounts receivables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(13,413)</w:t>
            </w: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(2,471)</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31,057</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Net Cash used by operating activities</w:t>
            </w: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(121,427)</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(171,374)</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Purchases of capital assets</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(40,043)</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(175,601)</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in Foxconn Joint Venture</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(13,500)</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Proceeds from the sale of capital assets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37,553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used by investing activities</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(15,990)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(175,601)</w:t>
            </w:r>
          </w:p>
        </w:tc>
        <w:tc>
          <w:tcPr>
            <w:tcW w:w="0" w:type="dxa"/>
            <w:vAlign w:val="bottom"/>
          </w:tcPr>
          <w:p>
            <w:pPr>
              <w:spacing w:after="0"/>
              <w:rPr>
                <w:sz w:val="1"/>
                <w:szCs w:val="1"/>
                <w:color w:val="auto"/>
              </w:rPr>
            </w:pPr>
          </w:p>
        </w:tc>
      </w:tr>
      <w:tr>
        <w:trPr>
          <w:trHeight w:val="196"/>
        </w:trPr>
        <w:tc>
          <w:tcPr>
            <w:tcW w:w="6200" w:type="dxa"/>
            <w:vAlign w:val="bottom"/>
          </w:tcPr>
          <w:p>
            <w:pPr>
              <w:ind w:left="120"/>
              <w:spacing w:after="0" w:line="19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Proceeds from notes payable</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82,016</w:t>
            </w:r>
          </w:p>
        </w:tc>
        <w:tc>
          <w:tcPr>
            <w:tcW w:w="0" w:type="dxa"/>
            <w:vAlign w:val="bottom"/>
          </w:tcPr>
          <w:p>
            <w:pPr>
              <w:spacing w:after="0"/>
              <w:rPr>
                <w:sz w:val="1"/>
                <w:szCs w:val="1"/>
                <w:color w:val="auto"/>
              </w:rPr>
            </w:pP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Down payments received from Foxconn</w:t>
            </w: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Issuance of common stock</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Proceeds from Equity Purchase Agreement with YA, net of issuance costs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13,734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129,087</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83,114</w:t>
            </w:r>
          </w:p>
        </w:tc>
        <w:tc>
          <w:tcPr>
            <w:tcW w:w="0" w:type="dxa"/>
            <w:vAlign w:val="bottom"/>
          </w:tcPr>
          <w:p>
            <w:pPr>
              <w:spacing w:after="0"/>
              <w:rPr>
                <w:sz w:val="1"/>
                <w:szCs w:val="1"/>
                <w:color w:val="auto"/>
              </w:rPr>
            </w:pPr>
          </w:p>
        </w:tc>
      </w:tr>
      <w:tr>
        <w:trPr>
          <w:trHeight w:val="196"/>
        </w:trPr>
        <w:tc>
          <w:tcPr>
            <w:tcW w:w="6200" w:type="dxa"/>
            <w:vAlign w:val="bottom"/>
          </w:tcPr>
          <w:p>
            <w:pPr>
              <w:ind w:left="20"/>
              <w:spacing w:after="0" w:line="196" w:lineRule="exact"/>
              <w:rPr>
                <w:sz w:val="20"/>
                <w:szCs w:val="20"/>
                <w:color w:val="auto"/>
              </w:rPr>
            </w:pPr>
            <w:r>
              <w:rPr>
                <w:rFonts w:ascii="Arial" w:cs="Arial" w:eastAsia="Arial" w:hAnsi="Arial"/>
                <w:sz w:val="18"/>
                <w:szCs w:val="18"/>
                <w:color w:val="auto"/>
              </w:rPr>
              <w:t>Decrease in cash and cash equivalents</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(8,330)</w:t>
            </w:r>
          </w:p>
        </w:tc>
        <w:tc>
          <w:tcPr>
            <w:tcW w:w="16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(263,861)</w:t>
            </w:r>
          </w:p>
        </w:tc>
        <w:tc>
          <w:tcPr>
            <w:tcW w:w="0" w:type="dxa"/>
            <w:vAlign w:val="bottom"/>
          </w:tcPr>
          <w:p>
            <w:pPr>
              <w:spacing w:after="0"/>
              <w:rPr>
                <w:sz w:val="1"/>
                <w:szCs w:val="1"/>
                <w:color w:val="auto"/>
              </w:rPr>
            </w:pP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Cash and cash equivalents, ending balance</w:t>
            </w: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235,686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365,900</w:t>
            </w:r>
          </w:p>
        </w:tc>
        <w:tc>
          <w:tcPr>
            <w:tcW w:w="0" w:type="dxa"/>
            <w:vAlign w:val="bottom"/>
          </w:tcPr>
          <w:p>
            <w:pPr>
              <w:spacing w:after="0"/>
              <w:rPr>
                <w:sz w:val="1"/>
                <w:szCs w:val="1"/>
                <w:color w:val="auto"/>
              </w:rPr>
            </w:pPr>
          </w:p>
        </w:tc>
      </w:tr>
      <w:tr>
        <w:trPr>
          <w:trHeight w:val="196"/>
        </w:trPr>
        <w:tc>
          <w:tcPr>
            <w:tcW w:w="6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Non-cash items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0" w:type="dxa"/>
            <w:vAlign w:val="bottom"/>
            <w:tcBorders>
              <w:bottom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Derecognition of Foxconn down payments for sale of capital assets</w:t>
            </w: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440"/>
              <w:spacing w:after="0"/>
              <w:rPr>
                <w:sz w:val="20"/>
                <w:szCs w:val="20"/>
                <w:color w:val="auto"/>
              </w:rPr>
            </w:pPr>
            <w:r>
              <w:rPr>
                <w:rFonts w:ascii="Arial" w:cs="Arial" w:eastAsia="Arial" w:hAnsi="Arial"/>
                <w:sz w:val="18"/>
                <w:szCs w:val="18"/>
                <w:color w:val="auto"/>
              </w:rPr>
              <w:t>Capital assets acquired with payables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1,846</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14,631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ORGANIZATION AND DESCRIPTION OF BUSINESS AND BASIS OF PRESENTATION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Lordstown Description of Business</w:t>
      </w:r>
    </w:p>
    <w:p>
      <w:pPr>
        <w:spacing w:after="0" w:line="21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Lordstown Motors Corp., a Delaware corporation (“Lordstown”, the “Company” or “we”), is an electric vehicle (“EV”) innovator developing high-quality light duty commercial fleet vehicles, with the Endurance all electric pick-up truck as our first vehicle being launched in the Lordstown, Ohio facility. We are in the final design and testing phase related to our production of the Endurance but have yet to bring a completed product to market. We have also recently established the Foxconn Joint Venture (defined below) to jointly design, develop, test and industrialize all-electric commercial vehicles (“EC Vehicles”) with Foxconn using its Mobility-in-Harmony (“MIH”) platform, which would also be built at the Lordstown, Ohio plant and potentially licensed for production elsewhere in the world.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APA with Foxconn</w:t>
      </w:r>
    </w:p>
    <w:p>
      <w:pPr>
        <w:spacing w:after="0" w:line="210"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Hon Hai Technology Group (“HHTG”; either HHTG or applicable affiliates of HHTG are referred to herein as “Foxconn”), dated November 10, 2021 (the “Asset Purchase Agreement” or “APA” and the closing of the transactions contemplated thereby, the “APA Closing”).</w:t>
      </w:r>
    </w:p>
    <w:p>
      <w:pPr>
        <w:spacing w:after="0" w:line="179"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outsourced all of the manufacturing of the Endurance to Foxconn under the Contract Manufacturing Agreement (defined below). Lordstown EV also entered into a lease pursuant to which Lordstown EV leases space located at the Lordstown, Ohio facility from Foxconn for its Ohio-based employees for a term equal to the duration of the Contract Manufacturing Agreement plus 30 days. The right of use asset and liability related to this lease is immaterial.</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purchase price for the Lordstown facility consisted of $230 million and a reimbursement payment for certain operating and expansion costs incurred by Lordstown EV from September 1, 2021 until the APA Closing. Foxconn made down payments of the purchase price totaling $ 200 million through April 15, 2022, of which $50 million and $100 million were received during the three and six months ended June 30, 2022, respectively. The $30 million balance of the purchase price and a reimbursement payment of approximately $27.5 million were paid at the APA Closing; $17.5 million was attributable to the reimbursement of certain operating expenses reported in research and development and $10 million was attributable to expansion costs. Under the terms of the APA, the $17.5 million reimbursement costs were an estimate which was subsequently increased to $18.4 million as of June 30, 2022 and will be finalized over a post-closing review period.</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Research and development costs are presented net of the $18.4 million reimbursement of costs by Foxconn for the three and six months ended June 30, 2022. Included in the $18.4 million reimbursement were approximately $7.7 million of research and development costs incurred in 2021. Of the $10 million expansion costs, $7.5 million is attributable to assets sold to Foxconn at the APA Closing with the remaining $2.5 million being a prepayment for open purchase orders as of the APA Closing related to expansion costs. Also in connection with the APA Closing, the Company issued warrants to Foxconn that are exercisable until the third anniversary of the APA Closing for 1.7 million shares of Class A common stock at an exercise price of $10.50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9" w:name="page10"/>
    <w:bookmarkEnd w:id="9"/>
    <w:p>
      <w:pPr>
        <w:ind w:left="60" w:right="819"/>
        <w:spacing w:after="0" w:line="301" w:lineRule="auto"/>
        <w:rPr>
          <w:sz w:val="20"/>
          <w:szCs w:val="20"/>
          <w:color w:val="auto"/>
        </w:rPr>
      </w:pPr>
      <w:r>
        <w:rPr>
          <w:rFonts w:ascii="Arial" w:cs="Arial" w:eastAsia="Arial" w:hAnsi="Arial"/>
          <w:sz w:val="17"/>
          <w:szCs w:val="17"/>
          <w:color w:val="auto"/>
        </w:rPr>
        <w:t>per share (the “Foxconn Warrants”). In October 2021, prior to entering into the APA, Foxconn purchased 7.2 million shares of the Company’s Class A common stock for approximately $50.0 million.</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21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On May 11, 2022, Lordstown EV and Foxconn entered into a manufacturing supply agreement (the “Contract Manufacturing Agreement” or “CMA”) in connection with the APA Closing. Pursuant to the Contract Manufacturing Agreement, Foxconn will (i) manufacture the Endurance at the Lordstown facility for a fee per vehicle, (ii) following a transition period, procure components for the manufacture and assembly of the Endurance, subject to sourcing specifications provided by Lordstown EV, and (iii) provide certain post-delivery services. The CMA provides us with an entirely variable manufacturing cost structure and alleviates us of the burden to invest in and maintain the facility.</w:t>
      </w:r>
    </w:p>
    <w:p>
      <w:pPr>
        <w:spacing w:after="0" w:line="18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CMA requires Foxconn to use commercially reasonable efforts to assist with reducing component and logistics costs, and otherwise improving the commercial terms of procurement with suppliers, and the parties to work together to reduce the overall bill of materials cost of the Endurance. Foxconn conducts testing in accordance with procedures established by us and we are generally responsible for all motor vehicle regulatory compliance and reporting. The Contract Manufacturing Agreement also allocates responsibility between the parties for other matters, including component defects, quality assurance and warranties of manufacturing and design. Foxconn will invoice us for manufacturing costs on a fee per vehicle produced basis, and to the extent purchased by Foxconn, component and other costs. Production volume and scheduling are based upon rolling weekly forecasts we provide that are generally binding only for a twelve-week period, with some ability to vary the quantities of vehicle type.</w:t>
      </w:r>
    </w:p>
    <w:p>
      <w:pPr>
        <w:spacing w:after="0" w:line="166"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The CMA became effective on May 11, 2022 and continues for an initial term of 18 months plus a 12 month notice period in the event either party seeks to terminate the agreement. In the event no party terminates the Contract Manufacturing Agreement following the initial term, it will continue on a month-to-month basis unless terminated upon 12 months’ prior notice. The CMA can also be terminated by either party due to a material breach of the agreement and will terminate immediately upon the occurrence of any bankruptcy event.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Joint Venture Agreement</w:t>
      </w:r>
    </w:p>
    <w:p>
      <w:pPr>
        <w:spacing w:after="0" w:line="210"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Also in connection with the APA Closing, Lordstown EV and Foxconn entered into a Limited Liability Company Agreement (the “Foxconn Joint Venture Agreement”) and filed a Certificate of Formation on May 11, 2022 to form MIH EV Design LLC, a Delaware limited liability company, as a joint venture to design, develop, test and industrialize EC Vehicles (the “Foxconn Joint Venture”). Foxconn has committed $100 million to the Foxconn Joint Venture, consisting of $55 million in the form of direct capital contributions, and a $45 million loan to Lordstown EV pursuant to and on the conditions set forth in the Notes (as defined below), the proceeds of which will only be used to fund our capital contributions to the Foxconn Joint Venture. Initially, Foxconn has an ownership interest in the Foxconn Joint Venture of 55% and Lordstown EV has a 45% interest. On June 24, 2022, Foxconn made its initial investments totaling $16.5 million in the Foxconn Joint Venture pursuant to the Foxconn Joint Venture Agreement. Lordstown EV’s 45% share, or $13.5 million, was invested with proceeds from issuance of the Notes on June 27, 2022.</w:t>
      </w:r>
    </w:p>
    <w:p>
      <w:pPr>
        <w:spacing w:after="0" w:line="18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Foxconn Joint Venture Agreement contemplates a license to the Foxconn Joint Venture to use certain intellectual property owned by Foxconn and its affiliated entities relating to certain automotive related designs (the “FX IP”) to develop EC Vehicles, with the Foxconn Joint Venture owning all intellectual property rights it develops (other than the FX IP). The Foxconn Joint Venture Agreement also contemplates an exclusive license of all intellectual property owned by the Foxcon Joint Venture relating to any EC Vehicle designed by the Foxconn Joint Venture to Lordstown EV for use in the North American commercial market, and to Foxconn for use outside of North America, each subject to customary and reasonable licensing fees.</w:t>
      </w:r>
    </w:p>
    <w:p>
      <w:pPr>
        <w:spacing w:after="0" w:line="171"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Pursuant to the Foxconn Joint Venture Agreement, the Foxconn Joint Venture will be overseen by a five-person management board with Foxconn initially having the right to appoint three members and Lordstown EV initially having the right to appoint two members. Certain major decisions, including, but not limited to, the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0" w:name="page11"/>
    <w:bookmarkEnd w:id="10"/>
    <w:p>
      <w:pPr>
        <w:ind w:left="60" w:right="59"/>
        <w:spacing w:after="0"/>
        <w:rPr>
          <w:sz w:val="20"/>
          <w:szCs w:val="20"/>
          <w:color w:val="auto"/>
        </w:rPr>
      </w:pPr>
      <w:r>
        <w:rPr>
          <w:rFonts w:ascii="Arial" w:cs="Arial" w:eastAsia="Arial" w:hAnsi="Arial"/>
          <w:sz w:val="18"/>
          <w:szCs w:val="18"/>
          <w:color w:val="auto"/>
        </w:rPr>
        <w:t>approval of budgets, raising additional equity, incurring third party indebtedness, mergers, related party transactions, dissolution and increases in the size of the management board, require the consent of at least one member of the management board appointed by Lordstown EV for so long as we own at least 30% of the Foxconn Joint Venture. Other than with respect to certain customary permitted transfers, neither Lordstown EV nor Foxconn is permitted to transfer its interest in the Foxconn Joint Venture for a period of three years following the formation of the Foxconn Joint Venture. Thereafter, each party has a right of first refusal and a tag-along right with respect to any proposed transfer by the other party.</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Under the Foxconn Joint Venture Agreement, we are Foxconn’s primary development partner in North America. We plan to develop a portfolio of electric vehicles targeting commercial fleet customers, built at the Lordstown, Ohio plant using the advanced designs from Foxconn and its affiliates. We plan for Foxconn to supply the FX IP for the vehicles to be customized for and homologated in North America by the Foxconn Joint Venture, along with certain vehicle components and subsystems, enabling us to leverage Foxconn’s manufacturing expertise, supply-chain network and extensive experience in software development and integration (key capabilities in the production of EVs) to complement our EV design, development, engineering and homologation contributions. No assurance can be given that we will be able to realize the potential benefits of the Foxconn Transactions (as defined below).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Note, Guaranty and Security Agreements</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Foxconn Joint Venture Agreement provides that Lordstown EV, as the issuer, and guaranteed by our wholly-owned subsidiary Lordstown EV Sales LLC, and the Company (collectively, the “Note Parties”), will enter into note, guaranty and security agreements (the “Notes”) with Foxconn, as the payee, pursuant to which Foxconn makes term loans to Lordstown EV in an aggregate original principal amount not to exceed $45 million as advances are requested by Lordstown EV. On June 27, 2022, Foxconn funded $13.5 million in exchange for Lordstown EV delivering a Note in such amount. The proceeds were used for our initial investment in the Foxconn Joint Venture.</w:t>
      </w:r>
    </w:p>
    <w:p>
      <w:pPr>
        <w:spacing w:after="0" w:line="185" w:lineRule="exact"/>
        <w:rPr>
          <w:sz w:val="20"/>
          <w:szCs w:val="20"/>
          <w:color w:val="auto"/>
        </w:rPr>
      </w:pPr>
    </w:p>
    <w:p>
      <w:pPr>
        <w:ind w:left="60" w:right="419"/>
        <w:spacing w:after="0" w:line="266" w:lineRule="auto"/>
        <w:rPr>
          <w:sz w:val="20"/>
          <w:szCs w:val="20"/>
          <w:color w:val="auto"/>
        </w:rPr>
      </w:pPr>
      <w:r>
        <w:rPr>
          <w:rFonts w:ascii="Arial" w:cs="Arial" w:eastAsia="Arial" w:hAnsi="Arial"/>
          <w:sz w:val="17"/>
          <w:szCs w:val="17"/>
          <w:color w:val="auto"/>
        </w:rPr>
        <w:t>To secure its obligations under Notes, Lordstown EV has granted Foxconn a security interest in (i) all of Lordstown EV’s equity interests in the Foxconn Joint Venture, and (ii) personal property constituting the hub motor, battery module and battery pack assembly lines. We may use the proceeds only to fund our capital commitment of $45 million to the Foxconn Joint Venture, pursuant to the Foxconn Joint Venture Agreement.</w:t>
      </w:r>
    </w:p>
    <w:p>
      <w:pPr>
        <w:spacing w:after="0" w:line="15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Notes will accrue interest at a rate of 7.0% per annum, to be paid-in-kind, and due on the earlier of (i) the first anniversary of issuance and (ii) December 31, 2025, unless earlier terminated in the event of a default. Pursuant to the Foxconn Joint Venture Agreement, each Note maturing before December 31, 2025 will be refinanced by Foxconn with a new Note in the principal amount equal to the outstanding principal amount of the refinanced Note, plus accrued and unpaid interest thereon, and will have terms substantively identical to the terms of the refinanced Note. Events of default include, among other things, the breach of certain covenants or representations, defaults under other loans or obligations, judgments, orders or claims not vacated or otherwise paid, involvement in bankruptcy proceedings, an occurrence of a change of control or the loss of any material collateral (as such terms are defined in the Notes). Each Note will contain negative covenants which, while in effect, restrict the Note Parties from, among other things, incurring certain types of other debt (subject to various baskets), making certain expenditures or investments, any mergers or other fundamental changes, or changing the character of the Note Parties’ businesses. While it is not intended that any amounts will become due under the Notes prior to December 31, 2025, each Note has a term of one year and the refinancing of each Note is subject to certain conditions, including the absence of an event of default. Given the risk of the incurrence of an event of default, we have classified the Notes as a current liability.</w:t>
      </w:r>
    </w:p>
    <w:p>
      <w:pPr>
        <w:spacing w:after="0" w:line="17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Each Note and all accrued but unpaid interest thereon may be prepaid, in whole or in part, at any time or from time to time, without any penalty or premium. Lordstown EV will be required to prepay each Note and all accrued but unpaid interest thereon with proceeds received upon distributions from the Foxconn Joint Venture or cash proceeds of certain asset dispositions.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i w:val="1"/>
          <w:iCs w:val="1"/>
          <w:color w:val="auto"/>
        </w:rPr>
        <w:t>Ongoing Operations</w:t>
      </w:r>
    </w:p>
    <w:p>
      <w:pPr>
        <w:spacing w:after="0" w:line="21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Even though the APA, the Contract Manufacturing Agreement and the Foxconn Joint Venture Agreement (together, the “Foxconn Transactions”) were consummated, we will need additional funding to execute our 2022 business plan and to achieve scaled production of the Endurance, due to the capital required to complete testing and validation, purchase the raw materials and vehicle components for saleable vehicles, invest in the hard tooling to lower our bill of materials cost and fund future engineering and corporate expenditures. As discussed above, the Company incurred debt to fund our investment in the Foxconn Joint Venture, and no assurance can be given that we will be able to raise sufficient capital or to realize the potential benefits of the Foxconn Transactions.</w:t>
      </w:r>
    </w:p>
    <w:p>
      <w:pPr>
        <w:spacing w:after="0" w:line="18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We continue to explore all financing alternatives as our operations are anticipated to require significant capital investment for the foreseeable future. We are also seeking strategic partners, including other automakers, to provide additional capital/or and other support to enable us to scale the Endurance program and to develop new vehicle programs through the Foxconn Joint Venture. As we seek additional sources of financing, there can be no assurance that such financing would be available to us on favorable terms or at all.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10-01 of Regulation S-X.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Form 10-K.</w:t>
      </w:r>
    </w:p>
    <w:p>
      <w:pPr>
        <w:spacing w:after="0" w:line="18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 Intercompany accounts and transactions have been eliminated in consolidation. The preparation of these financial statements requires management to make estimates and assumptions that affect the reported amounts of assets and liabilities and the disclosure of contingent liabilities at the dates of the financial statements and the amounts of expenses during the reporting periods. Actual amounts realized or paid could differ from those estimates.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10"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color w:val="auto"/>
        </w:rPr>
        <w:t>The accompanying unaudited condensed consolidated interim financial statements have been prepared assuming the Company will continue as a going concern. The going concern basis of presentation assumes that the Company will continue in operation one year after the date these unaudited condensed consolidated interim financial statements are issued and will be able to realize its assets and discharge its liabilities and commitments in the normal course of business.</w:t>
      </w:r>
    </w:p>
    <w:p>
      <w:pPr>
        <w:spacing w:after="0" w:line="17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unaudited condensed consolidated interim financial statements are issued. This evaluation does not take into consideration the potential mitigating effect of management’s plans that have not been fully implemented or are not within control of the Company as of the date the unaudited condensed consolidated interim financial statements are issued. When substantial doubt exists, management evaluates whether the mitigating effect of its plans sufficiently alleviates substantial doubt about the Company’s ability to</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continue as a going concern. The mitigating effect of management’s plans, however, is only considered if both</w:t>
      </w:r>
    </w:p>
    <w:p>
      <w:pPr>
        <w:spacing w:after="0" w:line="14" w:lineRule="exact"/>
        <w:rPr>
          <w:sz w:val="20"/>
          <w:szCs w:val="20"/>
          <w:color w:val="auto"/>
        </w:rPr>
      </w:pPr>
    </w:p>
    <w:p>
      <w:pPr>
        <w:ind w:left="60" w:right="79" w:hanging="10"/>
        <w:spacing w:after="0" w:line="239"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probable that the plans will be effectively implemented within one year after the date that the unaudited condensed consolidated interim financial statements are issued, and (2) it is probable that the plans, when implemented, will mitigate the relevant conditions or events that raise substantial doubt about the entity’s ability to continue as a going concern within one year after the date that the unaudited condensed consolidated interim financial statements are issued.</w:t>
      </w:r>
    </w:p>
    <w:p>
      <w:pPr>
        <w:spacing w:after="0" w:line="16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had cash and cash equivalents of approximately $235.7 million and an accumulated deficit of $570.8 million at June 30, 2022 and a net loss of $26.0 million for the six months ended June 30, 2022. Since inception, we have been developing our flagship vehicle, the Endurance, an electric full-size pickup truck. We have built a limited number of pre-production vehicles (“PPVs”) during the first half of 2022 for testing, certification, validation, regulatory approvals and to demonstrate the capabilities of the Endurance to potential customers. The Company’s ability to continue as a going concern is dependent on our ability to realize the benefits of the Foxconn Transactions, raise substantial additional capital, complete the development of the Endurance, obtain regulatory approval, begin commercial production and launch the sale of the Endurance. The Company’s current level of cash and cash equivalents are not sufficient to execute our 2022 business plan and achieve scaled production of the Endurance due to the substantial additional capital required to complete testing and validation, purchase the raw materials and vehicle components for saleable vehicles, invest in the hard tooling to lower our bill of materials cost and fund future engineering and corporate expenditures. For the foreseeable future, we will incur significant operating expenses, capital expenditures and working capital funding that will deplete our cash on hand. These conditions raise substantial doubt regarding the Company’s ability to continue as a going concern for a period of at least one year from the date of issuance of these condensed consolidated financial statements. As a result of having insufficient capital to execute our 2022 business plan, we have substantially limited investments in tooling and other aspects of the Endurance and our operations. The trade-offs we are making, including related to hard tooling, are likely to result in higher costs for the Company in the future and are likely to slow or impair future design enhancements or options we may otherwise seek to make available to customers.</w:t>
      </w:r>
    </w:p>
    <w:p>
      <w:pPr>
        <w:spacing w:after="0" w:line="18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Our research and development expenses and capital expenditures are significant due to spending needed for prototype components, vehicle validation tests, securing necessary parts/equipment, and utilizing in-house and third-party engineering services. During 2021, we experienced the stress that the COVID-19 pandemic put on the global automotive supply chain. Furthermore, in 2021 and 2022, we have incurred significant freight charges due in part to the COVID-19 pandemic and challenging logistics that created delays and higher pricing on standard freight as well as to incur substantially higher expedited freight charges to mitigate delays. The Company expects continued supply chain constraints including the availability of and long lead times for components, as well as raw materials and other pricing pressures that are likely to negatively impact our cost structure and production timeline. We also have meaningful exposure to material losses and costs related to ongoing litigation for which insurance is unlikely to be available. See Note 5 – Commitments and Contingencies for additional information.</w:t>
      </w:r>
    </w:p>
    <w:p>
      <w:pPr>
        <w:spacing w:after="0" w:line="17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 xml:space="preserve">In an effort to alleviate these conditions, management continues to seek and evaluate opportunities to raise additional funds through the issuance of equity or debt securities, asset sales, through arrangements with strategic partners or through financing from government or financial institutions. </w:t>
      </w:r>
      <w:r>
        <w:rPr>
          <w:rFonts w:ascii="Arial" w:cs="Arial" w:eastAsia="Arial" w:hAnsi="Arial"/>
          <w:sz w:val="18"/>
          <w:szCs w:val="18"/>
          <w:color w:val="010101"/>
        </w:rPr>
        <w:t>We have engaged a financial</w:t>
      </w:r>
      <w:r>
        <w:rPr>
          <w:rFonts w:ascii="Arial" w:cs="Arial" w:eastAsia="Arial" w:hAnsi="Arial"/>
          <w:sz w:val="18"/>
          <w:szCs w:val="18"/>
          <w:color w:val="auto"/>
        </w:rPr>
        <w:t xml:space="preserve"> </w:t>
      </w:r>
      <w:r>
        <w:rPr>
          <w:rFonts w:ascii="Arial" w:cs="Arial" w:eastAsia="Arial" w:hAnsi="Arial"/>
          <w:sz w:val="18"/>
          <w:szCs w:val="18"/>
          <w:color w:val="010101"/>
        </w:rPr>
        <w:t>advisor to advise the Company on additional financing alternatives</w:t>
      </w:r>
      <w:r>
        <w:rPr>
          <w:rFonts w:ascii="Arial" w:cs="Arial" w:eastAsia="Arial" w:hAnsi="Arial"/>
          <w:sz w:val="18"/>
          <w:szCs w:val="18"/>
          <w:color w:val="000000"/>
        </w:rPr>
        <w:t>. No assurances can be given that any such</w:t>
      </w:r>
      <w:r>
        <w:rPr>
          <w:rFonts w:ascii="Arial" w:cs="Arial" w:eastAsia="Arial" w:hAnsi="Arial"/>
          <w:sz w:val="18"/>
          <w:szCs w:val="18"/>
          <w:color w:val="010101"/>
        </w:rPr>
        <w:t xml:space="preserve"> </w:t>
      </w:r>
      <w:r>
        <w:rPr>
          <w:rFonts w:ascii="Arial" w:cs="Arial" w:eastAsia="Arial" w:hAnsi="Arial"/>
          <w:sz w:val="18"/>
          <w:szCs w:val="18"/>
          <w:color w:val="000000"/>
        </w:rPr>
        <w:t>financing will be available on commercially reasonable terms or at all.</w:t>
      </w:r>
    </w:p>
    <w:p>
      <w:pPr>
        <w:spacing w:after="0" w:line="16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As further described in Note 7, on July 23, 2021, the Company entered into the Equity Purchase Agreement with YA II PN, LTD. (“YA”), pursuant to which YA has committed to purchase up to $400 million of its Class A common stock, at the Company’s direction from time to time, subject to the satisfaction of certain conditions (the “Equity Purchase Agreement”). During the year ended December 31, 2021, the Company issued 9.6 million shares to YA and received $49.4 million, net of equity issuance costs. During the six months ended</w:t>
      </w:r>
    </w:p>
    <w:p>
      <w:pPr>
        <w:spacing w:after="0" w:line="4"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June 30, 2022, the Company issued 6.6 million shares to YA and received $13.7 million, net of equity issuance costs. The actual amount that the Company raises under this agreement will depend on market conditions and limitations in the agreement. In particular, without stockholder approval, the amount of shares the Company can issue would be limited to up to 35.1 million shares (unless the average price of all shares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3" w:name="page14"/>
    <w:bookmarkEnd w:id="13"/>
    <w:p>
      <w:pPr>
        <w:ind w:left="60" w:right="159"/>
        <w:spacing w:after="0"/>
        <w:rPr>
          <w:sz w:val="20"/>
          <w:szCs w:val="20"/>
          <w:color w:val="auto"/>
        </w:rPr>
      </w:pPr>
      <w:r>
        <w:rPr>
          <w:rFonts w:ascii="Arial" w:cs="Arial" w:eastAsia="Arial" w:hAnsi="Arial"/>
          <w:sz w:val="18"/>
          <w:szCs w:val="18"/>
          <w:color w:val="auto"/>
        </w:rPr>
        <w:t>sold is $7.48 or higher) (“the Exchange Cap”), less the 16.2 million shares already issued, and therefore this share limitation and the current market price that would be the basis for the price of the shares of Class A common stock to be sold limit the funds the Company is able to raise to significantly less than the original $400 million commitment under the Equity Purchase Agreement. As of June 30, 2022, the Company was in compliance with the terms and conditions of the Equity Purchase Agreement and the remaining availability under the Equity Purchase Agreement was $336.2 million, however, the actual availability under the Equity Purchase Agreement is limited due to the conditions described above.</w:t>
      </w:r>
    </w:p>
    <w:p>
      <w:pPr>
        <w:spacing w:after="0" w:line="171"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On May 11, 2022, pursuant to the APA Closing, the Company sold the Lordstown facility to Foxconn for $230 million and a reimbursement payment for certain operating and expansion costs incurred by the Company from September 1, 2021 through the APA Closing (see Note 1).</w:t>
      </w:r>
    </w:p>
    <w:p>
      <w:pPr>
        <w:spacing w:after="0" w:line="155"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Foxconn made down payments of the purchase price totaling $200 million through April 15, 2022, of which $50 million and $100 million was received during the three and six months ended June 30, 2022, respectively, and the $30 million balance of the purchase price as well as a reimbursement payment of approximately $27.5 million were paid at the APA Closing. Under the terms of the APA, the reimbursement payment was an estimate and will be finalized over a post-closing review period.</w:t>
      </w:r>
    </w:p>
    <w:p>
      <w:pPr>
        <w:spacing w:after="0" w:line="16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In addition to providing the Company with additional capital, the Foxconn Transactions should provide the benefits of scaled manufacturing, more cost-effective access to certain raw materials, components and inputs, and will reduce the overhead costs associated with the Lordstown facility that were previously borne by the Company. In connection with the Foxconn Joint Venture Agreement, Foxconn will make term loans to Lordstown EV exclusively to fund our capital commitments to the Foxconn Joint Venture in an aggregate original principal amount not to exceed $45 million pursuant to Notes. As of June 30, 2022, $13.5 million was borrowed by Lordstown EV under a Note dated June 24, 2022.</w:t>
      </w:r>
    </w:p>
    <w:p>
      <w:pPr>
        <w:spacing w:after="0" w:line="171"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As we seek additional sources of financing and strategic partners, there can be no assurance that such financing would be available to us on favorable terms or at all. The Company’s ability to obtain additional financing is subject to several factors, including market and economic conditions, the significant amount of capital required, the fact that the Endurance bill of materials cost is currently, and expected to continue to be, substantially higher than the anticipated selling price of the Endurance, uncertainty surrounding regulatory approval and the performance of the vehicle, meaningful exposure to material expenses and losses related to ongoing litigation, our performance and investor sentiment with respect to the Company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the Company’s ability to continue as a going concern. </w:t>
      </w:r>
      <w:r>
        <w:rPr>
          <w:rFonts w:ascii="Arial" w:cs="Arial" w:eastAsia="Arial" w:hAnsi="Arial"/>
          <w:sz w:val="18"/>
          <w:szCs w:val="18"/>
          <w:color w:val="231F20"/>
        </w:rPr>
        <w:t>If we are</w:t>
      </w:r>
      <w:r>
        <w:rPr>
          <w:rFonts w:ascii="Arial" w:cs="Arial" w:eastAsia="Arial" w:hAnsi="Arial"/>
          <w:sz w:val="18"/>
          <w:szCs w:val="18"/>
          <w:color w:val="auto"/>
        </w:rPr>
        <w:t xml:space="preserve"> </w:t>
      </w:r>
      <w:r>
        <w:rPr>
          <w:rFonts w:ascii="Arial" w:cs="Arial" w:eastAsia="Arial" w:hAnsi="Arial"/>
          <w:sz w:val="18"/>
          <w:szCs w:val="18"/>
          <w:color w:val="231F20"/>
        </w:rPr>
        <w:t xml:space="preserve">unable to raise substantial additional capital in the near term, our operations and production plans will be scaled back or curtailed. If the funds raised are insufficient to provide a bridge to full commercial production at a profit, our operations could be severely curtailed or cease entirely </w:t>
      </w:r>
      <w:r>
        <w:rPr>
          <w:rFonts w:ascii="Arial" w:cs="Arial" w:eastAsia="Arial" w:hAnsi="Arial"/>
          <w:sz w:val="18"/>
          <w:szCs w:val="18"/>
          <w:color w:val="000000"/>
        </w:rPr>
        <w:t>and we may not realize any significant value from</w:t>
      </w:r>
      <w:r>
        <w:rPr>
          <w:rFonts w:ascii="Arial" w:cs="Arial" w:eastAsia="Arial" w:hAnsi="Arial"/>
          <w:sz w:val="18"/>
          <w:szCs w:val="18"/>
          <w:color w:val="231F20"/>
        </w:rPr>
        <w:t xml:space="preserve"> </w:t>
      </w:r>
      <w:r>
        <w:rPr>
          <w:rFonts w:ascii="Arial" w:cs="Arial" w:eastAsia="Arial" w:hAnsi="Arial"/>
          <w:sz w:val="18"/>
          <w:szCs w:val="18"/>
          <w:color w:val="000000"/>
        </w:rPr>
        <w:t>our assets.</w:t>
      </w:r>
    </w:p>
    <w:p>
      <w:pPr>
        <w:spacing w:after="0" w:line="3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12"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1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4" w:name="page15"/>
    <w:bookmarkEnd w:id="14"/>
    <w:p>
      <w:pPr>
        <w:ind w:left="60" w:right="639"/>
        <w:spacing w:after="0" w:line="271" w:lineRule="auto"/>
        <w:rPr>
          <w:sz w:val="20"/>
          <w:szCs w:val="20"/>
          <w:color w:val="auto"/>
        </w:rPr>
      </w:pPr>
      <w:r>
        <w:rPr>
          <w:rFonts w:ascii="Arial" w:cs="Arial" w:eastAsia="Arial" w:hAnsi="Arial"/>
          <w:sz w:val="18"/>
          <w:szCs w:val="18"/>
          <w:color w:val="auto"/>
        </w:rPr>
        <w:t>equivalents. The Company presents cash and cash equivalents within Cash and cash equivalents on the Balance Sheet.</w:t>
      </w:r>
    </w:p>
    <w:p>
      <w:pPr>
        <w:spacing w:after="0" w:line="154"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Company maintains its cash in bank deposit and securities accounts that exceed federally insured limits. We have not experienced significant losses in such accounts and management believes it is not exposed to material credit risk.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Inventory is stated at the lower of cost or net realizable value (“LCNRV”). Net realizable value (“NRV”) is the estimated future selling price of the inventory in the ordinary course of business. Non-cash charges to reflect the NRV of inventory on hand is recorded within Selling, General &amp; Administrative expenses in the Company’s condensed consolidated statement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Property and equipment are stated at cost less accumulated depreciation. Depreciation will be computed using the straight-line method over the estimated useful lives of the related assets. Determination of useful lives and depreciation will begin once the assets are ready for their intended use.</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Equity-Method Investments</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recognize our investments in unconsolidated entities over whose operating and financial policies we have the ability to exercise significant influence but not control, under the equity method of accounting. We initially record our investments based on our cash invested.</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12"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testing and manufacturing costs, along with expenditures for prototype manufacturing, testing, validation, certification, contract and other professional services and costs associated with operating the Lordstown facility, prior to its sale.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5" w:name="page16"/>
    <w:bookmarkEnd w:id="15"/>
    <w:p>
      <w:pPr>
        <w:ind w:left="60" w:right="659"/>
        <w:spacing w:after="0" w:line="271" w:lineRule="auto"/>
        <w:rPr>
          <w:sz w:val="20"/>
          <w:szCs w:val="20"/>
          <w:color w:val="auto"/>
        </w:rPr>
      </w:pPr>
      <w:r>
        <w:rPr>
          <w:rFonts w:ascii="Arial" w:cs="Arial" w:eastAsia="Arial" w:hAnsi="Arial"/>
          <w:sz w:val="18"/>
          <w:szCs w:val="18"/>
          <w:color w:val="auto"/>
        </w:rPr>
        <w:t>determined using the Black-Scholes option pricing model, which incorporates assumptions regarding the expected volatility, expected option life and risk-free interest rate.</w:t>
      </w:r>
    </w:p>
    <w:p>
      <w:pPr>
        <w:spacing w:after="0" w:line="154"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Company accounts for the Public Warrants (as defined below), the Private Warrants (as defined below) and the Foxconn Warrants as described in Note 3 in accordance with the guidance contained in ASC Topic 815-40-15-7D and 7F under which the Public Warrants, the Private Warrants and the Foxconn Warrants do not meet the criteria for equity treatment and must be recorded as liabilities. Accordingly, the Company classifies the the Public Warrants, the Private Warrants and the Foxconn Warrants as liabilities at their fair value and adjusts the Public Warrants, the Private Warrants and the Foxconn Warrants to fair value at each reporting period or at the time of settlement. Any change in fair value is recognized in the statement of operations. The Company accounts for the BGL Warrants as equity as these warrants qualify as share-based compensation under ASC Topic 718.</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material uncertain tax positions.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842”) to increase transparency and comparability among organizations by recognizing lease assets and lease liabilities on the balance sheet and disclosing key information about leasing arrangements. The Company adopted ASC 842 effective January 1, 2021, but there was no material impact on the condensed consolidated financial statements.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6" w:name="page17"/>
    <w:bookmarkEnd w:id="16"/>
    <w:p>
      <w:pPr>
        <w:ind w:left="60" w:right="319"/>
        <w:spacing w:after="0" w:line="247" w:lineRule="auto"/>
        <w:rPr>
          <w:sz w:val="20"/>
          <w:szCs w:val="20"/>
          <w:color w:val="auto"/>
        </w:rPr>
      </w:pPr>
      <w:r>
        <w:rPr>
          <w:rFonts w:ascii="Arial" w:cs="Arial" w:eastAsia="Arial" w:hAnsi="Arial"/>
          <w:sz w:val="18"/>
          <w:szCs w:val="18"/>
          <w:color w:val="auto"/>
        </w:rPr>
        <w:t>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74" w:lineRule="exact"/>
        <w:rPr>
          <w:sz w:val="20"/>
          <w:szCs w:val="20"/>
          <w:color w:val="auto"/>
        </w:rPr>
      </w:pPr>
    </w:p>
    <w:p>
      <w:pPr>
        <w:jc w:val="both"/>
        <w:ind w:left="60" w:right="79"/>
        <w:spacing w:after="0" w:line="242" w:lineRule="auto"/>
        <w:rPr>
          <w:sz w:val="20"/>
          <w:szCs w:val="20"/>
          <w:color w:val="auto"/>
        </w:rPr>
      </w:pPr>
      <w:r>
        <w:rPr>
          <w:rFonts w:ascii="Arial" w:cs="Arial" w:eastAsia="Arial" w:hAnsi="Arial"/>
          <w:sz w:val="18"/>
          <w:szCs w:val="18"/>
          <w:color w:val="auto"/>
        </w:rPr>
        <w:t>The Company has issued the following warrants: (i) warrants (the “Public Warrants”) to purchase shares of Class A common stock with an exercise price of $11.50 per share, (ii) warrants (the “Private Warrants”) to purchase Class A common stock with an exercise price of $11.50 per share, (iii) warrants (the “BGL Warrants”) to purchase Class A common stock with an exercise price of $10.00 per share, and (iv) the Foxconn Warrants to purchase shares of Class A common stock with an exercise price of $10.50. The BGL Warrants are classified as equity as they qualify as share-based compensation under ASC Topic 718.</w:t>
      </w:r>
    </w:p>
    <w:p>
      <w:pPr>
        <w:spacing w:after="0" w:line="17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During the six months ended June 30, 2021, approximately 6.7 million Public Warrants and 0.6 million of the Private Warrants were exercised which resulted in cash proceeds of $ 82.0 million. As of December 31, 2021 and June 30, 2022, there were 2.3 million Private Warrants, 1.6 million BGL Warrants and no Public Warrants outstanding. Additionally, as of June 30, 2022, there were also 1.7 million Foxconn Warrants outstanding. The fair value of the Foxconn Warrants was $0.3 million at issuance. The Public Warrants, the Private Warrants and the Foxconn Warrants are classified as a liability with any changes in the fair value recognized immediately in our condensed consolidated statements of operations.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net (loss) gain on changes in fair value (in thousands) related to the Public Warrants, the Private Warrants, and the Foxconn Warrants: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8"/>
        </w:trPr>
        <w:tc>
          <w:tcPr>
            <w:tcW w:w="2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154"/>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5"/>
                <w:szCs w:val="15"/>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94"/>
              <w:spacing w:after="0"/>
              <w:rPr>
                <w:sz w:val="20"/>
                <w:szCs w:val="20"/>
                <w:color w:val="auto"/>
              </w:rPr>
            </w:pPr>
            <w:r>
              <w:rPr>
                <w:rFonts w:ascii="Arial" w:cs="Arial" w:eastAsia="Arial" w:hAnsi="Arial"/>
                <w:sz w:val="14"/>
                <w:szCs w:val="14"/>
                <w:b w:val="1"/>
                <w:bCs w:val="1"/>
                <w:color w:val="auto"/>
              </w:rPr>
              <w:t>June 30, 2021</w:t>
            </w:r>
          </w:p>
        </w:tc>
      </w:tr>
      <w:tr>
        <w:trPr>
          <w:trHeight w:val="203"/>
        </w:trPr>
        <w:tc>
          <w:tcPr>
            <w:tcW w:w="2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Warrants</w:t>
            </w:r>
          </w:p>
        </w:tc>
        <w:tc>
          <w:tcPr>
            <w:tcW w:w="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(27,180)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Private Warrants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8,919</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Foxconn Warrants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4"/>
        </w:trPr>
        <w:tc>
          <w:tcPr>
            <w:tcW w:w="2680" w:type="dxa"/>
            <w:vAlign w:val="bottom"/>
          </w:tcPr>
          <w:p>
            <w:pPr>
              <w:spacing w:after="0" w:line="163" w:lineRule="exact"/>
              <w:rPr>
                <w:sz w:val="20"/>
                <w:szCs w:val="20"/>
                <w:color w:val="auto"/>
              </w:rPr>
            </w:pPr>
            <w:r>
              <w:rPr>
                <w:rFonts w:ascii="Arial" w:cs="Arial" w:eastAsia="Arial" w:hAnsi="Arial"/>
                <w:sz w:val="18"/>
                <w:szCs w:val="18"/>
                <w:color w:val="auto"/>
              </w:rPr>
              <w:t>Net gain (loss) on changes in</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39"/>
        </w:trPr>
        <w:tc>
          <w:tcPr>
            <w:tcW w:w="2680" w:type="dxa"/>
            <w:vAlign w:val="bottom"/>
          </w:tcPr>
          <w:p>
            <w:pPr>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277</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(18,261)</w:t>
            </w:r>
          </w:p>
        </w:tc>
      </w:tr>
    </w:tbl>
    <w:p>
      <w:pPr>
        <w:spacing w:after="0" w:line="180"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 The Private Warrants and the Foxconn Warrants are measured at fair value using Level 3 inputs. These instruments are not actively traded and are valued using a Monte Carlo option pricing model and Black Scholes option pricing model, respectively, that use observable and unobservable market data as inputs.</w:t>
      </w:r>
    </w:p>
    <w:p>
      <w:pPr>
        <w:spacing w:after="0" w:line="17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 simulates risk-neutral stock price paths utilizing two parameters – a drift term (based on the risk-free rate and assumed volatility) and an error term (determined using a random number and assumed volatility).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applicable warrant agreement.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67"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The Foxconn Warrants do not have any redemption features and their fair value was measured using the Black-Scholes closed-form option pricing model. Inputs to the model include remaining term, prevailing stock price, strike price, risk-free rate, and volatility.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17" w:name="page18"/>
    <w:bookmarkEnd w:id="17"/>
    <w:p>
      <w:pPr>
        <w:spacing w:after="0" w:line="3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stock price volatility rates utilized were 80% and 50% for the valuations as of June 30, 2022 and December 31, 2021, respectively. This assumption considers observed historical stock price volatility of other companies operating in the same or similar industry as the Company over a period similar to the remaining term of the Private Warrants and the Foxconn Warrants, as well as the volatility implied by the traded options of the Company. The risk-free rates utilized were 2.956% and 1.123% for the valuations as of June 30, 2022 and December 31, 2021, respectively, for the Private Warrants. The risk-free rate utilized for the valuation of the Foxconn Warrants as of June 30, 2022 was 2.905%.</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Prices with</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observable</w:t>
            </w:r>
          </w:p>
        </w:tc>
        <w:tc>
          <w:tcPr>
            <w:tcW w:w="380" w:type="dxa"/>
            <w:vAlign w:val="bottom"/>
          </w:tcPr>
          <w:p>
            <w:pPr>
              <w:spacing w:after="0"/>
              <w:rPr>
                <w:sz w:val="14"/>
                <w:szCs w:val="14"/>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inputs</w:t>
            </w:r>
          </w:p>
        </w:tc>
        <w:tc>
          <w:tcPr>
            <w:tcW w:w="16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June 30, 2022</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235,686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235,686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61"/>
        </w:trPr>
        <w:tc>
          <w:tcPr>
            <w:tcW w:w="2920" w:type="dxa"/>
            <w:vAlign w:val="bottom"/>
          </w:tcPr>
          <w:p>
            <w:pPr>
              <w:ind w:left="20"/>
              <w:spacing w:after="0"/>
              <w:rPr>
                <w:sz w:val="20"/>
                <w:szCs w:val="20"/>
                <w:color w:val="auto"/>
              </w:rPr>
            </w:pPr>
            <w:r>
              <w:rPr>
                <w:rFonts w:ascii="Arial" w:cs="Arial" w:eastAsia="Arial" w:hAnsi="Arial"/>
                <w:sz w:val="18"/>
                <w:szCs w:val="18"/>
                <w:color w:val="auto"/>
              </w:rPr>
              <w:t>Foxconn Warrants</w:t>
            </w:r>
          </w:p>
        </w:tc>
        <w:tc>
          <w:tcPr>
            <w:tcW w:w="300" w:type="dxa"/>
            <w:vAlign w:val="bottom"/>
          </w:tcPr>
          <w:p>
            <w:pPr>
              <w:spacing w:after="0"/>
              <w:rPr>
                <w:sz w:val="22"/>
                <w:szCs w:val="22"/>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323</w:t>
            </w:r>
          </w:p>
        </w:tc>
        <w:tc>
          <w:tcPr>
            <w:tcW w:w="260" w:type="dxa"/>
            <w:vAlign w:val="bottom"/>
          </w:tcPr>
          <w:p>
            <w:pPr>
              <w:spacing w:after="0"/>
              <w:rPr>
                <w:sz w:val="22"/>
                <w:szCs w:val="22"/>
                <w:color w:val="auto"/>
              </w:rPr>
            </w:pP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365"/>
        </w:trPr>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Prices with</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observable</w:t>
            </w:r>
          </w:p>
        </w:tc>
        <w:tc>
          <w:tcPr>
            <w:tcW w:w="380" w:type="dxa"/>
            <w:vAlign w:val="bottom"/>
          </w:tcPr>
          <w:p>
            <w:pPr>
              <w:spacing w:after="0"/>
              <w:rPr>
                <w:sz w:val="14"/>
                <w:szCs w:val="14"/>
                <w:color w:val="auto"/>
              </w:rPr>
            </w:pPr>
          </w:p>
        </w:tc>
        <w:tc>
          <w:tcPr>
            <w:tcW w:w="1220" w:type="dxa"/>
            <w:vAlign w:val="bottom"/>
          </w:tcPr>
          <w:p>
            <w:pPr>
              <w:jc w:val="center"/>
              <w:ind w:right="138"/>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120" w:type="dxa"/>
            <w:vAlign w:val="bottom"/>
          </w:tcPr>
          <w:p>
            <w:pPr>
              <w:jc w:val="center"/>
              <w:ind w:right="161"/>
              <w:spacing w:after="0"/>
              <w:rPr>
                <w:sz w:val="20"/>
                <w:szCs w:val="20"/>
                <w:color w:val="auto"/>
              </w:rPr>
            </w:pPr>
            <w:r>
              <w:rPr>
                <w:rFonts w:ascii="Arial" w:cs="Arial" w:eastAsia="Arial" w:hAnsi="Arial"/>
                <w:sz w:val="14"/>
                <w:szCs w:val="14"/>
                <w:b w:val="1"/>
                <w:bCs w:val="1"/>
                <w:color w:val="auto"/>
              </w:rPr>
              <w:t>inputs</w:t>
            </w:r>
          </w:p>
        </w:tc>
        <w:tc>
          <w:tcPr>
            <w:tcW w:w="16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9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244,016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8"/>
              <w:spacing w:after="0"/>
              <w:rPr>
                <w:sz w:val="20"/>
                <w:szCs w:val="20"/>
                <w:color w:val="auto"/>
              </w:rPr>
            </w:pPr>
            <w:r>
              <w:rPr>
                <w:rFonts w:ascii="Arial" w:cs="Arial" w:eastAsia="Arial" w:hAnsi="Arial"/>
                <w:sz w:val="18"/>
                <w:szCs w:val="18"/>
                <w:color w:val="auto"/>
              </w:rPr>
              <w:t>244,016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485</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r>
    </w:tbl>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Loss / (Gain) on fair</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36"/>
              <w:spacing w:after="0"/>
              <w:rPr>
                <w:sz w:val="20"/>
                <w:szCs w:val="20"/>
                <w:color w:val="auto"/>
              </w:rPr>
            </w:pPr>
            <w:r>
              <w:rPr>
                <w:rFonts w:ascii="Arial" w:cs="Arial" w:eastAsia="Arial" w:hAnsi="Arial"/>
                <w:sz w:val="14"/>
                <w:szCs w:val="14"/>
                <w:b w:val="1"/>
                <w:bCs w:val="1"/>
                <w:color w:val="auto"/>
              </w:rPr>
              <w:t>Balance at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220" w:type="dxa"/>
            <w:vAlign w:val="bottom"/>
          </w:tcPr>
          <w:p>
            <w:pPr>
              <w:spacing w:after="0"/>
              <w:rPr>
                <w:sz w:val="14"/>
                <w:szCs w:val="14"/>
                <w:color w:val="auto"/>
              </w:rPr>
            </w:pPr>
          </w:p>
        </w:tc>
        <w:tc>
          <w:tcPr>
            <w:tcW w:w="1020" w:type="dxa"/>
            <w:vAlign w:val="bottom"/>
          </w:tcPr>
          <w:p>
            <w:pPr>
              <w:jc w:val="right"/>
              <w:ind w:right="119"/>
              <w:spacing w:after="0"/>
              <w:rPr>
                <w:sz w:val="20"/>
                <w:szCs w:val="20"/>
                <w:color w:val="auto"/>
              </w:rPr>
            </w:pPr>
            <w:r>
              <w:rPr>
                <w:rFonts w:ascii="Arial" w:cs="Arial" w:eastAsia="Arial" w:hAnsi="Arial"/>
                <w:sz w:val="14"/>
                <w:szCs w:val="14"/>
                <w:b w:val="1"/>
                <w:bCs w:val="1"/>
                <w:color w:val="auto"/>
              </w:rPr>
              <w:t>Balance at</w:t>
            </w:r>
          </w:p>
        </w:tc>
      </w:tr>
      <w:tr>
        <w:trPr>
          <w:trHeight w:val="178"/>
        </w:trPr>
        <w:tc>
          <w:tcPr>
            <w:tcW w:w="24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Additions</w:t>
            </w: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Settlements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8"/>
              </w:rPr>
              <w:t>June 30, 2022</w:t>
            </w:r>
          </w:p>
        </w:tc>
      </w:tr>
      <w:tr>
        <w:trPr>
          <w:trHeight w:val="203"/>
        </w:trPr>
        <w:tc>
          <w:tcPr>
            <w:tcW w:w="2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485</w:t>
            </w:r>
          </w:p>
        </w:tc>
        <w:tc>
          <w:tcPr>
            <w:tcW w:w="1040" w:type="dxa"/>
            <w:vAlign w:val="bottom"/>
            <w:shd w:val="clear" w:color="auto" w:fill="CCEEFF"/>
          </w:tcPr>
          <w:p>
            <w:pPr>
              <w:jc w:val="right"/>
              <w:ind w:right="136"/>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60"/>
        </w:trPr>
        <w:tc>
          <w:tcPr>
            <w:tcW w:w="2420" w:type="dxa"/>
            <w:vAlign w:val="bottom"/>
          </w:tcPr>
          <w:p>
            <w:pPr>
              <w:ind w:left="20"/>
              <w:spacing w:after="0"/>
              <w:rPr>
                <w:sz w:val="20"/>
                <w:szCs w:val="20"/>
                <w:color w:val="auto"/>
              </w:rPr>
            </w:pPr>
            <w:r>
              <w:rPr>
                <w:rFonts w:ascii="Arial" w:cs="Arial" w:eastAsia="Arial" w:hAnsi="Arial"/>
                <w:sz w:val="18"/>
                <w:szCs w:val="18"/>
                <w:color w:val="auto"/>
              </w:rPr>
              <w:t>Foxconn Warrants</w:t>
            </w:r>
          </w:p>
        </w:tc>
        <w:tc>
          <w:tcPr>
            <w:tcW w:w="200" w:type="dxa"/>
            <w:vAlign w:val="bottom"/>
          </w:tcPr>
          <w:p>
            <w:pPr>
              <w:spacing w:after="0"/>
              <w:rPr>
                <w:sz w:val="22"/>
                <w:szCs w:val="22"/>
                <w:color w:val="auto"/>
              </w:rPr>
            </w:pPr>
          </w:p>
        </w:tc>
        <w:tc>
          <w:tcPr>
            <w:tcW w:w="124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323</w:t>
            </w:r>
          </w:p>
        </w:tc>
        <w:tc>
          <w:tcPr>
            <w:tcW w:w="1140" w:type="dxa"/>
            <w:vAlign w:val="bottom"/>
          </w:tcPr>
          <w:p>
            <w:pPr>
              <w:ind w:left="7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&amp; Equipment</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235"/>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Buildings</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r>
      <w:tr>
        <w:trPr>
          <w:trHeight w:val="203"/>
        </w:trPr>
        <w:tc>
          <w:tcPr>
            <w:tcW w:w="5800" w:type="dxa"/>
            <w:vAlign w:val="bottom"/>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38,608</w:t>
            </w:r>
          </w:p>
        </w:tc>
      </w:tr>
      <w:tr>
        <w:trPr>
          <w:trHeight w:val="203"/>
        </w:trPr>
        <w:tc>
          <w:tcPr>
            <w:tcW w:w="58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Vehicles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r>
      <w:tr>
        <w:trPr>
          <w:trHeight w:val="203"/>
        </w:trPr>
        <w:tc>
          <w:tcPr>
            <w:tcW w:w="58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286,241</w:t>
            </w:r>
          </w:p>
        </w:tc>
        <w:tc>
          <w:tcPr>
            <w:tcW w:w="1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r>
      <w:tr>
        <w:trPr>
          <w:trHeight w:val="196"/>
        </w:trPr>
        <w:tc>
          <w:tcPr>
            <w:tcW w:w="58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286,928</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16"/>
        </w:trPr>
        <w:tc>
          <w:tcPr>
            <w:tcW w:w="580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8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286,928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5"/>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4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2021, construction in progress included manufacturing equipment, operating equipment and other general assets, retooling and construction at the Company's facilities in Lordstown, Ohio, Farmington Hills, Michigan, and Irvine, California, along with tooling held at various supplier locations. During the quarter ended June 30, 2022, the Company sold its manufacturing facility, certain equipment, and other assets located in Lordstown, Ohio and recorded a gain of $101.7 million. We continue to own our hub motor assembly line, as well as our battery module and pack line assets, certain tooling and other excluded assets. We outsourced all of the manufacturing of the Endurance and operation of certain remaining assets to Foxconn under the Contract Manufacturing Agreement.</w:t>
      </w:r>
    </w:p>
    <w:p>
      <w:pPr>
        <w:spacing w:after="0" w:line="18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is currently preparing for commercial production of the Endurance pickup truck and continues to invest in the necessary tooling and equipment. Completed assets will be transferred to their respective asset classes and depreciation will begin when an asset is ready for its intended use, which is anticipated to be triggered by the Company achieving its defined milestones for commercial production, for the vast majority of our assets. As of June 30, 2022, commercial production has not begun and thus no depreciation was recognized for any of our assets in 2022 or 2021.</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The Company has entered into a supply agreement with Samsung to purchase lithium-ion cylindrical battery cells. The agreement provides for certain pricing and minimum quantity parameters, including our obligation to purchase such minimum amounts which total approximately $11.5 million in 2022, subject to change for increases in raw material pricing.</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is subject to various pending and threatened legal proceedings arising in the ordinary course of business. The Company records a liability for loss contingencies in the condensed consolidated interim financial statements when a loss is known or considered probable and the amount can be reasonably estimated. The Company may also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condensed consolidated results of operations, financial condition or cash flows. As of June 30, 2022, we have not established accruals or reserves as to most of our proceedings. Our provisions are based on historical experience, current information and legal advice, and they may be adjusted in the future based on new developments. Estimating probable losses requires the analysis of multiple forecasted factors that often depend on judgments and potential actions by third parties.</w:t>
      </w:r>
    </w:p>
    <w:p>
      <w:pPr>
        <w:spacing w:after="0" w:line="18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31"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 Court ordered an award of Karma’s costs and attorneys’ fees against the Company and Mr. Post in the amount of $0.1 million, which has been paid by the Company.</w:t>
      </w:r>
    </w:p>
    <w:p>
      <w:pPr>
        <w:spacing w:after="0" w:line="166"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On January 27, 2022, the District Court granted the parties’ request to vacate the scheduled case deadlines and August 2022 trial date. Fact discovery closed on July 5, 2022, and a jury trial date has been set for December 6, 2022. The parties are currently engaged in expert discovery and expect to exchange reports and complete depositions in the third quarter of 2022.</w:t>
      </w:r>
    </w:p>
    <w:p>
      <w:pPr>
        <w:spacing w:after="0" w:line="16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July 22, 2022, Karma filed a second motion for terminating sanctions based upon Mr. Post’s installation of certain software on his personal desktop and laptop computers in early 2022, which Karma alleges permanently deleted thousands of files from the computers. Karma contends that the Company is also responsible for the deletions because it failed to preserve the computers following Mr. Post’s December 2021 disclosure that the computers might contain Karma documents or information. Karma has requested that the Court enter default judgment on all claims against Mr. Post and the Company. Karma also asks that, in the event terminating sanctions are not issued, the Court order a negative adverse inference on “remaining issues,” specifically that “Defendants Lordstown Motors Corp. and Darren Post shall be presumed to have misappropriated Karma’s trade secrets and confidential information, used Karma’s trade secrets and confidential information, and deliberately and maliciously destroyed evidence of their misappropriation and use of Karma’s trade secrets and confidential information in considering all damages and maliciousness.” The Company will oppose the motion. A hearing on the motion is scheduled for August 22, 2022.</w:t>
      </w:r>
    </w:p>
    <w:p>
      <w:pPr>
        <w:spacing w:after="0" w:line="16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At this time, however, the Company cannot predict the outcome of this matter or estimate a range of possible loss. However, as of June 30, 2022, we have established an accrual of $4.0 million for this matter.</w:t>
      </w:r>
    </w:p>
    <w:p>
      <w:pPr>
        <w:spacing w:after="0" w:line="16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Holdings Corp.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 20A of the Exchange Act and Rule 10b-5 thereunder against the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ind w:left="60" w:right="239"/>
        <w:spacing w:after="0"/>
        <w:rPr>
          <w:sz w:val="20"/>
          <w:szCs w:val="20"/>
          <w:color w:val="auto"/>
        </w:rPr>
      </w:pPr>
      <w:r>
        <w:rPr>
          <w:rFonts w:ascii="Arial" w:cs="Arial" w:eastAsia="Arial" w:hAnsi="Arial"/>
          <w:sz w:val="18"/>
          <w:szCs w:val="18"/>
          <w:color w:val="auto"/>
        </w:rPr>
        <w:t>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5"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is not resolved by September 3, 2022. The court further determined to dismiss without a motion on the grounds that the claim was premature plaintiffs' claim for contribution for violations of Sections 10(b) and 21D of the Exchange Act without prejudice.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action. The proceedings are subject to uncertainties inherent in the litigation process. We cannot predict the outcome of these matters or estimate the possible loss or range of possible loss, if any.</w:t>
      </w:r>
    </w:p>
    <w:p>
      <w:pPr>
        <w:spacing w:after="0" w:line="18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We intend to vigorously defend against these actions. The proceedings are subject to uncertainties inherent in the litigation process. We cannot predict the outcome of these matters or estimate the possible loss or range of possible loss, if any.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1" w:name="page22"/>
    <w:bookmarkEnd w:id="21"/>
    <w:p>
      <w:pPr>
        <w:ind w:left="60" w:right="79"/>
        <w:spacing w:after="0" w:line="251"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(Hebert v. Hamamoto, et al. (C.A. No. 2021-1066); and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We intend to vigorously defend against the claims. The proceedings are subject to uncertainties inherent in the litigation process. We cannot predict the outcome of these matters or estimate the possible loss or range of possible loss, if any.</w:t>
      </w:r>
    </w:p>
    <w:p>
      <w:pPr>
        <w:spacing w:after="0" w:line="18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 lawsuit to compel inspection of books and records under 8 Del. C. § 220 was filed against the Company on May 31, 2022 in the Delaware Court of Chancery (Turner v. Lordstown Motors Corp. (C.A. No. 2022-0468)). The plaintiff seeks production of documents related to, among other things, vehicle pre-orders, production timeline, and stock sales by insiders. The parties are engaged in discussions to resolve or narrow this action and do not have a schedule for responding to the complaint. We intend to vigorously defend against this action to the extent it is not resolved. The proceedings are subject to uncertainties inherent in the litigation process. We cannot predict the outcome of these matters or estimate the possible loss or range of possible loss, if any.</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has also received two subpoenas from the SEC for the production of documents and information, including relating to the merger between DiamondPeak and Lordstown EV Corporation (formerly known as Lordstown Motors Corp.), a Delaware corporation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79" w:lineRule="exact"/>
        <w:rPr>
          <w:sz w:val="20"/>
          <w:szCs w:val="20"/>
          <w:color w:val="auto"/>
        </w:rPr>
      </w:pPr>
    </w:p>
    <w:p>
      <w:pPr>
        <w:ind w:left="60" w:right="179"/>
        <w:spacing w:after="0" w:line="251" w:lineRule="auto"/>
        <w:rPr>
          <w:sz w:val="20"/>
          <w:szCs w:val="20"/>
          <w:color w:val="auto"/>
        </w:rPr>
      </w:pPr>
      <w:r>
        <w:rPr>
          <w:rFonts w:ascii="Arial" w:cs="Arial" w:eastAsia="Arial" w:hAnsi="Arial"/>
          <w:sz w:val="17"/>
          <w:szCs w:val="17"/>
          <w:color w:val="231F20"/>
        </w:rPr>
        <w:t>Lordstown was notified by its primary insurer under our post-merger directors and officers insurance policy that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above,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Lordstown is analyzing the insurer’s position,</w:t>
      </w:r>
    </w:p>
    <w:p>
      <w:pPr>
        <w:spacing w:after="0" w:line="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231F20"/>
        </w:rPr>
        <w:t>and intends to pursue any available coverage under this policy and other insurance. As a result of the denial of coverage, no or limited insurance may be available to us to reimburse our expenses or cover any potential losses for these matters, which could be significant.</w:t>
      </w:r>
    </w:p>
    <w:p>
      <w:pPr>
        <w:spacing w:after="0" w:line="179"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On March 24, 2022, the Company received a letter addressed to its Board from the law firm of Purcell &amp; Lefkowitz LLP (“Purcell”) on behalf of three purported stockholders.</w:t>
      </w:r>
    </w:p>
    <w:p>
      <w:pPr>
        <w:spacing w:after="0" w:line="14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stockholder letter alleged that we would be required by Rules 14a-4(a)(3) and (b)(1) of the Exchange Act to present two separate proposals at the annual meeting of stockholders held on May 19, 2022 (the “2022</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2" w:name="page23"/>
    <w:bookmarkEnd w:id="22"/>
    <w:p>
      <w:pPr>
        <w:ind w:left="60" w:right="179"/>
        <w:spacing w:after="0"/>
        <w:rPr>
          <w:sz w:val="20"/>
          <w:szCs w:val="20"/>
          <w:color w:val="auto"/>
        </w:rPr>
      </w:pPr>
      <w:r>
        <w:rPr>
          <w:rFonts w:ascii="Arial" w:cs="Arial" w:eastAsia="Arial" w:hAnsi="Arial"/>
          <w:sz w:val="18"/>
          <w:szCs w:val="18"/>
          <w:color w:val="auto"/>
        </w:rPr>
        <w:t>Annual Meeting”) relating to the proposed amendment of our Second Amended and Restated Certificate of Incorporation, as amended (the “Charter”) to increase the number of authorized shares, such that separate votes could be cast on a proposed increase in the number of shares of Class A common stock and a proposed increase in the number of shares of preferred stock. The Company does not believe that separate proposals would be required by the Exchange Act. Irrespective of the position asserted in the stockholder letter, the Company no longer believes an increase in the shares of preferred stock is needed and did not include this aspect of the proposal in the definitive proxy statement for the 2022 Annual Meeting filed with the SEC on April 8, 2022, as supplemented on May 9, 2022 (the “2022 Proxy Statement”).</w:t>
      </w:r>
    </w:p>
    <w:p>
      <w:pPr>
        <w:spacing w:after="0" w:line="180"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The stockholder letter also addressed the approval of the Charter at the special meeting of stockholders held on October 22, 2020 (the “Special Meeting”), which included a 200 million share increase in the number of authorized shares of Class A common stock and was approved by majority of the then-outstanding shares of both series of the Company’s common stock, voting as a single class. The stockholder letter alleged that the Charter approval required a separate vote in favor by at least a majority of the outstanding shares of Class A common stock under Section 242(b)(2) of the Delaware General Corporation Law (“DGCL”), and that the 200 million shares in question are thus unauthorized. The stockholder letter requested that the Company present a proposal at the 2022 Annual Meeting seeking ratification of the number of shares of Class A common stock authorized under the Company’s current Charter.</w:t>
      </w:r>
    </w:p>
    <w:p>
      <w:pPr>
        <w:spacing w:after="0" w:line="17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Board has completed its review of the matters raised by the stockholder letter with the assistance of outside counsel not involved in the underlying transactions at issue and determined, (a) in reliance upon, among other things, advice of several law firms including a legal opinion of Delaware counsel, that the assertions regarding DGCL Section 242(b)(2) are wrong and that a separate class vote of the Class A common stock was not required to approve the amendment of the Charter at the Special Meeting to increase the shares of Class A common stock, and (b) that the remaining allegations therein are without merit. However, no assurances can be made regarding the outcome of any claims, proceedings or litigation regarding the authorization of our Class A common stock, including the claims raised by the stockholder letter. Any proceedings on these matters would be subject to uncertainties inherent in the litigation process. Claims alleging that a portion of our Class A common stock was not authorized could lead to shares of our Class A common stock being voidable and have a material adverse effect on the Company and its prospects.</w:t>
      </w:r>
    </w:p>
    <w:p>
      <w:pPr>
        <w:spacing w:after="0" w:line="18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May 20, 2022, the Company received a second letter addressed to its Board from Purcell on behalf of the same three purported stockholders regarding the vote at the 2022 Annual Meeting to approve the amendment to our Charter to increase the total number of authorized shares of Class A common stock from 300 million shares to 450 million shares (the “Charter Amendment”), as further described in the 2022 Proxy Statement. The letter asserted, among other things, that that in connection with the vote at the Annual Meeting to approve the Charter Amendment, brokers had cast discretionary votes on such proposal despite a statement in the 2022 Proxy Statement that they would not have authority to do so. The Proxy Statement erroneously indicated that brokers would not have discretionary authority to vote with respect to the proposal to approve the Charter Amendment and that if beneficial owners did not provide direction to their broker as to how to vote, a broker non-vote would result that would have the effect of a vote cast against such proposal. The Company’s Current Report on Form 8-K filed with the SEC on May 19, 2022 reported that the Charter Amendment was approved at the Annual Meeting and that the Charter was thereby amended, as the Charter Amendment had been filed with the Secretary of State of the State of Delaware.</w:t>
      </w:r>
    </w:p>
    <w:p>
      <w:pPr>
        <w:spacing w:after="0" w:line="18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Company’s Current Report on Form 8-K filed on May 23, 2022 reported that the Purcell letter had been received (and filed it as an exhibit), that the report of the votes at the Annual Meeting regarding the approval of the Charter Amendment was not considered final and that, to date, none of the shares authorized by the Charter Amendment had been issued. On May 31, 2022, after further review by the Company and its Board of the votes on the proposal to approve the Charter Amendment, due to uncertainty in counting the number of votes cast “for” by brokers exercising discretion without direction from the beneficial owner, the Board determined not to consider the Charter Amendment approved by the Company’s stockholders and we filed a Certificate of Correction with the Secretary of State of the State of Delaware, voiding the Charter Amendment and causing the number of authorized shares of Class A common stock to remain at 300 million.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3" w:name="page24"/>
    <w:bookmarkEnd w:id="23"/>
    <w:p>
      <w:pPr>
        <w:ind w:left="60" w:right="179"/>
        <w:spacing w:after="0" w:line="239" w:lineRule="auto"/>
        <w:rPr>
          <w:sz w:val="20"/>
          <w:szCs w:val="20"/>
          <w:color w:val="auto"/>
        </w:rPr>
      </w:pPr>
      <w:r>
        <w:rPr>
          <w:rFonts w:ascii="Arial" w:cs="Arial" w:eastAsia="Arial" w:hAnsi="Arial"/>
          <w:sz w:val="18"/>
          <w:szCs w:val="18"/>
          <w:color w:val="auto"/>
        </w:rPr>
        <w:t>The Company’s Form 8-K/A filed with the SEC on June 1, 2022, amending and supplementing the Forms 8-K filed by the Company on May 19, 2022, and May 23, 2022, reported that the Company had filed the Certificate of Correction and announced that the Board had called a special meeting of stockholders to be held on August 17, 2022 (“Special Meeting”), to resubmit for approval an amendment to our Charter to increase the number of authorized shares of our Common Stock from 300 million to 450 million shares (the “Certificate of Amendment”). On July 7,2022, we filed a definitive proxy statement for the Special Meeting. The Company did not issue any of the additional shares authorized by the Charter Amendment and, unless and until the Certificate of Amendment is approved by our stockholders and becomes effective, does not intend to issue or reserve for issuance any such additional shares.</w:t>
      </w:r>
    </w:p>
    <w:p>
      <w:pPr>
        <w:spacing w:after="0" w:line="210"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Except as described above, the Company is not a party to any material legal proceedings and is not aware of any pending or threatened claims. From time to time however, the Company may be subject to various legal proceedings and claims that arise in the ordinary course of its business activities.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RELATED PARTY TRANSACTIONS</w:t>
      </w:r>
    </w:p>
    <w:p>
      <w:pPr>
        <w:spacing w:after="0" w:line="21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November 7, 2019, the Company entered into a transaction with Workhorse Group Inc., for the purpose of obtaining certain intellectual property. In connection with granting this license, Workhorse Group received 10% of the outstanding Legacy Lordstown common stock and was entitled to royalties of 1% of the gross sales price of the first 200,000 vehicle sales. In November 2020, we pre-paid a royalty payment to Workhorse Group in the amount of $ 4.75 million. The upfront royalty payment represented an advance on the royalties discussed above. The upfront royalty payment was recorded as other non-current assets as of June 30, 2022 and December 31, 2021.</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12" w:lineRule="exact"/>
        <w:rPr>
          <w:sz w:val="20"/>
          <w:szCs w:val="20"/>
          <w:color w:val="auto"/>
        </w:rPr>
      </w:pPr>
    </w:p>
    <w:p>
      <w:pPr>
        <w:ind w:left="60" w:right="279"/>
        <w:spacing w:after="0" w:line="239" w:lineRule="auto"/>
        <w:rPr>
          <w:sz w:val="20"/>
          <w:szCs w:val="20"/>
          <w:color w:val="auto"/>
        </w:rPr>
      </w:pPr>
      <w:r>
        <w:rPr>
          <w:rFonts w:ascii="Arial" w:cs="Arial" w:eastAsia="Arial" w:hAnsi="Arial"/>
          <w:sz w:val="18"/>
          <w:szCs w:val="18"/>
          <w:color w:val="auto"/>
        </w:rPr>
        <w:t>As described in Note 1, the Company invested $13.5 million into the Foxconn Joint Venture, of which the Company owns 45%. The Company expects that the Foxconn Joint Venture will reimburse certain of the Company’s costs, to the extent incurred, as they relate to the development efforts undertaken by the Foxconn Joint Venture. We intend to negotiate a Management Services Agreement with the Foxconn Joint Venture in order to address the services to be provided by the Company to the Foxconn Joint Venture. The board of managers of the Foxconn Joint Venture and the Company also intend to implement a process to review and approve all material transactions between the Foxconn Joint Venture and the Company. Our employees will perform agreed-upon work on behalf of the Foxconn Joint Venture, at the direction of its board of managers, that will be reimbursed in accordance with the approved Foxconn Joint Venture budget and at a value representing our cost.</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CAPITAL STOCK AND LOSS PER SHARE</w:t>
      </w:r>
    </w:p>
    <w:p>
      <w:pPr>
        <w:spacing w:after="0" w:line="212"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231F20"/>
        </w:rPr>
        <w:t xml:space="preserve">Our Charter provides for 312 million authorized shares of capital stock, consisting of (i) 300 million shares of Class A common stock and (ii) 12 million shares of preferred stock each with a par value of $0.0001. We had 205.9 </w:t>
      </w:r>
      <w:r>
        <w:rPr>
          <w:rFonts w:ascii="Arial" w:cs="Arial" w:eastAsia="Arial" w:hAnsi="Arial"/>
          <w:sz w:val="18"/>
          <w:szCs w:val="18"/>
          <w:color w:val="000000"/>
        </w:rPr>
        <w:t>million and 196.4 million shares of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 June 30, 2022 and</w:t>
      </w:r>
      <w:r>
        <w:rPr>
          <w:rFonts w:ascii="Arial" w:cs="Arial" w:eastAsia="Arial" w:hAnsi="Arial"/>
          <w:sz w:val="18"/>
          <w:szCs w:val="18"/>
          <w:color w:val="231F20"/>
        </w:rPr>
        <w:t xml:space="preserve"> </w:t>
      </w:r>
      <w:r>
        <w:rPr>
          <w:rFonts w:ascii="Arial" w:cs="Arial" w:eastAsia="Arial" w:hAnsi="Arial"/>
          <w:sz w:val="18"/>
          <w:szCs w:val="18"/>
          <w:color w:val="000000"/>
        </w:rPr>
        <w:t>December 31, 2021, respectively.</w:t>
      </w:r>
    </w:p>
    <w:p>
      <w:pPr>
        <w:spacing w:after="0" w:line="174"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FASB ASC Topic 260, Earnings Per Share, requires the presentation of basic and diluted earnings per share (“EPS”). Basic EPS is calculated based on the weighted average number of shares outstanding during the period. Dilutive EPS is calculated to include any dilutive effect of our share equivalents. For the three months ended June 30, 2022, our share equivalent included 0.2 million options,1.6 million BGL Warrants, 2.3 million Private Warrants, and 1.7 million Foxconn Warrants outstanding. For the three months ended June 30, 2021, our share equivalent included 3.8 million options, 1.6 million BGL Warrants, and 2.3 million Private Warrants outstanding. None of the stock options or warrants were included in the calculation of diluted EPS because we recorded a net loss for the six months ended June 30, 2022 and for the three and six months ended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4" w:name="page25"/>
    <w:bookmarkEnd w:id="24"/>
    <w:p>
      <w:pPr>
        <w:ind w:left="60" w:right="59"/>
        <w:spacing w:after="0" w:line="271" w:lineRule="auto"/>
        <w:rPr>
          <w:sz w:val="20"/>
          <w:szCs w:val="20"/>
          <w:color w:val="auto"/>
        </w:rPr>
      </w:pPr>
      <w:r>
        <w:rPr>
          <w:rFonts w:ascii="Arial" w:cs="Arial" w:eastAsia="Arial" w:hAnsi="Arial"/>
          <w:sz w:val="18"/>
          <w:szCs w:val="18"/>
          <w:color w:val="auto"/>
        </w:rPr>
        <w:t>June 30, 2021 as including these instruments would be anti-dilutive. For the three months ended June 30, 2022, we included 0.2 million shares related to the options in the calculation of diluted EPS.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number of shares outstanding for basic and diluted loss per share is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1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2022</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2022</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June 30, 2021</w:t>
            </w:r>
          </w:p>
        </w:tc>
      </w:tr>
      <w:tr>
        <w:trPr>
          <w:trHeight w:val="164"/>
        </w:trPr>
        <w:tc>
          <w:tcPr>
            <w:tcW w:w="314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color w:val="auto"/>
              </w:rPr>
              <w:t>Basic weighted average shares</w:t>
            </w: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r>
      <w:tr>
        <w:trPr>
          <w:trHeight w:val="221"/>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200,821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176,585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198,674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175,595</w:t>
            </w:r>
          </w:p>
        </w:tc>
      </w:tr>
      <w:tr>
        <w:trPr>
          <w:trHeight w:val="184"/>
        </w:trPr>
        <w:tc>
          <w:tcPr>
            <w:tcW w:w="3140" w:type="dxa"/>
            <w:vAlign w:val="bottom"/>
          </w:tcPr>
          <w:p>
            <w:pPr>
              <w:ind w:left="20"/>
              <w:spacing w:after="0" w:line="183" w:lineRule="exact"/>
              <w:rPr>
                <w:sz w:val="20"/>
                <w:szCs w:val="20"/>
                <w:color w:val="auto"/>
              </w:rPr>
            </w:pPr>
            <w:r>
              <w:rPr>
                <w:rFonts w:ascii="Arial" w:cs="Arial" w:eastAsia="Arial" w:hAnsi="Arial"/>
                <w:sz w:val="18"/>
                <w:szCs w:val="18"/>
                <w:color w:val="auto"/>
              </w:rPr>
              <w:t>Diluted weighted average shares</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9"/>
        </w:trPr>
        <w:tc>
          <w:tcPr>
            <w:tcW w:w="3140" w:type="dxa"/>
            <w:vAlign w:val="bottom"/>
          </w:tcPr>
          <w:p>
            <w:pPr>
              <w:ind w:left="20"/>
              <w:spacing w:after="0"/>
              <w:rPr>
                <w:sz w:val="20"/>
                <w:szCs w:val="20"/>
                <w:color w:val="auto"/>
              </w:rPr>
            </w:pPr>
            <w:r>
              <w:rPr>
                <w:rFonts w:ascii="Arial" w:cs="Arial" w:eastAsia="Arial" w:hAnsi="Arial"/>
                <w:sz w:val="18"/>
                <w:szCs w:val="18"/>
                <w:color w:val="auto"/>
              </w:rPr>
              <w:t>outstanding</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201,015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176,585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198,674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rPr>
              <w:t>175,595</w:t>
            </w:r>
          </w:p>
        </w:tc>
      </w:tr>
    </w:tbl>
    <w:p>
      <w:pPr>
        <w:spacing w:after="0" w:line="38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n July 23, 2021, the Company entered into the Equity Purchase Agreement with YA, pursuant to which YA has</w:t>
      </w:r>
      <w:r>
        <w:rPr>
          <w:rFonts w:ascii="Arial" w:cs="Arial" w:eastAsia="Arial" w:hAnsi="Arial"/>
          <w:sz w:val="18"/>
          <w:szCs w:val="18"/>
          <w:color w:val="auto"/>
        </w:rPr>
        <w:t xml:space="preserve"> </w:t>
      </w:r>
      <w:r>
        <w:rPr>
          <w:rFonts w:ascii="Arial" w:cs="Arial" w:eastAsia="Arial" w:hAnsi="Arial"/>
          <w:sz w:val="18"/>
          <w:szCs w:val="18"/>
          <w:color w:val="231F20"/>
        </w:rPr>
        <w:t xml:space="preserve">committed to purchase up to $400 million of our Class A common stock, at our direction from time to time, subject to the satisfaction of certain conditions. </w:t>
      </w:r>
      <w:r>
        <w:rPr>
          <w:rFonts w:ascii="Arial" w:cs="Arial" w:eastAsia="Arial" w:hAnsi="Arial"/>
          <w:sz w:val="18"/>
          <w:szCs w:val="18"/>
          <w:color w:val="000000"/>
        </w:rPr>
        <w:t>Such sales of Class A common stock, are subject to certain</w:t>
      </w:r>
      <w:r>
        <w:rPr>
          <w:rFonts w:ascii="Arial" w:cs="Arial" w:eastAsia="Arial" w:hAnsi="Arial"/>
          <w:sz w:val="18"/>
          <w:szCs w:val="18"/>
          <w:color w:val="231F20"/>
        </w:rPr>
        <w:t xml:space="preserve"> </w:t>
      </w:r>
      <w:r>
        <w:rPr>
          <w:rFonts w:ascii="Arial" w:cs="Arial" w:eastAsia="Arial" w:hAnsi="Arial"/>
          <w:sz w:val="18"/>
          <w:szCs w:val="18"/>
          <w:color w:val="000000"/>
        </w:rPr>
        <w:t>limitations, and may occur from time to time at our sole discretion, over the approximately 36-month period commencing on the date of the Equity Purchase Agreement, provided that a registration statement covering the resale by YA of the shares of Class A common stock purchased from us is declared effective by the SEC and the other conditions set forth in the Equity Purchase Agreement are satisfied. We filed the registration statement with the SEC on July 30, 2021, and it was declared effective on August 11, 2021.</w:t>
      </w:r>
    </w:p>
    <w:p>
      <w:pPr>
        <w:spacing w:after="0" w:line="180"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Under applicable Nasdaq rules and the Equity Purchase Agreement, we will not sell to YA shares of our Class A common stock in excess of 35.1 million shares, or the Exchange Cap, which is 19.9% of the shares of Class A common stock outstanding immediately prior to the execution of the Equity Purchase Agreement, unless (i) we obtain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equals or exceeds $7.48 per share (which represents the lower of (i) the Nasdaq Official Closing Price (as reflected on Nasdaq.com) immediately preceding the signing of the Equity Purchase Agreement; or (ii) the average Nasdaq Official Closing Price of the Class A common stock (as reflected on Nasdaq.com) for the five trading days immediately preceding the signing of the Equity Purchase Agreement). At current market prices of our shares of Class A common stock, without stockholder approval, the Exchange Cap would limit the amount of funds we are able to raise to significantly less than the $400 million commitment under the Equity Purchase Agreement.</w:t>
      </w:r>
    </w:p>
    <w:p>
      <w:pPr>
        <w:spacing w:after="0" w:line="173"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We may direct YA to purchase amounts of our Class A common stock under the Equity Purchase Agreement that we specify from time to time in a written notice (an “Advance Notice”) delivered to YA on any trading day. The maximum amount that we may specify in an Advance Notice without YA’s consent is equal to the lesser of:</w:t>
      </w:r>
    </w:p>
    <w:p>
      <w:pPr>
        <w:ind w:left="260" w:hanging="210"/>
        <w:spacing w:after="0" w:line="237"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amount equal to thirty percent (30%) of the Daily Value Traded of the Class A common stock on the</w:t>
      </w:r>
    </w:p>
    <w:p>
      <w:pPr>
        <w:ind w:left="60" w:right="139"/>
        <w:spacing w:after="0" w:line="237" w:lineRule="auto"/>
        <w:rPr>
          <w:rFonts w:ascii="Arial" w:cs="Arial" w:eastAsia="Arial" w:hAnsi="Arial"/>
          <w:sz w:val="18"/>
          <w:szCs w:val="18"/>
          <w:color w:val="auto"/>
        </w:rPr>
      </w:pPr>
      <w:r>
        <w:rPr>
          <w:rFonts w:ascii="Arial" w:cs="Arial" w:eastAsia="Arial" w:hAnsi="Arial"/>
          <w:sz w:val="18"/>
          <w:szCs w:val="18"/>
          <w:color w:val="auto"/>
        </w:rPr>
        <w:t>trading day immediately preceding an Advance Notice, or (ii) $30.0 million. For these purposes, “Daily Value Traded” is the product obtained by multiplying the daily trading volume of our Class A common stock by the volume weighted average price for that trading day. Subject to the satisfaction or waiver of the conditions under the Equity Purchase Agreement, we may deliver Advance Notices from time to time, provided that we have delivered all shares relating to all prior Advance Notices, and the purchase price of the shares of Class A common stock will be equal to 97% of the simple average of the daily volume weighted average prices for the three trading days following the Advance Notice as set forth in the Equity Purchase Agreement.</w:t>
      </w:r>
    </w:p>
    <w:p>
      <w:pPr>
        <w:spacing w:after="0" w:line="18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color w:val="231F20"/>
        </w:rPr>
        <w:t>During the year ended December 31, 2021, inclusive of the 0.4 million Commitment Shares, we</w:t>
      </w:r>
    </w:p>
    <w:p>
      <w:pPr>
        <w:spacing w:after="0" w:line="1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231F20"/>
        </w:rPr>
        <w:t>issued 9.6 million shares to YA and received $49.4 million cash, net of equity issuance costs. During the six months ended June 30, 2022, we issued 6.6 million shares to YA and received $13.7 million cash, net of equity issuance costs.</w:t>
      </w:r>
    </w:p>
    <w:p>
      <w:pPr>
        <w:spacing w:after="0" w:line="179"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As of June 30, 2022, we were in compliance with the terms and conditions of the Equity Purchase Agreement and the remaining availability under the Equity Purchase Agreement was $336.2 million which is subject to certain limitations as described above. At the current market price of the Class A common stock, the actual availability under the Equity Purchase Agreement is substantially lower.</w:t>
      </w:r>
    </w:p>
    <w:p>
      <w:pPr>
        <w:spacing w:after="0" w:line="255" w:lineRule="exact"/>
        <w:rPr>
          <w:sz w:val="20"/>
          <w:szCs w:val="20"/>
          <w:color w:val="auto"/>
        </w:rPr>
      </w:pPr>
    </w:p>
    <w:p>
      <w:pPr>
        <w:ind w:left="60" w:right="27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above and Item 1A. Risk Factors in our Form 10-K, prior Quarterly Reports on Form 10-Q and below for a discussion of these risks and uncertainties, including without limitation, with respect to our estimated production timeline, need for additional financing and the risks related to realizing the benefits of our recent transactions with Foxconn.</w:t>
      </w:r>
    </w:p>
    <w:p>
      <w:pPr>
        <w:spacing w:after="0" w:line="180"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Our mission is to accelerate electric vehicle adoption and to be a catalyst in the transition of commercial fleets to all-electric vehicles for a more sustainable future. We are an EV innovator focused on developing high-quality light-duty work vehicles.</w:t>
      </w:r>
    </w:p>
    <w:p>
      <w:pPr>
        <w:spacing w:after="0" w:line="16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During the first half of 2022, we built PPVs for testing, validation, certification, regulatory approvals and to demonstrate the capabilities of the Endurance to potential customers. Subject to raising sufficient capital, satisfactory completion of testing and receipt of regulatory approvals, we expect commercial production and sales of the Endurance to begin later in 2022.</w:t>
      </w:r>
    </w:p>
    <w:p>
      <w:pPr>
        <w:spacing w:after="0" w:line="1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Our current bill of materials cost for the Endurance is well above our anticipated selling price. As a result, we will incur significant losses with each vehicle we sell. While we expect to achieve cost improvements over time, we do not anticipate reaching a positive gross margin for the foreseeable future. The primary factor driving the high material costs is our use of components produced from soft tools that are intended for very low volumes. We are also seeking strategic partners, including other automakers, to provide additional capital/or and other support to enable us to scale the Endurance program and to develop new vehicle programs through the Foxconn Joint Venture. If we raise sufficient capital, we would have the opportunity to allocate funds to investments in hard tools that are designed for long term use and higher production volumes. We have identified significant piece price savings from these investments that we would seek to realize over time. Such hard tool investments and piece price reductions may not be sufficient to achieve profitability, and we expect to continue to evaluate the need and opportunity for design enhancements that may result in further reductions in the bill of materials cost. However, no assurances can be made regarding our ability to successfully identify and implement actions that will lower the Endurance bill of materials cost, including that we will have sufficient capital to make these investments or our suppliers will be willing or able to manufacture the tools. Until such time as we have sufficient capital and we are able to lower the bill of materials cost, we expect to limit or curtail our production of the Endurance in order to minimize our losses, which we anticipate to be through 2023 or potentially longer.</w:t>
      </w:r>
    </w:p>
    <w:p>
      <w:pPr>
        <w:spacing w:after="0" w:line="184"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6" w:name="page27"/>
    <w:bookmarkEnd w:id="26"/>
    <w:p>
      <w:pPr>
        <w:ind w:left="60" w:right="79"/>
        <w:spacing w:after="0"/>
        <w:rPr>
          <w:sz w:val="20"/>
          <w:szCs w:val="20"/>
          <w:color w:val="auto"/>
        </w:rPr>
      </w:pPr>
      <w:r>
        <w:rPr>
          <w:rFonts w:ascii="Arial" w:cs="Arial" w:eastAsia="Arial" w:hAnsi="Arial"/>
          <w:sz w:val="18"/>
          <w:szCs w:val="18"/>
          <w:color w:val="auto"/>
        </w:rPr>
        <w:t>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this strategy, we expect that we will not be required to make significant investments in a large direct sales force or third-party dealership network, thereby avoiding substantial fixed costs. Our expected limited initial production levels may make it more difficult to get support from commercial fleets or fleet management companies in the marketing, sale and distribution of the Endurance.</w:t>
      </w:r>
    </w:p>
    <w:p>
      <w:pPr>
        <w:spacing w:after="0" w:line="180" w:lineRule="exact"/>
        <w:rPr>
          <w:sz w:val="20"/>
          <w:szCs w:val="20"/>
          <w:color w:val="auto"/>
        </w:rPr>
      </w:pPr>
    </w:p>
    <w:p>
      <w:pPr>
        <w:ind w:left="60" w:right="99"/>
        <w:spacing w:after="0" w:line="248" w:lineRule="auto"/>
        <w:rPr>
          <w:sz w:val="20"/>
          <w:szCs w:val="20"/>
          <w:color w:val="auto"/>
        </w:rPr>
      </w:pPr>
      <w:r>
        <w:rPr>
          <w:rFonts w:ascii="Arial" w:cs="Arial" w:eastAsia="Arial" w:hAnsi="Arial"/>
          <w:sz w:val="18"/>
          <w:szCs w:val="18"/>
          <w:color w:val="auto"/>
        </w:rPr>
        <w:t xml:space="preserve">We intend to leverage our advanced technologies and highly talented team to develop additional all-electric vehicles targeted for the commercial market. We are currently working with Foxconn to identify the first vehicle program to be developed through the Foxconn Joint Venture, which will be funded with a $100 million capital commitment from Foxconn as described in Note 1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Organization and Description of Business and Basis of Presentation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w:t>
      </w:r>
      <w:r>
        <w:rPr>
          <w:rFonts w:ascii="Arial" w:cs="Arial" w:eastAsia="Arial" w:hAnsi="Arial"/>
          <w:sz w:val="18"/>
          <w:szCs w:val="18"/>
          <w:i w:val="1"/>
          <w:iCs w:val="1"/>
          <w:color w:val="auto"/>
        </w:rPr>
        <w:t>Lordstown Description of Business</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w:t>
      </w:r>
      <w:r>
        <w:rPr>
          <w:rFonts w:ascii="Arial" w:cs="Arial" w:eastAsia="Arial" w:hAnsi="Arial"/>
          <w:sz w:val="18"/>
          <w:szCs w:val="18"/>
          <w:i w:val="1"/>
          <w:iCs w:val="1"/>
          <w:color w:val="auto"/>
        </w:rPr>
        <w:t>Foxconn Joint Venture Agreement</w:t>
      </w:r>
      <w:r>
        <w:rPr>
          <w:rFonts w:ascii="Arial" w:cs="Arial" w:eastAsia="Arial" w:hAnsi="Arial"/>
          <w:sz w:val="18"/>
          <w:szCs w:val="18"/>
          <w:color w:val="auto"/>
        </w:rPr>
        <w:t>. Any such program will require substantially more capital than the initial funding from Foxconn.</w:t>
      </w:r>
    </w:p>
    <w:p>
      <w:pPr>
        <w:spacing w:after="0" w:line="17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See Liquidity and Capital Resources and Risk Factors under Part I - Item 1A. of our Form 10-K, prior Forms 10-Q and below for further discussion of the risks associated with the capital required to execute our business plan, implementation of the Foxconn Transactions and our production timeline.</w:t>
      </w:r>
    </w:p>
    <w:p>
      <w:pPr>
        <w:spacing w:after="0" w:line="169"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APA Closing with Foxconn on May 11, 2022 described in Note 1 resulted in more than $257 million in funding for the Company, of which $200 million was received in the form of down payments prior to the APA Closing, in addition to the $50 millon purchase of our Class A common stock in October 2021. The Foxconn Transactions represent a shift in our business strategy from a fully vertically integrated designer, developer and manufacturer of EVs into a less capital-intensive business focused on developing, engineering, testing and industrializing vehicles in partnership with Foxconn. See Note 1 for additional detail.</w:t>
      </w:r>
    </w:p>
    <w:p>
      <w:pPr>
        <w:spacing w:after="0" w:line="17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sale of the Lordstown facility allowed us to meaningfully reduce our operating complexity and fixed cost structure by transferring to Foxconn the current and future manufacturing employees along with nearly all of the fixed and variable overhead costs, such as maintenance, utilities, insurance and more. The Foxconn Transactions should also provide more cost-effective access to certain raw materials, components and other inputs over time. In addition, we believe we would realize the benefits of scaled manufacturing sooner, as Foxconn contracts with other OEMs to produce their vehicles in the Lordstown facility.</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believe that outsourcing our manufacturing to a highly qualified partner will enable us to leverage Foxconn’s technology, supply chain network and expertise to accelerate the launch of current and future vehicle programs. The Foxconn Joint Venture Agreement will also allow us to leverage our EV product development and engineering capabilities across a broader platform. However, no assurances can be given that we will be able to realize the anticipated benefits of the Foxconn Transactions or as to the timing of such benefits. See Note 1 and Risk Factors under Part I - Item 1A. of our Form 10-K, prior Forms 10-Q and below for further discussion of the risks associated with the anticipated benefits of the Foxconn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b w:val="1"/>
          <w:bCs w:val="1"/>
          <w:color w:val="auto"/>
        </w:rPr>
        <w:t>Results of Operations for the three months ended June 30, 2022 and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7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4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r>
      <w:tr>
        <w:trPr>
          <w:trHeight w:val="216"/>
        </w:trPr>
        <w:tc>
          <w:tcPr>
            <w:tcW w:w="4780" w:type="dxa"/>
            <w:vAlign w:val="bottom"/>
          </w:tcPr>
          <w:p>
            <w:pPr>
              <w:ind w:left="100"/>
              <w:spacing w:after="0" w:line="216"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5"/>
                <w:szCs w:val="25"/>
                <w:color w:val="auto"/>
                <w:vertAlign w:val="superscript"/>
              </w:rPr>
              <w:t>1</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76,544</w:t>
            </w:r>
          </w:p>
        </w:tc>
      </w:tr>
      <w:tr>
        <w:trPr>
          <w:trHeight w:val="203"/>
        </w:trPr>
        <w:tc>
          <w:tcPr>
            <w:tcW w:w="47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Gain on sale</w:t>
            </w:r>
          </w:p>
        </w:tc>
        <w:tc>
          <w:tcPr>
            <w:tcW w:w="1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(101,736)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4780" w:type="dxa"/>
            <w:vAlign w:val="bottom"/>
            <w:tcBorders>
              <w:bottom w:val="single" w:sz="8" w:color="CCEEFF"/>
            </w:tcBorders>
          </w:tcPr>
          <w:p>
            <w:pPr>
              <w:ind w:left="100"/>
              <w:spacing w:after="0" w:line="196" w:lineRule="exact"/>
              <w:rPr>
                <w:sz w:val="20"/>
                <w:szCs w:val="20"/>
                <w:color w:val="auto"/>
              </w:rPr>
            </w:pPr>
            <w:r>
              <w:rPr>
                <w:rFonts w:ascii="Arial" w:cs="Arial" w:eastAsia="Arial" w:hAnsi="Arial"/>
                <w:sz w:val="18"/>
                <w:szCs w:val="18"/>
                <w:color w:val="auto"/>
              </w:rPr>
              <w:t>Total operating (income) expenses</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(61,285)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110,337</w:t>
            </w:r>
          </w:p>
        </w:tc>
      </w:tr>
      <w:tr>
        <w:trPr>
          <w:trHeight w:val="196"/>
        </w:trPr>
        <w:tc>
          <w:tcPr>
            <w:tcW w:w="47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(Loss) from operations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(110,337)</w:t>
            </w:r>
          </w:p>
        </w:tc>
      </w:tr>
      <w:tr>
        <w:trPr>
          <w:trHeight w:val="203"/>
        </w:trPr>
        <w:tc>
          <w:tcPr>
            <w:tcW w:w="4780" w:type="dxa"/>
            <w:vAlign w:val="bottom"/>
          </w:tcPr>
          <w:p>
            <w:pPr>
              <w:ind w:left="100"/>
              <w:spacing w:after="0" w:line="202" w:lineRule="exact"/>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1,877</w:t>
            </w:r>
          </w:p>
        </w:tc>
      </w:tr>
      <w:tr>
        <w:trPr>
          <w:trHeight w:val="203"/>
        </w:trPr>
        <w:tc>
          <w:tcPr>
            <w:tcW w:w="4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196"/>
        </w:trPr>
        <w:tc>
          <w:tcPr>
            <w:tcW w:w="478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Income (Loss) before income taxes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(108,200)</w:t>
            </w:r>
          </w:p>
        </w:tc>
      </w:tr>
      <w:tr>
        <w:trPr>
          <w:trHeight w:val="203"/>
        </w:trPr>
        <w:tc>
          <w:tcPr>
            <w:tcW w:w="47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47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Net income (loss)</w:t>
            </w: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63,659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(108,200)</w:t>
            </w:r>
          </w:p>
        </w:tc>
      </w:tr>
      <w:tr>
        <w:trPr>
          <w:trHeight w:val="20"/>
        </w:trPr>
        <w:tc>
          <w:tcPr>
            <w:tcW w:w="4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479" w:hanging="10"/>
        <w:spacing w:after="0" w:line="204" w:lineRule="auto"/>
        <w:tabs>
          <w:tab w:leader="none" w:pos="708"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Research and development expenses for the three ended June 30, 2022 are net of $18.4 million in operating expense reimbursements under the APA.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Selling, general and administration expenses of $29.9 million during the three months ended June 30, 2022 consisted primarily of $12.2 million of personnel and professional fees, $ 9.0 million of legal and insurance costs, and a $6.5 million charge to reflect the NRV of inventory as described in Note 2. Total selling, general and administrative expenses decreased $3.9 million during the three months ended June 30, 2022 compared to three months ended June 30, 2021 primarily due to decreases of $8.5 million and $4.8 million in legal and professional fees, respectively, offset by the NRV charge and increases in personnel and insurance costs of $1.9 million and $1.3 million, respectively. We anticipate legal costs will remain substantial in light of our ongoing litigation and the SEC investigation.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Research and development expenses were $10.5 million during the three months ended June 30, 2022, $18.4 million which was attributable to the reimbursement of certain operating costs incurred by the Company between September 1, 2021 and the APA Closing as described in Note 1. Until we initiate commercial production, the costs associated with operating the Lordstown facility are included in Research and Development as they relate to the design and construction of beta and pre-production vehicles, along with manufacturing readiness.</w:t>
      </w:r>
    </w:p>
    <w:p>
      <w:pPr>
        <w:spacing w:after="0" w:line="17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During the second quarter of 2022, we incurred $10.7 million in costs associated with the Lordstown facility. Approximately $8.6 million of those costs would have transferred to Foxconn had the transaction closed prior to the start of the second quarter, rather than May 11, 2022. We will continue to incur certain freight, certain engineering and Endurance specific manufacturing design costs and insurance related to Company assets located at the Lordstown facility. The costs we incurred associated with the Lordstown facility during the second quarter of 2022 were $4.6 million in personnel costs, $ 2.1 million in freight, $1.2 million in utilities and $2.8 million of other facility and manufacturing costs. There will be a significant decrease in costs associated with the Lordstown facility in the third quarter of 2022 compared to the first and second quarters of 2022, including personnel and general operating and overhead costs now that the Foxconn Transactions have been completed as described in Note 1. However, once we commence commercial sales of the Endurance, we will</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8" w:name="page29"/>
    <w:bookmarkEnd w:id="28"/>
    <w:p>
      <w:pPr>
        <w:jc w:val="both"/>
        <w:ind w:left="60" w:right="339"/>
        <w:spacing w:after="0" w:line="244" w:lineRule="auto"/>
        <w:rPr>
          <w:sz w:val="20"/>
          <w:szCs w:val="20"/>
          <w:color w:val="auto"/>
        </w:rPr>
      </w:pPr>
      <w:r>
        <w:rPr>
          <w:rFonts w:ascii="Arial" w:cs="Arial" w:eastAsia="Arial" w:hAnsi="Arial"/>
          <w:sz w:val="18"/>
          <w:szCs w:val="18"/>
          <w:color w:val="auto"/>
        </w:rPr>
        <w:t>begin to report cost of goods sold that will represent the direct materials costs, the per vehicle manufacturing fee charged by Foxconn, delivery costs, warranty costs and accruals, and other costs associated with selling vehicles, that together will be substantially more than our anticipated selling price. See Part I - Item 1A. Risk Factors in our Form 10-K and Forms 10-Q for further discussion of the risks related to the commencement of commercial sales</w:t>
      </w:r>
    </w:p>
    <w:p>
      <w:pPr>
        <w:spacing w:after="0" w:line="176"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Also included in Research and Development costs are the prototype components used for part, module or system design testing and validation, as well as full production of beta and pre-production vehicles. In the second quarter of 2022, our prototype component costs totaled $1.5 million, a $ 20.5 million decrease from the second quarter of 2021. The substantial majority of the 2022 costs represented parts used in the production of PPVs. We expect prototype component costs to continue to decrease in subsequent quarters as we prepare for the commercial launch of the Endurance.</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All other research and development expenses of $16.7 million decreased $19.8 million during the three months ended June 30, 2022 compared to 2021 primarily due to a $17.3 million decrease in outside engineering services as Endurance development costs decline as we approach commercial production. Costs for engineering personnel totaled $7.7 million in the current period, a decrease of $0.3 million. As we approach commercial production and deliveries, the costs associated with engineering, testing, certification and validation are expected to increase compared to the expenses incurred in the second quarter of 2022, and decline thereafter.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 on Sale</w:t>
      </w:r>
    </w:p>
    <w:p>
      <w:pPr>
        <w:spacing w:after="0" w:line="210" w:lineRule="exact"/>
        <w:rPr>
          <w:sz w:val="20"/>
          <w:szCs w:val="20"/>
          <w:color w:val="auto"/>
        </w:rPr>
      </w:pPr>
    </w:p>
    <w:p>
      <w:pPr>
        <w:ind w:left="60" w:right="899"/>
        <w:spacing w:after="0" w:line="301" w:lineRule="auto"/>
        <w:rPr>
          <w:sz w:val="20"/>
          <w:szCs w:val="20"/>
          <w:color w:val="auto"/>
        </w:rPr>
      </w:pPr>
      <w:r>
        <w:rPr>
          <w:rFonts w:ascii="Arial" w:cs="Arial" w:eastAsia="Arial" w:hAnsi="Arial"/>
          <w:sz w:val="17"/>
          <w:szCs w:val="17"/>
          <w:color w:val="auto"/>
        </w:rPr>
        <w:t>Gain on sale totaled $101.7 million during the three months ended June 30, 2022 which was primarily attributable to the gain on the sale of the Lordstown facility sold to Foxconn as described in Note 1.</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six months ended June 30, 2022 and 2021</w:t>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4"/>
                <w:szCs w:val="14"/>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5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48,187</w:t>
            </w:r>
          </w:p>
        </w:tc>
      </w:tr>
      <w:tr>
        <w:trPr>
          <w:trHeight w:val="216"/>
        </w:trPr>
        <w:tc>
          <w:tcPr>
            <w:tcW w:w="5900" w:type="dxa"/>
            <w:vAlign w:val="bottom"/>
          </w:tcPr>
          <w:p>
            <w:pPr>
              <w:ind w:left="120"/>
              <w:spacing w:after="0" w:line="216" w:lineRule="exact"/>
              <w:rPr>
                <w:sz w:val="20"/>
                <w:szCs w:val="20"/>
                <w:color w:val="auto"/>
              </w:rPr>
            </w:pPr>
            <w:r>
              <w:rPr>
                <w:rFonts w:ascii="Arial" w:cs="Arial" w:eastAsia="Arial" w:hAnsi="Arial"/>
                <w:sz w:val="17"/>
                <w:szCs w:val="17"/>
                <w:color w:val="auto"/>
              </w:rPr>
              <w:t xml:space="preserve">Research and development expenses </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72,374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168,355</w:t>
            </w: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(101,736)</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59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26,598</w:t>
            </w: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216,543</w:t>
            </w:r>
          </w:p>
        </w:tc>
      </w:tr>
      <w:tr>
        <w:trPr>
          <w:trHeight w:val="196"/>
        </w:trPr>
        <w:tc>
          <w:tcPr>
            <w:tcW w:w="59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(26,598)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(216,543)</w:t>
            </w: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(17,255)</w:t>
            </w:r>
          </w:p>
        </w:tc>
      </w:tr>
      <w:tr>
        <w:trPr>
          <w:trHeight w:val="216"/>
        </w:trPr>
        <w:tc>
          <w:tcPr>
            <w:tcW w:w="5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r>
      <w:tr>
        <w:trPr>
          <w:trHeight w:val="196"/>
        </w:trPr>
        <w:tc>
          <w:tcPr>
            <w:tcW w:w="59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(233,411)</w:t>
            </w:r>
          </w:p>
        </w:tc>
      </w:tr>
      <w:tr>
        <w:trPr>
          <w:trHeight w:val="216"/>
        </w:trPr>
        <w:tc>
          <w:tcPr>
            <w:tcW w:w="590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5900" w:type="dxa"/>
            <w:vAlign w:val="bottom"/>
            <w:tcBorders>
              <w:top w:val="single" w:sz="8" w:color="CCEEFF"/>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(25,974)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(233,411)</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right="219" w:hanging="10"/>
        <w:spacing w:after="0" w:line="204" w:lineRule="auto"/>
        <w:tabs>
          <w:tab w:leader="none" w:pos="708"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Research and development expenses for the six months ended June 30, 2022 are net of $18.4 million in operating expense reimbursements under the APA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administration expenses of $56.0 million during the six months ended June 30, 2022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consisted primarily of $18.4 million in legal and insurance costs, $24.6 million in personnel and professional</w:t>
      </w:r>
    </w:p>
    <w:p>
      <w:pPr>
        <w:ind w:left="60"/>
        <w:spacing w:after="0" w:line="234" w:lineRule="auto"/>
        <w:rPr>
          <w:sz w:val="20"/>
          <w:szCs w:val="20"/>
          <w:color w:val="auto"/>
        </w:rPr>
      </w:pPr>
      <w:r>
        <w:rPr>
          <w:rFonts w:ascii="Arial" w:cs="Arial" w:eastAsia="Arial" w:hAnsi="Arial"/>
          <w:sz w:val="18"/>
          <w:szCs w:val="18"/>
          <w:color w:val="auto"/>
        </w:rPr>
        <w:t>fees, and a $9.4 million charge to reflect the NRV of inventory. Total selling, general and administrative</w:t>
      </w:r>
    </w:p>
    <w:p>
      <w:pPr>
        <w:ind w:left="60"/>
        <w:spacing w:after="0" w:line="235" w:lineRule="auto"/>
        <w:rPr>
          <w:sz w:val="20"/>
          <w:szCs w:val="20"/>
          <w:color w:val="auto"/>
        </w:rPr>
      </w:pPr>
      <w:r>
        <w:rPr>
          <w:rFonts w:ascii="Arial" w:cs="Arial" w:eastAsia="Arial" w:hAnsi="Arial"/>
          <w:sz w:val="18"/>
          <w:szCs w:val="18"/>
          <w:color w:val="auto"/>
        </w:rPr>
        <w:t>expenses increased $7.8 million during the six months ended June 30, 2022 compared to six ended</w:t>
      </w:r>
    </w:p>
    <w:p>
      <w:pPr>
        <w:spacing w:after="0" w:line="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June 30, 2021 primarily due to the NRV charge for inventory and a $5.9 million increase in personnel costs, offset by decreases of $5.0 million in legal and insurance costs and $2.2 million professional fees. We anticipate legal costs will remain substantial in light of our ongoing litigation and the SEC investigation.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Research and development expenses were $72.4 million during the six months ended June 30, 2022, net of $18.4 million reimbursement of certain operating costs incurred by the Company between September 1, 2021 and the APA Closing as described in Note 1. Until we initiate commercial production, the costs associated with operating the Lordstown facility are included in Research and Development as they relate to the design and construction of beta and pre-production vehicles, along with manufacturing readiness. During the first half of 2022, we incurred $32.7 million in costs associated with the Lordstown facility, including $14.6 million in personnel costs, $7.7 million in freight, $4.5 million in utilities and $5.9 million of other facility and manufacturing costs. During the first half of 2021, we incurred $26.4 million in costs associated with operating the Lordstown facility, including $13.8 million in personnel costs, $3.2 million in utilities, and $9.4 million in other facility operating costs.</w:t>
      </w:r>
    </w:p>
    <w:p>
      <w:pPr>
        <w:spacing w:after="0" w:line="18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Also included in Research and Development costs are the prototype components used for part, module or system design testing and validation, as well as full production of beta and pre-production vehicles. In the six months ended June 30, 2022, our prototype component costs totaled $21.1 million compared to $ 72.6 million in the same period of 2021. The substantial majority of the 2022 costs represented parts used in the production of PPVs. We expect prototype component costs to continue to decrease in future period as we prepare for the commercial launch of the Endurance.</w:t>
      </w:r>
    </w:p>
    <w:p>
      <w:pPr>
        <w:spacing w:after="0" w:line="179"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All other research and development expenses of $36.9 million, a decrease of $32.5 million during the six months ended June 30, 2022 compared to the same period in 2021 primarily due to a $32.4 million decrease in outside engineering services and $2.4 million in freight as Endurance development costs decline as we approach commercial production. Costs for engineering personnel totaled $15.0 million in the current period, an increase of $1.2 million compared to the same period of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We had cash and cash equivalents of approximately $235.7 million and an accumulated deficit of $570.8 million at June 30, 2022 and a net loss of $26.0 million for the six months ended June 30, 2022.</w:t>
      </w:r>
    </w:p>
    <w:p>
      <w:pPr>
        <w:spacing w:after="0" w:line="154"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In the first half of 2022, we continued to build PPVs for testing, validation, certification, regulatory approvals, and to demonstrate the capabilities of the Endurance to potential customers. Upon commencing commercial production and sales later in 2022, and for the foreseeable future, we will incur significant operating expenses, capital expenditures and working capital funding that will deplete our cash on hand. </w:t>
      </w:r>
      <w:r>
        <w:rPr>
          <w:rFonts w:ascii="Arial" w:cs="Arial" w:eastAsia="Arial" w:hAnsi="Arial"/>
          <w:sz w:val="18"/>
          <w:szCs w:val="18"/>
          <w:color w:val="231F20"/>
        </w:rPr>
        <w:t>As a result of having</w:t>
      </w:r>
      <w:r>
        <w:rPr>
          <w:rFonts w:ascii="Arial" w:cs="Arial" w:eastAsia="Arial" w:hAnsi="Arial"/>
          <w:sz w:val="18"/>
          <w:szCs w:val="18"/>
          <w:color w:val="auto"/>
        </w:rPr>
        <w:t xml:space="preserve"> </w:t>
      </w:r>
      <w:r>
        <w:rPr>
          <w:rFonts w:ascii="Arial" w:cs="Arial" w:eastAsia="Arial" w:hAnsi="Arial"/>
          <w:sz w:val="18"/>
          <w:szCs w:val="18"/>
          <w:color w:val="231F20"/>
        </w:rPr>
        <w:t xml:space="preserve">insufficient capital to execute our 2022 business plan, we have substantially limited investments in tooling and other aspects of the Endurance and our operations. The trade-offs we are making, including related to hard tooling, are likely to result in higher costs for the Company in the future and are likely to slow or impair future design enhancements or options we may otherwise seek to make available to customers. </w:t>
      </w:r>
      <w:r>
        <w:rPr>
          <w:rFonts w:ascii="Arial" w:cs="Arial" w:eastAsia="Arial" w:hAnsi="Arial"/>
          <w:sz w:val="18"/>
          <w:szCs w:val="18"/>
          <w:color w:val="000000"/>
        </w:rPr>
        <w:t>The Company’s</w:t>
      </w:r>
      <w:r>
        <w:rPr>
          <w:rFonts w:ascii="Arial" w:cs="Arial" w:eastAsia="Arial" w:hAnsi="Arial"/>
          <w:sz w:val="18"/>
          <w:szCs w:val="18"/>
          <w:color w:val="231F20"/>
        </w:rPr>
        <w:t xml:space="preserve"> </w:t>
      </w:r>
      <w:r>
        <w:rPr>
          <w:rFonts w:ascii="Arial" w:cs="Arial" w:eastAsia="Arial" w:hAnsi="Arial"/>
          <w:sz w:val="18"/>
          <w:szCs w:val="18"/>
          <w:color w:val="000000"/>
        </w:rPr>
        <w:t>research and development expenses and capital expenditures are significant due to spending needed for PPVs, vehicle validation tests, securing necessary parts/equipment, and utilizing in-house and third-party engineering services. During 2021, the Company experienced the stress that the COVID-19 pandemic put on the global automotive supply chain including with regard to the availability, pricing and lead times for components and raw materials. Furthermore, in 2021 and 2022, we have incurred significant freight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30" w:name="page31"/>
    <w:bookmarkEnd w:id="30"/>
    <w:p>
      <w:pPr>
        <w:ind w:left="60" w:right="299"/>
        <w:spacing w:after="0" w:line="242" w:lineRule="auto"/>
        <w:rPr>
          <w:sz w:val="20"/>
          <w:szCs w:val="20"/>
          <w:color w:val="auto"/>
        </w:rPr>
      </w:pPr>
      <w:r>
        <w:rPr>
          <w:rFonts w:ascii="Arial" w:cs="Arial" w:eastAsia="Arial" w:hAnsi="Arial"/>
          <w:sz w:val="18"/>
          <w:szCs w:val="18"/>
          <w:color w:val="auto"/>
        </w:rPr>
        <w:t>charges that in part were higher due to the COVID-19 pandemic and challenging logistics that created delays and higher pricing on standard freight as well as to incur substantially higher expedited freight charges to mitigate delays. The Company expects continued supply chain constraints as well as raw material and other pricing pressures that are likely to negatively impact our cost structure and production timeline. See Part I - Item 1A. Risk Factors in our Form 10-K and Forms 10-Q for further discussion of the risks associated with disruptions to the supply chain.</w:t>
      </w:r>
    </w:p>
    <w:p>
      <w:pPr>
        <w:spacing w:after="0" w:line="179" w:lineRule="exact"/>
        <w:rPr>
          <w:sz w:val="20"/>
          <w:szCs w:val="20"/>
          <w:color w:val="auto"/>
        </w:rPr>
      </w:pPr>
    </w:p>
    <w:p>
      <w:pPr>
        <w:jc w:val="both"/>
        <w:ind w:left="60" w:right="339"/>
        <w:spacing w:after="0" w:line="253" w:lineRule="auto"/>
        <w:rPr>
          <w:sz w:val="20"/>
          <w:szCs w:val="20"/>
          <w:color w:val="auto"/>
        </w:rPr>
      </w:pPr>
      <w:r>
        <w:rPr>
          <w:rFonts w:ascii="Arial" w:cs="Arial" w:eastAsia="Arial" w:hAnsi="Arial"/>
          <w:sz w:val="18"/>
          <w:szCs w:val="18"/>
          <w:color w:val="auto"/>
        </w:rPr>
        <w:t>In addition, in order to secure adequate supply of battery cells, we have an agreement with a certain supplier that obligates us to purchase a minimum volume estimated to be $11.5 million in 2022, subject to change for fluctuations in raw material pricing.</w:t>
      </w:r>
    </w:p>
    <w:p>
      <w:pPr>
        <w:spacing w:after="0" w:line="169"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We also have meaningful exposure to material losses and costs related to ongoing litigation and regulatory proceedings for which insurance is unlikely to be available. See Note 5 – Commitments and Contingencies for additional information.</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 xml:space="preserve">Even with the consummation of and proceeds and other expected benefits from the Foxconn Transactions (see Note 1), we need additional funding to execute our 2022 business plan and achieve scaled production of the Endurance, due to the capital required to complete testing and validation, purchase the raw materials and vehicle components for saleable vehicles, invest in the hard tooling to lower our bill of materials cost and fund future engineering, operating and corporate expenditures. If we are unable to raise </w:t>
      </w:r>
      <w:r>
        <w:rPr>
          <w:rFonts w:ascii="Arial" w:cs="Arial" w:eastAsia="Arial" w:hAnsi="Arial"/>
          <w:sz w:val="18"/>
          <w:szCs w:val="18"/>
          <w:color w:val="231F20"/>
        </w:rPr>
        <w:t>substantial</w:t>
      </w:r>
      <w:r>
        <w:rPr>
          <w:rFonts w:ascii="Arial" w:cs="Arial" w:eastAsia="Arial" w:hAnsi="Arial"/>
          <w:sz w:val="18"/>
          <w:szCs w:val="18"/>
          <w:color w:val="auto"/>
        </w:rPr>
        <w:t xml:space="preserve"> additional capital in the near term</w:t>
      </w:r>
      <w:r>
        <w:rPr>
          <w:rFonts w:ascii="Arial" w:cs="Arial" w:eastAsia="Arial" w:hAnsi="Arial"/>
          <w:sz w:val="18"/>
          <w:szCs w:val="18"/>
          <w:color w:val="231F20"/>
        </w:rPr>
        <w:t>, our ability to invest in hard tooling to lower the bill of material cost of the Endurance will</w:t>
      </w:r>
      <w:r>
        <w:rPr>
          <w:rFonts w:ascii="Arial" w:cs="Arial" w:eastAsia="Arial" w:hAnsi="Arial"/>
          <w:sz w:val="18"/>
          <w:szCs w:val="18"/>
          <w:color w:val="auto"/>
        </w:rPr>
        <w:t xml:space="preserve"> </w:t>
      </w:r>
      <w:r>
        <w:rPr>
          <w:rFonts w:ascii="Arial" w:cs="Arial" w:eastAsia="Arial" w:hAnsi="Arial"/>
          <w:sz w:val="18"/>
          <w:szCs w:val="18"/>
          <w:color w:val="231F20"/>
        </w:rPr>
        <w:t>be significantly scaled back or curtailed. If the funds raised are insufficient to provide a bridge to full scale commercial production at a profit, our operations could be severely curtailed or cease entirely. Until such time as we have sufficient funds to invest in the necessary actions to reduce our bill of material costs, we will limit our curtail production in order to minimize our losses.</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 xml:space="preserve">In an effort to alleviate these conditions, management continues to actively seek and evaluate opportunities to raise additional funds through the issuance of equity or debt securities, asset sales, arrangements with strategic partners or obtaining financing from government or financial institutions. </w:t>
      </w:r>
      <w:r>
        <w:rPr>
          <w:rFonts w:ascii="Arial" w:cs="Arial" w:eastAsia="Arial" w:hAnsi="Arial"/>
          <w:sz w:val="18"/>
          <w:szCs w:val="18"/>
          <w:color w:val="010101"/>
        </w:rPr>
        <w:t>We have engaged a financial advisor to</w:t>
      </w:r>
      <w:r>
        <w:rPr>
          <w:rFonts w:ascii="Arial" w:cs="Arial" w:eastAsia="Arial" w:hAnsi="Arial"/>
          <w:sz w:val="18"/>
          <w:szCs w:val="18"/>
          <w:color w:val="auto"/>
        </w:rPr>
        <w:t xml:space="preserve"> </w:t>
      </w:r>
      <w:r>
        <w:rPr>
          <w:rFonts w:ascii="Arial" w:cs="Arial" w:eastAsia="Arial" w:hAnsi="Arial"/>
          <w:sz w:val="18"/>
          <w:szCs w:val="18"/>
          <w:color w:val="010101"/>
        </w:rPr>
        <w:t>advise the Company on additional financing alternatives</w:t>
      </w:r>
      <w:r>
        <w:rPr>
          <w:rFonts w:ascii="Arial" w:cs="Arial" w:eastAsia="Arial" w:hAnsi="Arial"/>
          <w:sz w:val="18"/>
          <w:szCs w:val="18"/>
          <w:color w:val="000000"/>
        </w:rPr>
        <w:t>. No assurances can be given that any such financing</w:t>
      </w:r>
      <w:r>
        <w:rPr>
          <w:rFonts w:ascii="Arial" w:cs="Arial" w:eastAsia="Arial" w:hAnsi="Arial"/>
          <w:sz w:val="18"/>
          <w:szCs w:val="18"/>
          <w:color w:val="010101"/>
        </w:rPr>
        <w:t xml:space="preserve"> </w:t>
      </w:r>
      <w:r>
        <w:rPr>
          <w:rFonts w:ascii="Arial" w:cs="Arial" w:eastAsia="Arial" w:hAnsi="Arial"/>
          <w:sz w:val="18"/>
          <w:szCs w:val="18"/>
          <w:color w:val="000000"/>
        </w:rPr>
        <w:t>will be available on commercially reasonable terms or at all.</w:t>
      </w:r>
    </w:p>
    <w:p>
      <w:pPr>
        <w:spacing w:after="0" w:line="17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 xml:space="preserve">As part of our funding efforts, on July 23, 2021, the Company entered into the Equity Purchase Agreement with YA, pursuant to which YA has committed to purchase up to $400 million of our Class A common stock, at our direction from time to time, subject to the satisfaction of certain conditions. During the year ended December 31, 2021, we issued 9.6 million shares to YA and received $ 49.4 million cash, net of equity issuance costs. </w:t>
      </w:r>
      <w:r>
        <w:rPr>
          <w:rFonts w:ascii="Arial" w:cs="Arial" w:eastAsia="Arial" w:hAnsi="Arial"/>
          <w:sz w:val="18"/>
          <w:szCs w:val="18"/>
          <w:color w:val="231F20"/>
        </w:rPr>
        <w:t>During the six months ended June 30, 2022, we issued 6.6 million shares to YA and received $13.7 million cash, net of equity issuance costs.</w:t>
      </w:r>
    </w:p>
    <w:p>
      <w:pPr>
        <w:spacing w:after="0" w:line="17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actual amount that we raise under the Equity Purchase Agreement will depend on market conditions and limitations in the agreement. In particular, without stockholder approval, the Exchange Cap provision would limit the amount of shares we can issue to 35.1 million shares (unless the average price of all shares sold is $7.48 or higher), including the 16.2 million shares previously issued, and therefore this share limitation and the current market price that would be the basis for the price of the shares of Class A common stock to be sold limit funds we are able to raise to significantly less than the $400 million commitment under the Equity Purchase Agreement. As of June 30, 2022, we were in compliance with the terms and conditions of the Equity Purchase Agreement and the remaining availability under the Equity Purchase Agreement was $336.2 million which is subject to certain limitations as described above and in Note 7 of the condensed consolidated financial statements. The APA Closing with Foxconn provided more than $257 million in funding for the Company, including the $230 million purchase price and $27.5 million in reimbursements, in addition to the $50 millon purchase of our Class A common stock in October 2021. The Foxconn Transactions represent a shift into a less capital-intensive business. In addition, the Foxconn Joint Venture Agreement provides that Foxconn will make term loans to Lordstown EV in an aggregate original amount not to exceed $45 million as advances are requested by Lordstown EV. Lordstown EV may use the funds only to fund Lordstown EV’s capital commitment of $45 million pursuant to the Foxconn Joint Venture Agreement. To secure its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1" w:name="page32"/>
    <w:bookmarkEnd w:id="31"/>
    <w:p>
      <w:pPr>
        <w:ind w:left="60" w:right="99"/>
        <w:spacing w:after="0" w:line="252" w:lineRule="auto"/>
        <w:rPr>
          <w:sz w:val="20"/>
          <w:szCs w:val="20"/>
          <w:color w:val="auto"/>
        </w:rPr>
      </w:pPr>
      <w:r>
        <w:rPr>
          <w:rFonts w:ascii="Arial" w:cs="Arial" w:eastAsia="Arial" w:hAnsi="Arial"/>
          <w:sz w:val="17"/>
          <w:szCs w:val="17"/>
          <w:color w:val="auto"/>
        </w:rPr>
        <w:t>obligations under each Note, Lordstown EV will grant to Foxconn a security interest in (i) all of Lordstown EV’s equity interests in the Foxconn Joint Venture, and (ii) personal property constituting the hub motor assembly lines, battery module assembly lines and battery pack assembly lines. Each outstanding Note will accrue interest at a rate of 7.0% per annum, to be paid-in-kind, and is due on the earlier of (i) the first anniversary of issuance and (ii) December 31, 2025, unless earlier terminated in the event of a default. Pursuant to the Foxconn Joint Venture Agreement, each Note maturing before December 31, 2025 will be refinanced by Foxconn with a new Note in the principal amount equal to the outstanding principal amount of the refinanced Note, plus accrued and unpaid interest thereon, and will have terms otherwise substantively identical to the terms of the refinanced Note. As a result, it is not expected, absent a default, that any amounts will become due under the Notes prior to December 31, 2025. Lordstown EV will be required to prepay each Note and all accrued but unpaid interest thereon with proceeds received upon distributions from the Foxconn Joint Venture or cash proceeds of certain asset dispositions. On June 16, 2022, Lordstown EV requested an initial advance of $13.5 million, which was funded by Foxconn in exchange for the delivery by Lordstown EV of a Note in such amount on June 24, 2022. See Note 1 of the condensed consolidated financial statements for additional details.</w:t>
      </w:r>
    </w:p>
    <w:p>
      <w:pPr>
        <w:spacing w:after="0" w:line="16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As we seek additional sources of financing, there can be no assurance that such financing would be available to us on favorable terms or at all. Our ability to obtain additional financing in the debt and equity capital markets is subject to several factors, including market and economic conditions, the significant amount of capital required, the fact that our bill of materials cost is currently, and expected to continue to be, substantially higher than our anticipated selling price, uncertainty surrounding regulatory approval and the performance of the vehicle, meaningful exposure to material losses and costs related to ongoing litigation and the SEC investigation, our performance and investor sentiment with respect to us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our ability to continue as a going concern.</w:t>
      </w:r>
    </w:p>
    <w:p>
      <w:pPr>
        <w:spacing w:after="0" w:line="18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Pursuant to the requirements of the FASB’s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0"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auto"/>
        </w:rPr>
        <w:t>See Risk Factors under Part I - Item 1A. of our Form 10-K, and prior Forms 10-Q and below for further discussion of the risks associated with our need for additional financing and loss exposures, among other risks.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Lordstown’s cash flow data for the period indicated:</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ind w:right="97"/>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57"/>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by operating activities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(121,427)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(171,374)</w:t>
            </w: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8"/>
                <w:szCs w:val="18"/>
                <w:color w:val="auto"/>
              </w:rPr>
              <w:t>Net Cash used by investing activities</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(15,990)</w:t>
            </w:r>
          </w:p>
        </w:tc>
        <w:tc>
          <w:tcPr>
            <w:tcW w:w="3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(175,601)</w:t>
            </w: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129,087</w:t>
            </w:r>
          </w:p>
        </w:tc>
        <w:tc>
          <w:tcPr>
            <w:tcW w:w="3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83,114</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Operating Activities</w:t>
      </w:r>
    </w:p>
    <w:p>
      <w:pPr>
        <w:spacing w:after="0" w:line="21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For the six months ended June 30, 2022 compared to 2021, net cash used by operating activities decreased by $49.9 million primarily due to changes in working capital and the $17.5 million received from Foxconn for the reimbursement of operating costs.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by Investing Activities</w:t>
      </w:r>
    </w:p>
    <w:p>
      <w:pPr>
        <w:spacing w:after="0" w:line="21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For the six months ended June 30, 2022 compared to 2021, cash used by investing activities decreased $159.6 million primarily due to lower capital spending in 2022. Cash used by investing activities in 2022 also included a $13.5 million investment into the Foxconn Joint Venture and was net of $37.5 million in proceeds from the sale of capital assets to Foxconn. The $200 million in down payments received prior to closing are reflected as financing proceeds and are reflected as a non-cash transaction when the down payment was applied at the APA Closing and the Company’s repayment obligation was terminated. The capital spending in 2021 represented the early investments to retool the Lordstown Facility, acquire testing equipment and related capabilities, and to prepare for manufacturing.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10"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For the six months ended June 30, 2022 compared to 2021, cash flows from financing activities increased $46 million. Financing cash flows in 2022 was primarily related to the $100 million down payment received from Foxconn, $13.5 million from proceeds from Foxconn notes payable and $13.7 million from sales under the Equity Purchase Agreement, net of issuance costs. Financing cash flows in 2021 was primarily due to $82.0 million of cash proceeds from the exercise of warrants in 2021.</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70"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2"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June 30,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299"/>
        <w:spacing w:after="0" w:line="253" w:lineRule="auto"/>
        <w:rPr>
          <w:sz w:val="20"/>
          <w:szCs w:val="20"/>
          <w:color w:val="auto"/>
        </w:rPr>
      </w:pPr>
      <w:r>
        <w:rPr>
          <w:rFonts w:ascii="Arial" w:cs="Arial" w:eastAsia="Arial" w:hAnsi="Arial"/>
          <w:sz w:val="18"/>
          <w:szCs w:val="18"/>
          <w:color w:val="auto"/>
        </w:rPr>
        <w:t>See Note 2 to the condensed consolidated financial statements for more information about recent accounting pronouncements, the timing of their adoption, and management’s assessment, to the extent they have made one, of their potential impact on Lordstown’s financial condition and results of operations.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On June 30, 2022, we had cash and cash equivalents of approximately $235.7 million. We believe that a 10 basis point change in interest rates is likely in the near term. Based on our current level of investment, an increase or decrease of 10 basis points in interest rates would not have a material impact to our cash balances.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0" w:right="179"/>
        <w:spacing w:after="0" w:line="255"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ind w:left="60" w:right="639"/>
        <w:spacing w:after="0" w:line="253"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not effective due to the material weakness described below and discussed in our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4" w:name="page35"/>
    <w:bookmarkEnd w:id="34"/>
    <w:p>
      <w:pPr>
        <w:ind w:left="60" w:right="339"/>
        <w:spacing w:after="0" w:line="271" w:lineRule="auto"/>
        <w:rPr>
          <w:sz w:val="20"/>
          <w:szCs w:val="20"/>
          <w:color w:val="auto"/>
        </w:rPr>
      </w:pPr>
      <w:r>
        <w:rPr>
          <w:rFonts w:ascii="Arial" w:cs="Arial" w:eastAsia="Arial" w:hAnsi="Arial"/>
          <w:sz w:val="18"/>
          <w:szCs w:val="18"/>
          <w:color w:val="auto"/>
        </w:rPr>
        <w:t>In the course of preparing the Company’s financial statements for the Form 10-K, our management identified the following material weakness in internal control over financial reporting:</w:t>
      </w:r>
    </w:p>
    <w:p>
      <w:pPr>
        <w:spacing w:after="0" w:line="154" w:lineRule="exact"/>
        <w:rPr>
          <w:sz w:val="20"/>
          <w:szCs w:val="20"/>
          <w:color w:val="auto"/>
        </w:rPr>
      </w:pPr>
    </w:p>
    <w:p>
      <w:pPr>
        <w:ind w:left="720" w:right="19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Company did not have a sufficient number of trained resources with assigned responsibilities and accountability for the design and operation of internal controls over financial reporting.</w:t>
      </w:r>
    </w:p>
    <w:p>
      <w:pPr>
        <w:spacing w:after="0" w:line="154"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As a consequence, the Company did not effectively operate process-level control activities related to procure-to-pay (including operating expenses, prepaid expenses, and accrued liabilities), review and approval of manual journal entries, and user access controls to ensure appropriate segregation of duties.</w:t>
      </w:r>
    </w:p>
    <w:p>
      <w:pPr>
        <w:spacing w:after="0" w:line="169" w:lineRule="exact"/>
        <w:rPr>
          <w:sz w:val="20"/>
          <w:szCs w:val="20"/>
          <w:color w:val="auto"/>
        </w:rPr>
      </w:pPr>
    </w:p>
    <w:p>
      <w:pPr>
        <w:ind w:left="60" w:right="339"/>
        <w:spacing w:after="0" w:line="247" w:lineRule="auto"/>
        <w:rPr>
          <w:sz w:val="20"/>
          <w:szCs w:val="20"/>
          <w:color w:val="auto"/>
        </w:rPr>
      </w:pPr>
      <w:r>
        <w:rPr>
          <w:rFonts w:ascii="Arial" w:cs="Arial" w:eastAsia="Arial" w:hAnsi="Arial"/>
          <w:sz w:val="18"/>
          <w:szCs w:val="18"/>
          <w:color w:val="auto"/>
        </w:rPr>
        <w:t>These control deficiencies create a reasonable possibility that a material misstatement to the consolidated financial statements will not be prevented or detected on a timely basis, and therefore we conclude that the deficiencies represent a material weakness in internal control over financial reporting and our internal control over financial reporting is not effective as of December 31, 2021.</w:t>
      </w:r>
    </w:p>
    <w:p>
      <w:pPr>
        <w:spacing w:after="0" w:line="174" w:lineRule="exact"/>
        <w:rPr>
          <w:sz w:val="20"/>
          <w:szCs w:val="20"/>
          <w:color w:val="auto"/>
        </w:rPr>
      </w:pPr>
    </w:p>
    <w:p>
      <w:pPr>
        <w:ind w:left="60" w:right="439"/>
        <w:spacing w:after="0" w:line="244"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our disclosure controls and procedures were not effective as our remediation efforts are ongoing.</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Remediation Plan</w:t>
      </w:r>
    </w:p>
    <w:p>
      <w:pPr>
        <w:spacing w:after="0" w:line="210"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Our management has prepared a remediation plan that is being instituted in 2022 under the oversight of the Audit Committee. The management team has also engaged third-party consultants to assist in the implementation of our remediation plan. The plan involves hiring and training additional qualified personnel and holding personnel accountable to their responsibilities for the operating effectiveness of internal controls over financial reporting. During the six months ended June 30, 2022, the Company hired key professionals to support financial reporting and trained additional qualified personnel. The Company will seek to hire additional qualified personnel during the balance of 2022.</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have made progress with our remediation plan and our goal is to remediate our material weakness during fiscal year 2022. However, a material weakness will not be considered remediated until the applicable controls operate for a sufficient period of time and management has concluded, through testing, that these controls are operating effectively. We are committed to continuing to improve our internal control processes and will continue to review, optimize and enhance our financial reporting controls and procedures, however, there can be no assurance that this will occur within 2022.</w:t>
      </w:r>
    </w:p>
    <w:p>
      <w:pPr>
        <w:spacing w:after="0" w:line="17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Notwithstanding the identified material weakness, management believes that the condensed consolidated financial statements included in this Quarterly Report on Form 10-Q present fairly in all material respects our condensed consolidated financial position, results of operations and cash flows for the period presented.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June 30, 2022 that have materially affected, or are reasonably likely to materially affect, our internal control over financial reporting except for the remediation efforts with regard to the material weakness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1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For a description of our legal proceedings, see Note 5 - Commitments and Contingencies of the notes to the condensed consolidated financial statements of this Quarterly Report on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There are no material changes from the risk factors set forth in Part I, “Item 1A. Risk Factors” in our Form 10-K and prior Forms 10-Q, except as set forth below. In addition to the risk factor set forth below and the other information set forth in this report, you should carefully consider the factors discussed in Part I, “Item 1A. Risk Factors” in our Form 10-K and Forms 10-Q, which could materially affect our business, financial condition or future operating results.</w:t>
      </w:r>
    </w:p>
    <w:p>
      <w:pPr>
        <w:spacing w:after="0" w:line="178" w:lineRule="exact"/>
        <w:rPr>
          <w:sz w:val="20"/>
          <w:szCs w:val="20"/>
          <w:color w:val="auto"/>
        </w:rPr>
      </w:pPr>
    </w:p>
    <w:p>
      <w:pPr>
        <w:jc w:val="both"/>
        <w:ind w:left="60" w:right="119"/>
        <w:spacing w:after="0" w:line="256" w:lineRule="auto"/>
        <w:rPr>
          <w:sz w:val="20"/>
          <w:szCs w:val="20"/>
          <w:color w:val="auto"/>
        </w:rPr>
      </w:pPr>
      <w:r>
        <w:rPr>
          <w:rFonts w:ascii="Arial" w:cs="Arial" w:eastAsia="Arial" w:hAnsi="Arial"/>
          <w:sz w:val="18"/>
          <w:szCs w:val="18"/>
          <w:b w:val="1"/>
          <w:bCs w:val="1"/>
          <w:i w:val="1"/>
          <w:iCs w:val="1"/>
          <w:color w:val="auto"/>
        </w:rPr>
        <w:t>If Lordstown EV fails to fulfill its obligations or remain in compliance with its debt covenants under the Notes, Foxconn could foreclose on significant assets securing the Notes or seek repayment from us, or both, which may have an adverse effect on our business prospects and financial conditions.</w:t>
      </w:r>
    </w:p>
    <w:p>
      <w:pPr>
        <w:spacing w:after="0" w:line="15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Pursuant to the Foxconn Joint Venture Agreement, Foxconn and Lordstown EV are each obligated to make capital contributions to the Foxconn Joint Venture. Foxconn has committed $100 million to the Foxconn Joint Venture, consisting of $55 million in the form of direct capital contributions, and a $45 million loan to Lordstown EV pursuant to the Notes, the proceeds of which will only be used to fund Lordstown EV’s capital contributions to the Foxconn Joint Venture and which are guaranteed by Lordstown EV Sales LLC and the Company. To secure its obligations under the Notes, Lordstown EV will grant to Foxconn a security interest in (i) all of Lordstown EV’s equity interests in the Foxconn Joint Venture, and (ii) personal property constituting the hub motor, battery module and battery pack assembly lines.</w:t>
      </w:r>
    </w:p>
    <w:p>
      <w:pPr>
        <w:spacing w:after="0" w:line="18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On June 16, 2022, Lordstown EV requested an initial advance of $13.5 million, which was funded by Foxconn in exchange for the delivery by Lordstown EV of a Note in such amount on June 24, 2022, and on June 27, 2022, the partners made their initial investments totaling $30 million in the Foxconn Joint Venture pursuant to the Foxconn Joint Venture Agreement.</w:t>
      </w:r>
    </w:p>
    <w:p>
      <w:pPr>
        <w:spacing w:after="0" w:line="17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Lordstown EV’s failure to make payments when due or comply with certain covenants under the Notes may be deemed an event of default, and such default could lead to Foxconn foreclosing on the assets pledged as security under the Notes or seeking repayment of the Notes from us, or both, which could have a material adverse effect on our financial condition, operations, and cash flows. We cannot be certain that Lordstown EV or the Company will maintain sufficient capital to repay the Notes when due or maintain compliance with the covenants under the Notes, and we may be forced to reduce or delay capital expenditures, sell assets, seek additional capital or restructure or refinance our indebtedness, to the extent permitted under the Notes. Further, as a result of covenants restricting our corporate actions and future debt, we may be limited in pursuing certain future financing and transactions that would otherwise be beneficial to our business and operations. Foreclosure on our assets and restrictions on our operations may lead to delays in establishing and developing our electric vehicles. In addition, the Foxconn Joint Venture may not succeed and may be terminated due to the failure to establish a sustainable partnership and our business prospects, financial conditions and operations may be materially and adversely affected.</w:t>
      </w: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Except as described below and previously disclosed in a Current Report on Form 8-K, there were no sales of equity securities during the quarter ended June 30, 2022 that were not registered under the Securities Act.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6" w:name="page37"/>
    <w:bookmarkEnd w:id="36"/>
    <w:p>
      <w:pPr>
        <w:ind w:left="60" w:right="59"/>
        <w:spacing w:after="0" w:line="271" w:lineRule="auto"/>
        <w:rPr>
          <w:sz w:val="20"/>
          <w:szCs w:val="20"/>
          <w:color w:val="auto"/>
        </w:rPr>
      </w:pPr>
      <w:r>
        <w:rPr>
          <w:rFonts w:ascii="Arial" w:cs="Arial" w:eastAsia="Arial" w:hAnsi="Arial"/>
          <w:sz w:val="18"/>
          <w:szCs w:val="18"/>
          <w:color w:val="auto"/>
        </w:rPr>
        <w:t>On May 11, 2022, the Company issued the Foxconn Warrants to Foxconn that are exercisable until May 11, 2025 for 1.7 million shares of Class A common stock at an exercise price of $10.50 per share.</w:t>
      </w:r>
    </w:p>
    <w:p>
      <w:pPr>
        <w:spacing w:after="0" w:line="154"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color w:val="auto"/>
        </w:rPr>
        <w:t xml:space="preserve">On May 17, 2022, May 23, 2022 and June 6, 2022, pursuant to the Equity Purchase Agreement the Company sold an aggregate of </w:t>
      </w:r>
      <w:r>
        <w:rPr>
          <w:rFonts w:ascii="Arial" w:cs="Arial" w:eastAsia="Arial" w:hAnsi="Arial"/>
          <w:sz w:val="18"/>
          <w:szCs w:val="18"/>
          <w:color w:val="231F20"/>
        </w:rPr>
        <w:t>6.6 million shares</w:t>
      </w:r>
      <w:r>
        <w:rPr>
          <w:rFonts w:ascii="Arial" w:cs="Arial" w:eastAsia="Arial" w:hAnsi="Arial"/>
          <w:sz w:val="18"/>
          <w:szCs w:val="18"/>
          <w:color w:val="auto"/>
        </w:rPr>
        <w:t xml:space="preserve"> of Class A common stock </w:t>
      </w:r>
      <w:r>
        <w:rPr>
          <w:rFonts w:ascii="Arial" w:cs="Arial" w:eastAsia="Arial" w:hAnsi="Arial"/>
          <w:sz w:val="18"/>
          <w:szCs w:val="18"/>
          <w:color w:val="231F20"/>
        </w:rPr>
        <w:t>to YA and received $13.7 million cash, net of</w:t>
      </w:r>
      <w:r>
        <w:rPr>
          <w:rFonts w:ascii="Arial" w:cs="Arial" w:eastAsia="Arial" w:hAnsi="Arial"/>
          <w:sz w:val="18"/>
          <w:szCs w:val="18"/>
          <w:color w:val="auto"/>
        </w:rPr>
        <w:t xml:space="preserve"> </w:t>
      </w:r>
      <w:r>
        <w:rPr>
          <w:rFonts w:ascii="Arial" w:cs="Arial" w:eastAsia="Arial" w:hAnsi="Arial"/>
          <w:sz w:val="18"/>
          <w:szCs w:val="18"/>
          <w:color w:val="231F20"/>
        </w:rPr>
        <w:t>equity issuance costs.</w:t>
      </w:r>
    </w:p>
    <w:p>
      <w:pPr>
        <w:spacing w:after="0" w:line="169"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The shares were issued and sold to accredited investors in reliance upon the exemption from the registration requirements of the Securities Act of 1933 afforded by Section 4(a)(2) of the Securities Act of 1933.</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August 3, 2022 (the “Effective Date”), following Mr. Ninivaggi’s appointment as the Company's Executive Chairman of the Board, Mr. Ninivaggi and the Company entered into an amended and restated employment agreement (the “A&amp;R Employment Agreement”), which amends and restates Mr. Ninivaggi’s original Employment Agreement, dated August 26, 2021, as amended by the Amendment to the Employment Agreement, dated November 9, 2021 (the “Prior Employment Agreement”). Pursuant to the A&amp;R Employment Agreement, Mr. Ninivaggi will receive an annual salary in an amount up to $675,000 consisting of (i) a cash component of $450,000 (the “Non-Contingent Base Salary”), and (ii) a contingent component of $225,000 (the “Contingent Base Salary”) payable if the aggregate market value of the Company’s equity securities exceeds the Market Cap Threshold (as defined below). The “Market Cap Threshold” is $750,000 million in 2022, $1 billion in 2023 and $1.25 billion thereafter, measured based on the closing market price of the Class A common stock as quoted on the stock exchange or national market system on which the Class A common stock is then listed for any five (5) consecutive trading days in December of the applicable calendar year. Mr. Ninivaggi and the Company may agree for all or a portion of the Contingent Base Salary to be earned in the form of Class A common stock. Mr. Ninivaggi will also receive an annual bonus with an annual target bonus equal to 80% of the actual amount of his annual salary, based on Company and individual performance and subject to the discretion of the Board of Directors or a committee thereof. For the fiscal year ending December 31, 2022, Mr. Ninivaggi will be entitled to receive an annual bonus at a target equal to 105% of his actual annual salary earned in such year.</w:t>
      </w:r>
    </w:p>
    <w:p>
      <w:pPr>
        <w:spacing w:after="0" w:line="182" w:lineRule="exact"/>
        <w:rPr>
          <w:sz w:val="20"/>
          <w:szCs w:val="20"/>
          <w:color w:val="auto"/>
        </w:rPr>
      </w:pPr>
    </w:p>
    <w:p>
      <w:pPr>
        <w:ind w:left="60" w:right="119"/>
        <w:spacing w:after="0" w:line="250" w:lineRule="auto"/>
        <w:rPr>
          <w:sz w:val="20"/>
          <w:szCs w:val="20"/>
          <w:color w:val="auto"/>
        </w:rPr>
      </w:pPr>
      <w:r>
        <w:rPr>
          <w:rFonts w:ascii="Arial" w:cs="Arial" w:eastAsia="Arial" w:hAnsi="Arial"/>
          <w:sz w:val="17"/>
          <w:szCs w:val="17"/>
          <w:color w:val="auto"/>
        </w:rPr>
        <w:t>Under Mr. Ninivaggi’s employment agreement, if his employment is terminated by the Company without “cause” or by Mr. Ninivaggi resigning for “good reason,” Mr. Ninivaggi is entitled to receive, subject to his execution and non-revocation of a general release of claims, an amount equal to eight months of base salary, calculated based on the amount of the Non-Contingent Base Salary in effect at the time, unless the Market Cap Threshold had been achieved at the time of termination, in which case his full annual salary in effect at the time will be used, and $ 25,000, and accelerated vesting of all outstanding and unvested equity awards, provided that any outstanding and unvested performance-based restricted stock unit awards will only vest upon achievement of applicable performance metrics. In addition, if Mr. Ninivaggi’s employment is terminated for any reason other than “cause” or Mr. Ninivaggi’s resigns for “good reason,” Mr. Ninivaggi is entitled to receive any actual bonus earned but unpaid as of the date of termination and a prorated target bonus for the year of termination, calculated using the Non-Contingent Base Salary in effect at the time, unless the Market Cap Threshold had been achieved at the time of termination, in which case his full annual salary in effect at the time will be used. Pursuant to his employment agreement, Mr. Ninivaggi is also subject to certain restrictive covenants, including</w:t>
      </w:r>
    </w:p>
    <w:p>
      <w:pPr>
        <w:ind w:left="260" w:hanging="210"/>
        <w:spacing w:after="0" w:line="238"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perpetual confidentiality and non-disparagement covenants, (ii) an assignment of inventions covenant and</w:t>
      </w:r>
    </w:p>
    <w:p>
      <w:pPr>
        <w:ind w:left="60" w:right="199" w:hanging="10"/>
        <w:spacing w:after="0" w:line="250" w:lineRule="auto"/>
        <w:tabs>
          <w:tab w:leader="none" w:pos="3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non-competition and customer and employee non-solicitation covenants during and for the two-year period following any termination of employment.</w:t>
      </w:r>
    </w:p>
    <w:p>
      <w:pPr>
        <w:spacing w:after="0" w:line="172"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foregoing description does not purport to be complete and is subject to, and qualified in its entirety by, the full text of the A&amp;R Employment Agreement, a copy of which is attached hereto as Exhibit 10.7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7" w:name="page38"/>
    <w:bookmarkEnd w:id="37"/>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gridSpan w:val="19"/>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6"/>
        </w:trPr>
        <w:tc>
          <w:tcPr>
            <w:tcW w:w="960" w:type="dxa"/>
            <w:vAlign w:val="bottom"/>
          </w:tcPr>
          <w:p>
            <w:pPr>
              <w:ind w:left="20"/>
              <w:spacing w:after="0" w:line="155" w:lineRule="exact"/>
              <w:rPr>
                <w:sz w:val="20"/>
                <w:szCs w:val="20"/>
                <w:color w:val="auto"/>
              </w:rPr>
            </w:pPr>
            <w:r>
              <w:rPr>
                <w:rFonts w:ascii="Arial" w:cs="Arial" w:eastAsia="Arial" w:hAnsi="Arial"/>
                <w:sz w:val="16"/>
                <w:szCs w:val="16"/>
                <w:color w:val="auto"/>
              </w:rPr>
              <w:t>3.1</w:t>
            </w:r>
          </w:p>
        </w:tc>
        <w:tc>
          <w:tcPr>
            <w:tcW w:w="7300" w:type="dxa"/>
            <w:vAlign w:val="bottom"/>
            <w:tcBorders>
              <w:bottom w:val="single" w:sz="8" w:color="0000EE"/>
            </w:tcBorders>
            <w:gridSpan w:val="12"/>
          </w:tcPr>
          <w:p>
            <w:pPr>
              <w:spacing w:after="0" w:line="155" w:lineRule="exact"/>
              <w:rPr>
                <w:rFonts w:ascii="Arial" w:cs="Arial" w:eastAsia="Arial" w:hAnsi="Arial"/>
                <w:sz w:val="16"/>
                <w:szCs w:val="16"/>
                <w:color w:val="0000EE"/>
              </w:rPr>
            </w:pPr>
            <w:hyperlink r:id="rId50">
              <w:r>
                <w:rPr>
                  <w:rFonts w:ascii="Arial" w:cs="Arial" w:eastAsia="Arial" w:hAnsi="Arial"/>
                  <w:sz w:val="16"/>
                  <w:szCs w:val="16"/>
                  <w:color w:val="0000EE"/>
                </w:rPr>
                <w:t>Certificate of Correction of Certificate of Amendment of Lordstown Motors Corp. filed on May 31, 2022</w:t>
              </w:r>
            </w:hyperlink>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7680" w:type="dxa"/>
            <w:vAlign w:val="bottom"/>
            <w:gridSpan w:val="23"/>
          </w:tcPr>
          <w:p>
            <w:pPr>
              <w:spacing w:after="0" w:line="169" w:lineRule="exact"/>
              <w:rPr>
                <w:rFonts w:ascii="Arial" w:cs="Arial" w:eastAsia="Arial" w:hAnsi="Arial"/>
                <w:sz w:val="16"/>
                <w:szCs w:val="16"/>
                <w:color w:val="0000EE"/>
              </w:rPr>
            </w:pPr>
            <w:hyperlink r:id="rId50">
              <w:r>
                <w:rPr>
                  <w:rFonts w:ascii="Arial" w:cs="Arial" w:eastAsia="Arial" w:hAnsi="Arial"/>
                  <w:sz w:val="16"/>
                  <w:szCs w:val="16"/>
                  <w:color w:val="0000EE"/>
                </w:rPr>
                <w:t>(incorporated by reference to Company’s Current Report on Form 8-K filed with the SEC on June 1, 2022)</w:t>
              </w:r>
            </w:hyperlink>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580" w:type="dxa"/>
            <w:vAlign w:val="bottom"/>
            <w:tcBorders>
              <w:top w:val="single" w:sz="8" w:color="0000EE"/>
            </w:tcBorders>
            <w:gridSpan w:val="20"/>
          </w:tcPr>
          <w:p>
            <w:pPr>
              <w:spacing w:after="0" w:line="169" w:lineRule="exact"/>
              <w:rPr>
                <w:rFonts w:ascii="Arial" w:cs="Arial" w:eastAsia="Arial" w:hAnsi="Arial"/>
                <w:sz w:val="16"/>
                <w:szCs w:val="16"/>
                <w:color w:val="0000EE"/>
              </w:rPr>
            </w:pPr>
            <w:hyperlink r:id="rId51">
              <w:r>
                <w:rPr>
                  <w:rFonts w:ascii="Arial" w:cs="Arial" w:eastAsia="Arial" w:hAnsi="Arial"/>
                  <w:sz w:val="16"/>
                  <w:szCs w:val="16"/>
                  <w:color w:val="0000EE"/>
                </w:rPr>
                <w:t>Manufacturing Supply Agreement, dated May 11, 2022, between Lordstown EV Corporation and Foxconn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54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51">
              <w:r>
                <w:rPr>
                  <w:rFonts w:ascii="Arial" w:cs="Arial" w:eastAsia="Arial" w:hAnsi="Arial"/>
                  <w:sz w:val="16"/>
                  <w:szCs w:val="16"/>
                  <w:color w:val="0000EE"/>
                </w:rPr>
                <w:t>EV System LLC (incorporated by reference to the Company’s Current Report on Form 8-K filed with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164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r:id="rId51">
              <w:r>
                <w:rPr>
                  <w:rFonts w:ascii="Arial" w:cs="Arial" w:eastAsia="Arial" w:hAnsi="Arial"/>
                  <w:sz w:val="16"/>
                  <w:szCs w:val="16"/>
                  <w:color w:val="0000EE"/>
                </w:rPr>
                <w:t>SEC on May 11, 2022)</w:t>
              </w:r>
            </w:hyperlink>
          </w:p>
        </w:tc>
        <w:tc>
          <w:tcPr>
            <w:tcW w:w="5740" w:type="dxa"/>
            <w:vAlign w:val="bottom"/>
            <w:tcBorders>
              <w:top w:val="single" w:sz="8" w:color="0000EE"/>
            </w:tcBorders>
            <w:gridSpan w:val="1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Limited Liability Company Agreement of MIH EV Design LLC, dated May 11, 2022, among MIH EV Design,</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640" w:type="dxa"/>
            <w:vAlign w:val="bottom"/>
            <w:tcBorders>
              <w:top w:val="single" w:sz="8" w:color="0000EE"/>
            </w:tcBorders>
            <w:gridSpan w:val="22"/>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LLC, Foxconn EV Technology, Inc. and Lordstown EV Corporation (incorporated by reference to the</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54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52">
              <w:r>
                <w:rPr>
                  <w:rFonts w:ascii="Arial" w:cs="Arial" w:eastAsia="Arial" w:hAnsi="Arial"/>
                  <w:sz w:val="16"/>
                  <w:szCs w:val="16"/>
                  <w:color w:val="0000EE"/>
                </w:rPr>
                <w:t>Company’s Current Report on Form 8-K filed with the SEC on May 11, 2022)</w:t>
              </w:r>
            </w:hyperlink>
          </w:p>
        </w:tc>
        <w:tc>
          <w:tcPr>
            <w:tcW w:w="1640" w:type="dxa"/>
            <w:vAlign w:val="bottom"/>
            <w:tcBorders>
              <w:top w:val="single" w:sz="8" w:color="0000EE"/>
            </w:tcBorders>
            <w:gridSpan w:val="6"/>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6"/>
                <w:szCs w:val="16"/>
                <w:color w:val="0000EE"/>
              </w:rPr>
            </w:pPr>
            <w:hyperlink r:id="rId53">
              <w:r>
                <w:rPr>
                  <w:rFonts w:ascii="Arial" w:cs="Arial" w:eastAsia="Arial" w:hAnsi="Arial"/>
                  <w:sz w:val="16"/>
                  <w:szCs w:val="16"/>
                  <w:color w:val="0000EE"/>
                </w:rPr>
                <w:t>Form of Note, Guaranty and Security Agreement, among Lordstown EV Corporation, Lordstown EV Sales</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5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r:id="rId53">
              <w:r>
                <w:rPr>
                  <w:rFonts w:ascii="Arial" w:cs="Arial" w:eastAsia="Arial" w:hAnsi="Arial"/>
                  <w:sz w:val="16"/>
                  <w:szCs w:val="16"/>
                  <w:color w:val="0000EE"/>
                </w:rPr>
                <w:t>LLC, Lordstown Motors Corp. and Foxconn EV Technology, Inc. (incorporated by reference to the</w:t>
              </w:r>
            </w:hyperlink>
          </w:p>
        </w:tc>
        <w:tc>
          <w:tcPr>
            <w:tcW w:w="4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10.4</w:t>
            </w:r>
          </w:p>
        </w:tc>
        <w:tc>
          <w:tcPr>
            <w:tcW w:w="54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53">
              <w:r>
                <w:rPr>
                  <w:rFonts w:ascii="Arial" w:cs="Arial" w:eastAsia="Arial" w:hAnsi="Arial"/>
                  <w:sz w:val="16"/>
                  <w:szCs w:val="16"/>
                  <w:color w:val="0000EE"/>
                </w:rPr>
                <w:t>Company’s Current Report on Form 8-K filed with the SEC on May 11, 2022)</w:t>
              </w:r>
            </w:hyperlink>
          </w:p>
        </w:tc>
        <w:tc>
          <w:tcPr>
            <w:tcW w:w="146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23"/>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Amended and Restated Employment Agreement, dated July 12, 2022, between Lordstown Motors Corp.</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46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and Edward T. Hightower, amending Employment Agreement, dated November 9, 2021 (incorporated by</w:t>
              </w:r>
            </w:hyperlink>
          </w:p>
        </w:tc>
        <w:tc>
          <w:tcPr>
            <w:tcW w:w="20" w:type="dxa"/>
            <w:vAlign w:val="bottom"/>
            <w:tcBorders>
              <w:bottom w:val="single" w:sz="8" w:color="0000EE"/>
            </w:tcBorders>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10.5</w:t>
            </w:r>
          </w:p>
        </w:tc>
        <w:tc>
          <w:tcPr>
            <w:tcW w:w="7480" w:type="dxa"/>
            <w:vAlign w:val="bottom"/>
            <w:gridSpan w:val="17"/>
          </w:tcPr>
          <w:p>
            <w:pPr>
              <w:spacing w:after="0" w:line="169" w:lineRule="exact"/>
              <w:rPr>
                <w:rFonts w:ascii="Arial" w:cs="Arial" w:eastAsia="Arial" w:hAnsi="Arial"/>
                <w:sz w:val="16"/>
                <w:szCs w:val="16"/>
                <w:color w:val="0000EE"/>
              </w:rPr>
            </w:pPr>
            <w:hyperlink r:id="rId54">
              <w:r>
                <w:rPr>
                  <w:rFonts w:ascii="Arial" w:cs="Arial" w:eastAsia="Arial" w:hAnsi="Arial"/>
                  <w:sz w:val="16"/>
                  <w:szCs w:val="16"/>
                  <w:color w:val="0000EE"/>
                </w:rPr>
                <w:t>reference to the Company’s Current Report on Form 8-K filed with the SEC on July 12, 2022)</w:t>
              </w:r>
            </w:hyperlink>
          </w:p>
        </w:tc>
        <w:tc>
          <w:tcPr>
            <w:tcW w:w="12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666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Transition and Consulting Agreement, dated July 11, 2022, between Lordstown Motors Corp.</w:t>
              </w:r>
            </w:hyperlink>
          </w:p>
        </w:tc>
        <w:tc>
          <w:tcPr>
            <w:tcW w:w="1020" w:type="dxa"/>
            <w:vAlign w:val="bottom"/>
            <w:gridSpan w:val="15"/>
          </w:tcPr>
          <w:p>
            <w:pPr>
              <w:ind w:left="20"/>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and Jane</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340" w:type="dxa"/>
            <w:vAlign w:val="bottom"/>
            <w:tcBorders>
              <w:top w:val="single" w:sz="8" w:color="0000EE"/>
              <w:bottom w:val="single" w:sz="8" w:color="0000EE"/>
            </w:tcBorders>
            <w:gridSpan w:val="13"/>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Ritson-Parsons (incorporated by reference to the Company’s Current Report on Form 8-K filed with the</w:t>
              </w:r>
            </w:hyperlink>
          </w:p>
        </w:tc>
        <w:tc>
          <w:tcPr>
            <w:tcW w:w="20" w:type="dxa"/>
            <w:vAlign w:val="bottom"/>
            <w:tcBorders>
              <w:bottom w:val="single" w:sz="8" w:color="0000EE"/>
            </w:tcBorders>
          </w:tcPr>
          <w:p>
            <w:pPr>
              <w:spacing w:after="0"/>
              <w:rPr>
                <w:sz w:val="14"/>
                <w:szCs w:val="14"/>
                <w:color w:val="auto"/>
              </w:rPr>
            </w:pPr>
          </w:p>
        </w:tc>
        <w:tc>
          <w:tcPr>
            <w:tcW w:w="240" w:type="dxa"/>
            <w:vAlign w:val="bottom"/>
            <w:gridSpan w:val="7"/>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10.6*</w:t>
            </w:r>
          </w:p>
        </w:tc>
        <w:tc>
          <w:tcPr>
            <w:tcW w:w="7360" w:type="dxa"/>
            <w:vAlign w:val="bottom"/>
            <w:gridSpan w:val="14"/>
          </w:tcPr>
          <w:p>
            <w:pPr>
              <w:spacing w:after="0" w:line="169" w:lineRule="exact"/>
              <w:rPr>
                <w:rFonts w:ascii="Arial" w:cs="Arial" w:eastAsia="Arial" w:hAnsi="Arial"/>
                <w:sz w:val="16"/>
                <w:szCs w:val="16"/>
                <w:color w:val="0000EE"/>
              </w:rPr>
            </w:pPr>
            <w:hyperlink r:id="rId55">
              <w:r>
                <w:rPr>
                  <w:rFonts w:ascii="Arial" w:cs="Arial" w:eastAsia="Arial" w:hAnsi="Arial"/>
                  <w:sz w:val="16"/>
                  <w:szCs w:val="16"/>
                  <w:color w:val="0000EE"/>
                </w:rPr>
                <w:t>SEC on July 12, 2022)</w:t>
              </w:r>
            </w:hyperlink>
          </w:p>
        </w:tc>
        <w:tc>
          <w:tcPr>
            <w:tcW w:w="240" w:type="dxa"/>
            <w:vAlign w:val="bottom"/>
            <w:gridSpan w:val="7"/>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162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0"/>
              </w:rPr>
              <w:t>Employment Agreement,</w:t>
            </w:r>
          </w:p>
        </w:tc>
        <w:tc>
          <w:tcPr>
            <w:tcW w:w="5340" w:type="dxa"/>
            <w:vAlign w:val="bottom"/>
            <w:tcBorders>
              <w:bottom w:val="single" w:sz="8" w:color="0000EE"/>
            </w:tcBorders>
            <w:gridSpan w:val="8"/>
          </w:tcPr>
          <w:p>
            <w:pPr>
              <w:ind w:left="200"/>
              <w:spacing w:after="0" w:line="169" w:lineRule="exact"/>
              <w:rPr>
                <w:sz w:val="20"/>
                <w:szCs w:val="20"/>
                <w:color w:val="auto"/>
              </w:rPr>
            </w:pPr>
            <w:r>
              <w:rPr>
                <w:rFonts w:ascii="Arial" w:cs="Arial" w:eastAsia="Arial" w:hAnsi="Arial"/>
                <w:sz w:val="16"/>
                <w:szCs w:val="16"/>
                <w:color w:val="0000EE"/>
              </w:rPr>
              <w:t>dated July 7, 2022, between Lordstown Motors Corp. and Donna L. Bell</w:t>
            </w:r>
          </w:p>
        </w:tc>
        <w:tc>
          <w:tcPr>
            <w:tcW w:w="7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10.7*</w:t>
            </w:r>
          </w:p>
        </w:tc>
        <w:tc>
          <w:tcPr>
            <w:tcW w:w="7680" w:type="dxa"/>
            <w:vAlign w:val="bottom"/>
            <w:gridSpan w:val="23"/>
          </w:tcPr>
          <w:p>
            <w:pPr>
              <w:spacing w:after="0" w:line="169" w:lineRule="exact"/>
              <w:rPr>
                <w:sz w:val="20"/>
                <w:szCs w:val="20"/>
                <w:color w:val="auto"/>
              </w:rPr>
            </w:pPr>
            <w:r>
              <w:rPr>
                <w:rFonts w:ascii="Arial" w:cs="Arial" w:eastAsia="Arial" w:hAnsi="Arial"/>
                <w:sz w:val="16"/>
                <w:szCs w:val="16"/>
                <w:color w:val="0000EE"/>
              </w:rPr>
              <w:t>Amended and Restated Employment Agreement, dated August 3, 2022, between Lordstown Motors Corp.</w:t>
            </w: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31.1*</w:t>
            </w:r>
          </w:p>
        </w:tc>
        <w:tc>
          <w:tcPr>
            <w:tcW w:w="1480" w:type="dxa"/>
            <w:vAlign w:val="bottom"/>
            <w:tcBorders>
              <w:top w:val="single" w:sz="8" w:color="0000EE"/>
              <w:bottom w:val="single" w:sz="8" w:color="0000EE"/>
            </w:tcBorders>
          </w:tcPr>
          <w:p>
            <w:pPr>
              <w:spacing w:after="0" w:line="169" w:lineRule="exact"/>
              <w:rPr>
                <w:sz w:val="20"/>
                <w:szCs w:val="20"/>
                <w:color w:val="auto"/>
              </w:rPr>
            </w:pPr>
            <w:r>
              <w:rPr>
                <w:rFonts w:ascii="Arial" w:cs="Arial" w:eastAsia="Arial" w:hAnsi="Arial"/>
                <w:sz w:val="16"/>
                <w:szCs w:val="16"/>
                <w:color w:val="0000EE"/>
                <w:w w:val="99"/>
              </w:rPr>
              <w:t>and Daniel Ninivaggi</w:t>
            </w:r>
          </w:p>
        </w:tc>
        <w:tc>
          <w:tcPr>
            <w:tcW w:w="6120" w:type="dxa"/>
            <w:vAlign w:val="bottom"/>
            <w:tcBorders>
              <w:top w:val="single" w:sz="8" w:color="0000EE"/>
            </w:tcBorders>
            <w:gridSpan w:val="20"/>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680" w:type="dxa"/>
            <w:vAlign w:val="bottom"/>
            <w:gridSpan w:val="23"/>
          </w:tcPr>
          <w:p>
            <w:pPr>
              <w:spacing w:after="0" w:line="169" w:lineRule="exact"/>
              <w:rPr>
                <w:sz w:val="20"/>
                <w:szCs w:val="20"/>
                <w:color w:val="auto"/>
              </w:rPr>
            </w:pPr>
            <w:r>
              <w:rPr>
                <w:rFonts w:ascii="Arial" w:cs="Arial" w:eastAsia="Arial" w:hAnsi="Arial"/>
                <w:sz w:val="16"/>
                <w:szCs w:val="16"/>
                <w:color w:val="auto"/>
              </w:rPr>
              <w:t>Certification of Principal Executive Officer pursuant to Rule 13a-14(a) or Rule 15d-14(a)</w:t>
            </w: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31.2*</w:t>
            </w:r>
          </w:p>
        </w:tc>
        <w:tc>
          <w:tcPr>
            <w:tcW w:w="62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6"/>
                <w:szCs w:val="16"/>
                <w:color w:val="auto"/>
              </w:rPr>
              <w:t>Certification of Principal Financial Officer pursuant to Rule 13a-14(a) or Rule 15d-14(a)</w:t>
            </w:r>
          </w:p>
        </w:tc>
        <w:tc>
          <w:tcPr>
            <w:tcW w:w="14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32.1*</w:t>
            </w:r>
          </w:p>
        </w:tc>
        <w:tc>
          <w:tcPr>
            <w:tcW w:w="6200" w:type="dxa"/>
            <w:vAlign w:val="bottom"/>
            <w:tcBorders>
              <w:top w:val="single" w:sz="8" w:color="auto"/>
            </w:tcBorders>
            <w:gridSpan w:val="6"/>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14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2860" w:type="dxa"/>
            <w:vAlign w:val="bottom"/>
            <w:tcBorders>
              <w:top w:val="single" w:sz="8" w:color="auto"/>
              <w:bottom w:val="single" w:sz="8" w:color="auto"/>
            </w:tcBorders>
            <w:gridSpan w:val="4"/>
          </w:tcPr>
          <w:p>
            <w:pPr>
              <w:spacing w:after="0" w:line="169" w:lineRule="exact"/>
              <w:rPr>
                <w:sz w:val="20"/>
                <w:szCs w:val="20"/>
                <w:color w:val="auto"/>
              </w:rPr>
            </w:pPr>
            <w:r>
              <w:rPr>
                <w:rFonts w:ascii="Arial" w:cs="Arial" w:eastAsia="Arial" w:hAnsi="Arial"/>
                <w:sz w:val="16"/>
                <w:szCs w:val="16"/>
                <w:color w:val="auto"/>
              </w:rPr>
              <w:t>Certification pursuant to 18 U.S.C. 1350</w:t>
            </w:r>
          </w:p>
        </w:tc>
        <w:tc>
          <w:tcPr>
            <w:tcW w:w="482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color w:val="auto"/>
              </w:rPr>
              <w:t>101.INS*</w:t>
            </w:r>
          </w:p>
        </w:tc>
        <w:tc>
          <w:tcPr>
            <w:tcW w:w="2860" w:type="dxa"/>
            <w:vAlign w:val="bottom"/>
            <w:gridSpan w:val="4"/>
          </w:tcPr>
          <w:p>
            <w:pPr>
              <w:spacing w:after="0" w:line="182" w:lineRule="exact"/>
              <w:rPr>
                <w:sz w:val="20"/>
                <w:szCs w:val="20"/>
                <w:color w:val="auto"/>
              </w:rPr>
            </w:pPr>
            <w:r>
              <w:rPr>
                <w:rFonts w:ascii="Arial" w:cs="Arial" w:eastAsia="Arial" w:hAnsi="Arial"/>
                <w:sz w:val="16"/>
                <w:szCs w:val="16"/>
                <w:color w:val="auto"/>
              </w:rPr>
              <w:t>Inline XBRL Instance Document – the</w:t>
            </w:r>
          </w:p>
        </w:tc>
        <w:tc>
          <w:tcPr>
            <w:tcW w:w="4820" w:type="dxa"/>
            <w:vAlign w:val="bottom"/>
            <w:gridSpan w:val="19"/>
          </w:tcPr>
          <w:p>
            <w:pPr>
              <w:spacing w:after="0" w:line="182" w:lineRule="exact"/>
              <w:rPr>
                <w:sz w:val="20"/>
                <w:szCs w:val="20"/>
                <w:color w:val="auto"/>
              </w:rPr>
            </w:pPr>
            <w:r>
              <w:rPr>
                <w:rFonts w:ascii="Arial" w:cs="Arial" w:eastAsia="Arial" w:hAnsi="Arial"/>
                <w:sz w:val="16"/>
                <w:szCs w:val="16"/>
                <w:color w:val="auto"/>
              </w:rPr>
              <w:t>instance document does not appear in the Interactive Data File</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7680" w:type="dxa"/>
            <w:vAlign w:val="bottom"/>
            <w:gridSpan w:val="23"/>
          </w:tcPr>
          <w:p>
            <w:pPr>
              <w:spacing w:after="0"/>
              <w:rPr>
                <w:sz w:val="20"/>
                <w:szCs w:val="20"/>
                <w:color w:val="auto"/>
              </w:rPr>
            </w:pPr>
            <w:r>
              <w:rPr>
                <w:rFonts w:ascii="Arial" w:cs="Arial" w:eastAsia="Arial" w:hAnsi="Arial"/>
                <w:sz w:val="16"/>
                <w:szCs w:val="16"/>
                <w:color w:val="auto"/>
              </w:rPr>
              <w:t>because its XBRL tags are embedded within the Inline XBRL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101.SCH*</w:t>
            </w:r>
          </w:p>
        </w:tc>
        <w:tc>
          <w:tcPr>
            <w:tcW w:w="7680" w:type="dxa"/>
            <w:vAlign w:val="bottom"/>
            <w:gridSpan w:val="23"/>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7680" w:type="dxa"/>
            <w:vAlign w:val="bottom"/>
            <w:gridSpan w:val="23"/>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101.DEF*</w:t>
            </w:r>
          </w:p>
        </w:tc>
        <w:tc>
          <w:tcPr>
            <w:tcW w:w="7680" w:type="dxa"/>
            <w:vAlign w:val="bottom"/>
            <w:gridSpan w:val="2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7680" w:type="dxa"/>
            <w:vAlign w:val="bottom"/>
            <w:gridSpan w:val="2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101.PRE*</w:t>
            </w:r>
          </w:p>
        </w:tc>
        <w:tc>
          <w:tcPr>
            <w:tcW w:w="7680" w:type="dxa"/>
            <w:vAlign w:val="bottom"/>
            <w:gridSpan w:val="2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189"/>
        </w:trPr>
        <w:tc>
          <w:tcPr>
            <w:tcW w:w="960" w:type="dxa"/>
            <w:vAlign w:val="bottom"/>
          </w:tcPr>
          <w:p>
            <w:pPr>
              <w:ind w:left="20"/>
              <w:spacing w:after="0"/>
              <w:rPr>
                <w:sz w:val="20"/>
                <w:szCs w:val="20"/>
                <w:color w:val="auto"/>
              </w:rPr>
            </w:pPr>
            <w:r>
              <w:rPr>
                <w:rFonts w:ascii="Arial" w:cs="Arial" w:eastAsia="Arial" w:hAnsi="Arial"/>
                <w:sz w:val="16"/>
                <w:szCs w:val="16"/>
                <w:color w:val="auto"/>
              </w:rPr>
              <w:t>Exhibit 104*</w:t>
            </w:r>
          </w:p>
        </w:tc>
        <w:tc>
          <w:tcPr>
            <w:tcW w:w="7680" w:type="dxa"/>
            <w:vAlign w:val="bottom"/>
            <w:gridSpan w:val="23"/>
          </w:tcPr>
          <w:p>
            <w:pPr>
              <w:spacing w:after="0"/>
              <w:rPr>
                <w:sz w:val="20"/>
                <w:szCs w:val="20"/>
                <w:color w:val="auto"/>
              </w:rPr>
            </w:pPr>
            <w:r>
              <w:rPr>
                <w:rFonts w:ascii="Arial" w:cs="Arial" w:eastAsia="Arial" w:hAnsi="Arial"/>
                <w:sz w:val="16"/>
                <w:szCs w:val="16"/>
                <w:color w:val="auto"/>
              </w:rPr>
              <w:t>Cover Page Interactive Data File – The cover page interactive data file does not appear in the Interactive</w:t>
            </w: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7680" w:type="dxa"/>
            <w:vAlign w:val="bottom"/>
            <w:gridSpan w:val="23"/>
          </w:tcPr>
          <w:p>
            <w:pPr>
              <w:spacing w:after="0"/>
              <w:rPr>
                <w:sz w:val="20"/>
                <w:szCs w:val="20"/>
                <w:color w:val="auto"/>
              </w:rPr>
            </w:pPr>
            <w:r>
              <w:rPr>
                <w:rFonts w:ascii="Arial" w:cs="Arial" w:eastAsia="Arial" w:hAnsi="Arial"/>
                <w:sz w:val="16"/>
                <w:szCs w:val="16"/>
                <w:color w:val="auto"/>
              </w:rPr>
              <w:t>Data File because its XBRL tags are embedded within the Inline XBRL document</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700" w:hanging="650"/>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247"/>
        </w:trPr>
        <w:tc>
          <w:tcPr>
            <w:tcW w:w="4460" w:type="dxa"/>
            <w:vAlign w:val="bottom"/>
          </w:tcPr>
          <w:p>
            <w:pPr>
              <w:spacing w:after="0"/>
              <w:rPr>
                <w:sz w:val="21"/>
                <w:szCs w:val="21"/>
                <w:color w:val="auto"/>
              </w:rPr>
            </w:pPr>
          </w:p>
        </w:tc>
        <w:tc>
          <w:tcPr>
            <w:tcW w:w="3440" w:type="dxa"/>
            <w:vAlign w:val="bottom"/>
            <w:gridSpan w:val="3"/>
          </w:tcPr>
          <w:p>
            <w:pPr>
              <w:spacing w:after="0"/>
              <w:rPr>
                <w:sz w:val="20"/>
                <w:szCs w:val="20"/>
                <w:color w:val="auto"/>
              </w:rPr>
            </w:pPr>
            <w:r>
              <w:rPr>
                <w:rFonts w:ascii="Arial" w:cs="Arial" w:eastAsia="Arial" w:hAnsi="Arial"/>
                <w:sz w:val="18"/>
                <w:szCs w:val="18"/>
                <w:b w:val="1"/>
                <w:bCs w:val="1"/>
                <w:color w:val="auto"/>
              </w:rPr>
              <w:t>LORDSTOWN MOTORS CORP.</w:t>
            </w:r>
          </w:p>
        </w:tc>
      </w:tr>
      <w:tr>
        <w:trPr>
          <w:trHeight w:val="568"/>
        </w:trPr>
        <w:tc>
          <w:tcPr>
            <w:tcW w:w="4460" w:type="dxa"/>
            <w:vAlign w:val="bottom"/>
          </w:tcPr>
          <w:p>
            <w:pPr>
              <w:spacing w:after="0"/>
              <w:rPr>
                <w:sz w:val="20"/>
                <w:szCs w:val="20"/>
                <w:color w:val="auto"/>
              </w:rPr>
            </w:pPr>
            <w:r>
              <w:rPr>
                <w:rFonts w:ascii="Arial" w:cs="Arial" w:eastAsia="Arial" w:hAnsi="Arial"/>
                <w:sz w:val="18"/>
                <w:szCs w:val="18"/>
                <w:color w:val="auto"/>
              </w:rPr>
              <w:t>Date: August 4,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Edward T. Hightower</w:t>
            </w:r>
          </w:p>
        </w:tc>
      </w:tr>
      <w:tr>
        <w:trPr>
          <w:trHeight w:val="191"/>
        </w:trPr>
        <w:tc>
          <w:tcPr>
            <w:tcW w:w="4460" w:type="dxa"/>
            <w:vAlign w:val="bottom"/>
          </w:tcPr>
          <w:p>
            <w:pPr>
              <w:spacing w:after="0"/>
              <w:rPr>
                <w:sz w:val="16"/>
                <w:szCs w:val="16"/>
                <w:color w:val="auto"/>
              </w:rPr>
            </w:pPr>
          </w:p>
        </w:tc>
        <w:tc>
          <w:tcPr>
            <w:tcW w:w="190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color w:val="auto"/>
              </w:rPr>
              <w:t>Edward T. Hightower</w:t>
            </w:r>
          </w:p>
        </w:tc>
        <w:tc>
          <w:tcPr>
            <w:tcW w:w="154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Executive Officer and President</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360"/>
        </w:trPr>
        <w:tc>
          <w:tcPr>
            <w:tcW w:w="4460" w:type="dxa"/>
            <w:vAlign w:val="bottom"/>
          </w:tcPr>
          <w:p>
            <w:pPr>
              <w:spacing w:after="0"/>
              <w:rPr>
                <w:sz w:val="20"/>
                <w:szCs w:val="20"/>
                <w:color w:val="auto"/>
              </w:rPr>
            </w:pPr>
            <w:r>
              <w:rPr>
                <w:rFonts w:ascii="Arial" w:cs="Arial" w:eastAsia="Arial" w:hAnsi="Arial"/>
                <w:sz w:val="18"/>
                <w:szCs w:val="18"/>
                <w:color w:val="auto"/>
              </w:rPr>
              <w:t>Date: August 4, 2022</w:t>
            </w:r>
          </w:p>
        </w:tc>
        <w:tc>
          <w:tcPr>
            <w:tcW w:w="3440" w:type="dxa"/>
            <w:vAlign w:val="bottom"/>
            <w:gridSpan w:val="3"/>
          </w:tcPr>
          <w:p>
            <w:pPr>
              <w:spacing w:after="0"/>
              <w:rPr>
                <w:sz w:val="20"/>
                <w:szCs w:val="20"/>
                <w:color w:val="auto"/>
              </w:rPr>
            </w:pPr>
            <w:r>
              <w:rPr>
                <w:rFonts w:ascii="Arial" w:cs="Arial" w:eastAsia="Arial" w:hAnsi="Arial"/>
                <w:sz w:val="18"/>
                <w:szCs w:val="18"/>
                <w:color w:val="auto"/>
              </w:rPr>
              <w:t>/s/ Adam Kroll</w:t>
            </w:r>
          </w:p>
        </w:tc>
      </w:tr>
      <w:tr>
        <w:trPr>
          <w:trHeight w:val="191"/>
        </w:trPr>
        <w:tc>
          <w:tcPr>
            <w:tcW w:w="446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Adam Kroll</w:t>
            </w:r>
          </w:p>
        </w:tc>
        <w:tc>
          <w:tcPr>
            <w:tcW w:w="2320" w:type="dxa"/>
            <w:vAlign w:val="bottom"/>
            <w:gridSpan w:val="2"/>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3440" w:type="dxa"/>
            <w:vAlign w:val="bottom"/>
            <w:gridSpan w:val="3"/>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9"/>
        </w:trPr>
        <w:tc>
          <w:tcPr>
            <w:tcW w:w="4460" w:type="dxa"/>
            <w:vAlign w:val="bottom"/>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w w:val="99"/>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8"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made and entered into as of July 7, 2022, is by and between Lordstown Motors Corp., a Delaware corporation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Donna L. Bell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xml:space="preserve">”). Certain capitalized terms shall have the meaning given to them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below.</w:t>
      </w:r>
    </w:p>
    <w:p>
      <w:pPr>
        <w:spacing w:after="0" w:line="173"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WHEREAS, Company and Executive desire to enter into an employment agreement on the terms and conditions set forth herein;</w:t>
      </w:r>
    </w:p>
    <w:p>
      <w:pPr>
        <w:spacing w:after="0" w:line="158"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21"/>
          <w:szCs w:val="21"/>
          <w:color w:val="auto"/>
        </w:rPr>
        <w:t>WHEREAS, Company considers Executive a “key executive” and agrees to provide Executive the significant consideration described in this Agreement as and for Company’s retention of Executive; and</w:t>
      </w:r>
    </w:p>
    <w:p>
      <w:pPr>
        <w:spacing w:after="0" w:line="135"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22"/>
          <w:szCs w:val="22"/>
          <w:color w:val="auto"/>
        </w:rPr>
        <w:t>WHEREAS, Company and Executive desire to enter into this Agreement as of the date hereof and this Agreement shall supersede all prior employment terms and conditions, whether or not in writing.</w:t>
      </w:r>
    </w:p>
    <w:p>
      <w:pPr>
        <w:spacing w:after="0" w:line="158" w:lineRule="exact"/>
        <w:rPr>
          <w:sz w:val="20"/>
          <w:szCs w:val="20"/>
          <w:color w:val="auto"/>
        </w:rPr>
      </w:pPr>
    </w:p>
    <w:p>
      <w:pPr>
        <w:ind w:right="320"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and of the covenants and agreements hereinafter contained, and other good and valuable consideration, the receipt and sufficiency of which are hereby acknowledged, the parties hereto do hereby covenant and agree as follows:</w:t>
      </w:r>
    </w:p>
    <w:p>
      <w:pPr>
        <w:spacing w:after="0" w:line="173" w:lineRule="exact"/>
        <w:rPr>
          <w:sz w:val="20"/>
          <w:szCs w:val="20"/>
          <w:color w:val="auto"/>
        </w:rPr>
      </w:pPr>
    </w:p>
    <w:p>
      <w:pPr>
        <w:ind w:right="40" w:firstLine="656"/>
        <w:spacing w:after="0" w:line="235"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Subject to the terms and conditions of this Agreement, Company hereby agrees to employ Executive as the Executive Vice President, Product Creation, Engineering and Supply Chain (“</w:t>
      </w:r>
      <w:r>
        <w:rPr>
          <w:rFonts w:ascii="Times New Roman" w:cs="Times New Roman" w:eastAsia="Times New Roman" w:hAnsi="Times New Roman"/>
          <w:sz w:val="22"/>
          <w:szCs w:val="22"/>
          <w:u w:val="single" w:color="auto"/>
          <w:color w:val="auto"/>
        </w:rPr>
        <w:t>EVP - Creation/Engineering/Supply</w:t>
      </w:r>
      <w:r>
        <w:rPr>
          <w:rFonts w:ascii="Times New Roman" w:cs="Times New Roman" w:eastAsia="Times New Roman" w:hAnsi="Times New Roman"/>
          <w:sz w:val="22"/>
          <w:szCs w:val="22"/>
          <w:color w:val="auto"/>
        </w:rPr>
        <w:t>”) of Company during the Employment Period (as defined herein), and Executive hereby agrees to be employed by Company and provide services for and on behalf of Company, the Subsidiaries, MIH EV Design LLC and other entities in which the Company or a Subsidiary has an interest during the Employment Period subject to and in accordance with this Agreement. The period from July 11, 2022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until the Termination Date shall be referred to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Executive agrees that, during the Employment Period, Executive will serve Company diligently and in good faith and will, subject to the exceptions below, devote her full business time, energies and talents to serving as the EVP - Creation/Engineering/Supply of Company and to providing services to, or holding offices with, Subsidiaries, MIH EV Design LLC and other entities in which the Company or a Subsidiary has an interest, subject to and at the direction of Company’s President (the “</w:t>
      </w:r>
      <w:r>
        <w:rPr>
          <w:rFonts w:ascii="Times New Roman" w:cs="Times New Roman" w:eastAsia="Times New Roman" w:hAnsi="Times New Roman"/>
          <w:sz w:val="21"/>
          <w:szCs w:val="21"/>
          <w:u w:val="single" w:color="auto"/>
          <w:color w:val="auto"/>
        </w:rPr>
        <w:t>President</w:t>
      </w:r>
      <w:r>
        <w:rPr>
          <w:rFonts w:ascii="Times New Roman" w:cs="Times New Roman" w:eastAsia="Times New Roman" w:hAnsi="Times New Roman"/>
          <w:sz w:val="21"/>
          <w:szCs w:val="21"/>
          <w:color w:val="auto"/>
        </w:rPr>
        <w:t>”). Executive shall: (a) have such duties and responsibilities commensurate with her position as EVP - Creation/Engineering/Supply and as may be reasonably assigned to Executive from time to time by the President; (b) perform all lawful duties assigned to Executive in good faith, subject to the reasonable direction of the President; and (c) act in accordance with written Company policies as may be in effect from time to time. Notwithstanding the foregoing, during the Employment Period, Executive may devote reasonable time to activities other than those required under this Agreement, including activities of a charitable, educational, religious or similar nature (including professional associations); provided such activities do not inhibit, prohibit, interfere with or breach any of Executive’s duties under this Agreement or common law, or otherwise conflict in any material way with the Company Business.</w:t>
      </w:r>
    </w:p>
    <w:p>
      <w:pPr>
        <w:spacing w:after="0" w:line="183" w:lineRule="exact"/>
        <w:rPr>
          <w:rFonts w:ascii="Times New Roman" w:cs="Times New Roman" w:eastAsia="Times New Roman" w:hAnsi="Times New Roman"/>
          <w:sz w:val="21"/>
          <w:szCs w:val="21"/>
          <w:color w:val="auto"/>
        </w:rPr>
      </w:pPr>
    </w:p>
    <w:p>
      <w:pPr>
        <w:ind w:right="60" w:firstLine="656"/>
        <w:spacing w:after="0" w:line="239" w:lineRule="auto"/>
        <w:tabs>
          <w:tab w:leader="none" w:pos="129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Subject to the terms and conditions of this Agreement, Company shall pay Executive, and Executive agrees to accept from Company, as compensation in full for her services to be performed hereunder and for the faithful performance and observance of all of her obligations to Company hereunder, the following annual salary and other compensation during the Employment Period:</w:t>
      </w:r>
    </w:p>
    <w:p>
      <w:pPr>
        <w:spacing w:after="0" w:line="180" w:lineRule="exact"/>
        <w:rPr>
          <w:rFonts w:ascii="Times New Roman" w:cs="Times New Roman" w:eastAsia="Times New Roman" w:hAnsi="Times New Roman"/>
          <w:sz w:val="22"/>
          <w:szCs w:val="22"/>
          <w:color w:val="auto"/>
        </w:rPr>
      </w:pPr>
    </w:p>
    <w:p>
      <w:pPr>
        <w:jc w:val="both"/>
        <w:ind w:right="200" w:firstLine="1304"/>
        <w:spacing w:after="0" w:line="239" w:lineRule="auto"/>
        <w:tabs>
          <w:tab w:leader="none" w:pos="1944"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Company shall pay to Executive a base salary in the amount of $450,000 per annum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payable in equal periodic installments less all customary payroll deductions (with such annual salary for any part of a month to be paid on a pro- rated basis), in accordance with customary policies and normal payroll practices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0" w:name="page41"/>
    <w:bookmarkEnd w:id="40"/>
    <w:p>
      <w:pPr>
        <w:ind w:left="-460" w:right="200" w:firstLine="1304"/>
        <w:spacing w:after="0"/>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Executive shall be eligible to receive an annual bonus during the Employment Period with an annual target bonus equal to 80% of Annual Base Salary, based on Company and individual performance and subject to the discretion of Company’s board of directors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or a committee thereof.</w:t>
      </w:r>
    </w:p>
    <w:p>
      <w:pPr>
        <w:spacing w:after="0" w:line="176" w:lineRule="exact"/>
        <w:rPr>
          <w:rFonts w:ascii="Times New Roman" w:cs="Times New Roman" w:eastAsia="Times New Roman" w:hAnsi="Times New Roman"/>
          <w:sz w:val="22"/>
          <w:szCs w:val="22"/>
          <w:color w:val="010000"/>
        </w:rPr>
      </w:pPr>
    </w:p>
    <w:p>
      <w:pPr>
        <w:ind w:left="-460" w:right="120" w:firstLine="1304"/>
        <w:spacing w:after="0" w:line="236" w:lineRule="auto"/>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From the Effective Date and during the Employment Period, Executive and Executive’s dependents, as the case may be, shall be eligible to participate in all executive plans and programs as in effect from time to time thereof generally available to other executives of Company and subject to the terms and conditions thereof, including a 401(k) Plan, medical and dental, and disability benefits. Notwithstanding the foregoing, Company shall be permitted to amend, add to or eliminate the benefit plans at any time and at Company’s sole discretion.</w:t>
      </w:r>
    </w:p>
    <w:p>
      <w:pPr>
        <w:spacing w:after="0" w:line="181" w:lineRule="exact"/>
        <w:rPr>
          <w:rFonts w:ascii="Times New Roman" w:cs="Times New Roman" w:eastAsia="Times New Roman" w:hAnsi="Times New Roman"/>
          <w:sz w:val="22"/>
          <w:szCs w:val="22"/>
          <w:color w:val="010000"/>
        </w:rPr>
      </w:pPr>
    </w:p>
    <w:p>
      <w:pPr>
        <w:ind w:left="-460" w:right="100" w:firstLine="1304"/>
        <w:spacing w:after="0" w:line="238" w:lineRule="auto"/>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shall be entitled to vacation time consistent with Company’s established programs and policies as may be in effect during the Employment Period; provided that Executive shall be entitled to four weeks of vacation per year (which, if not used in a fiscal year, will not be carried to the next fiscal year). If Executive uses any unaccrued vacation prior to the termination of her employment, Company shall deduct the equivalent amount from her final paycheck.</w:t>
      </w:r>
    </w:p>
    <w:p>
      <w:pPr>
        <w:spacing w:after="0" w:line="176" w:lineRule="exact"/>
        <w:rPr>
          <w:rFonts w:ascii="Times New Roman" w:cs="Times New Roman" w:eastAsia="Times New Roman" w:hAnsi="Times New Roman"/>
          <w:sz w:val="22"/>
          <w:szCs w:val="22"/>
          <w:color w:val="010000"/>
        </w:rPr>
      </w:pPr>
    </w:p>
    <w:p>
      <w:pPr>
        <w:ind w:left="-460" w:firstLine="1304"/>
        <w:spacing w:after="0" w:line="234" w:lineRule="auto"/>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reimbursed by Company, on terms and conditions that are substantially similar to those that apply to other similarly situated executives of Company, for reasonable out-of-pocket expenses for entertainment, travel, meals, lodging and similar items which are actually incurred by Executive in connection with the Company Business. Executive’s position with Company will be based at Company’s location in Michigan. From the Effective Date and during the Employment Period, Company shall reimburse Executive for reasonable travel expenses, including to Company’s California and Ohio facilities. Notwithstanding anything to the contrary in this Section 3(e), Company shall be required to reimburse Executive for the expenses described in this Section 3(e) only to the extent that Executive complies with the policies, practices and procedures of Company for incurring expenses and submitting expense reports, receipts, or similar documentation of any such expenses.</w:t>
      </w:r>
    </w:p>
    <w:p>
      <w:pPr>
        <w:spacing w:after="0" w:line="179" w:lineRule="exact"/>
        <w:rPr>
          <w:rFonts w:ascii="Times New Roman" w:cs="Times New Roman" w:eastAsia="Times New Roman" w:hAnsi="Times New Roman"/>
          <w:sz w:val="22"/>
          <w:szCs w:val="22"/>
          <w:color w:val="010000"/>
        </w:rPr>
      </w:pPr>
    </w:p>
    <w:p>
      <w:pPr>
        <w:ind w:left="-460" w:right="40" w:firstLine="1304"/>
        <w:spacing w:after="0" w:line="232" w:lineRule="auto"/>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In connection with the commencement of Executive’s employment with Company, on the Effective Date, Executive will be granted an award of (i) 90,000 stock options with an exercise price per share equal to 125% of the closing price per share on the Effective Date, provided that such exercise price will be no less than 125% of the closing price per share on the date of this Agreement (the “</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(ii) 270,000 restricted stock units (the “</w:t>
      </w:r>
      <w:r>
        <w:rPr>
          <w:rFonts w:ascii="Times New Roman" w:cs="Times New Roman" w:eastAsia="Times New Roman" w:hAnsi="Times New Roman"/>
          <w:sz w:val="22"/>
          <w:szCs w:val="22"/>
          <w:u w:val="single" w:color="auto"/>
          <w:color w:val="auto"/>
        </w:rPr>
        <w:t>Standard RSUs</w:t>
      </w:r>
      <w:r>
        <w:rPr>
          <w:rFonts w:ascii="Times New Roman" w:cs="Times New Roman" w:eastAsia="Times New Roman" w:hAnsi="Times New Roman"/>
          <w:sz w:val="22"/>
          <w:szCs w:val="22"/>
          <w:color w:val="auto"/>
        </w:rPr>
        <w:t>”), (iii) 90,000 performance-based restricted stock units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and (iv) 250,000 restricted stock units (the “</w:t>
      </w:r>
      <w:r>
        <w:rPr>
          <w:rFonts w:ascii="Times New Roman" w:cs="Times New Roman" w:eastAsia="Times New Roman" w:hAnsi="Times New Roman"/>
          <w:sz w:val="22"/>
          <w:szCs w:val="22"/>
          <w:u w:val="single" w:color="auto"/>
          <w:color w:val="auto"/>
        </w:rPr>
        <w:t>Inducement RSUs</w:t>
      </w:r>
      <w:r>
        <w:rPr>
          <w:rFonts w:ascii="Times New Roman" w:cs="Times New Roman" w:eastAsia="Times New Roman" w:hAnsi="Times New Roman"/>
          <w:sz w:val="22"/>
          <w:szCs w:val="22"/>
          <w:color w:val="auto"/>
        </w:rPr>
        <w:t>”), each pursuant to the 2020 Incentive Plan, subject to the terms and conditions set forth in award agreements between Company and Executive. One-third of the Options and one-third of the Standard RSUs will vest on each of August 15, 2023, August 15, 2024 and August 15, 2025, respectively, subject to Executive’s continued employment in good standing with Company through each such vesting date. The PSUs will vest on the date that the compensation committee of Company determines that the Performance Metrics have been achieved. The Inducement RSUs shall vest over three years, with 60% vesting on August 15, 2023, 30% vesting on the second anniversary of August 15, 2024 and 10% vesting on August 15, 2025, subject to Executive’s continued employment in good standing with Company through each such vesting date. Company intends to make annual equity compensation awards and Executive will be eligible for annual equity awards based on Executive’s seniority. It is expected that Executive will receive equity awards in each of 2023 and 2024, respectively, subject to Executive’s and Company’s performance. All stock options granted by Company to Executive shall permit Executive to exercise vested options for up to six months following termination of employment for any reason other than Cause (but in no event later than the full option term).</w:t>
      </w:r>
    </w:p>
    <w:p>
      <w:pPr>
        <w:spacing w:after="0" w:line="186" w:lineRule="exact"/>
        <w:rPr>
          <w:rFonts w:ascii="Times New Roman" w:cs="Times New Roman" w:eastAsia="Times New Roman" w:hAnsi="Times New Roman"/>
          <w:sz w:val="22"/>
          <w:szCs w:val="22"/>
          <w:color w:val="010000"/>
        </w:rPr>
      </w:pPr>
    </w:p>
    <w:p>
      <w:pPr>
        <w:jc w:val="both"/>
        <w:ind w:left="-460" w:firstLine="1304"/>
        <w:spacing w:after="0" w:line="244" w:lineRule="auto"/>
        <w:tabs>
          <w:tab w:leader="none" w:pos="1484"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 D&amp;O coverage</w:t>
      </w:r>
      <w:r>
        <w:rPr>
          <w:rFonts w:ascii="Times New Roman" w:cs="Times New Roman" w:eastAsia="Times New Roman" w:hAnsi="Times New Roman"/>
          <w:sz w:val="22"/>
          <w:szCs w:val="22"/>
          <w:color w:val="auto"/>
        </w:rPr>
        <w:t>. At all times, during the Employment Period, (i) Executive shall be eligible for indemnification (including the advancement of attorneys’ fees) pursuant to Company’s bylaws to the fullest extent of the law, and (ii) Executive shall be covered by Company’s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333375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12" w:right="1019" w:bottom="1440" w:gutter="0" w:footer="0" w:header="0"/>
        </w:sectPr>
      </w:pPr>
    </w:p>
    <w:bookmarkStart w:id="41" w:name="page42"/>
    <w:bookmarkEnd w:id="41"/>
    <w:p>
      <w:pPr>
        <w:spacing w:after="0" w:line="259" w:lineRule="auto"/>
        <w:rPr>
          <w:sz w:val="20"/>
          <w:szCs w:val="20"/>
          <w:color w:val="auto"/>
        </w:rPr>
      </w:pPr>
      <w:r>
        <w:rPr>
          <w:rFonts w:ascii="Times New Roman" w:cs="Times New Roman" w:eastAsia="Times New Roman" w:hAnsi="Times New Roman"/>
          <w:sz w:val="22"/>
          <w:szCs w:val="22"/>
          <w:color w:val="auto"/>
        </w:rPr>
        <w:t>and officers’ insurance policy (the “</w:t>
      </w:r>
      <w:r>
        <w:rPr>
          <w:rFonts w:ascii="Times New Roman" w:cs="Times New Roman" w:eastAsia="Times New Roman" w:hAnsi="Times New Roman"/>
          <w:sz w:val="22"/>
          <w:szCs w:val="22"/>
          <w:u w:val="single" w:color="auto"/>
          <w:color w:val="auto"/>
        </w:rPr>
        <w:t>D&amp;O Insurance Policy</w:t>
      </w:r>
      <w:r>
        <w:rPr>
          <w:rFonts w:ascii="Times New Roman" w:cs="Times New Roman" w:eastAsia="Times New Roman" w:hAnsi="Times New Roman"/>
          <w:sz w:val="22"/>
          <w:szCs w:val="22"/>
          <w:color w:val="auto"/>
        </w:rPr>
        <w:t>”) that generally applies to the Company’s directors and officers.</w:t>
      </w:r>
    </w:p>
    <w:p>
      <w:pPr>
        <w:spacing w:after="0" w:line="15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right="400" w:firstLine="1304"/>
        <w:spacing w:after="0" w:line="244" w:lineRule="auto"/>
        <w:tabs>
          <w:tab w:leader="none" w:pos="1944" w:val="left"/>
        </w:tabs>
        <w:numPr>
          <w:ilvl w:val="1"/>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Executive’s employment hereunder shall commence on the Effective Date and continue until terminated. The effective date of any termination hereunder shall be referred to as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Executive’s employment hereunder may be terminated on the following terms</w:t>
      </w:r>
    </w:p>
    <w:p>
      <w:pPr>
        <w:spacing w:after="0" w:line="25"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and conditions:</w:t>
      </w:r>
    </w:p>
    <w:p>
      <w:pPr>
        <w:spacing w:after="0" w:line="182" w:lineRule="exact"/>
        <w:rPr>
          <w:sz w:val="20"/>
          <w:szCs w:val="20"/>
          <w:color w:val="auto"/>
        </w:rPr>
      </w:pPr>
    </w:p>
    <w:p>
      <w:pPr>
        <w:ind w:right="820" w:firstLine="1304"/>
        <w:spacing w:after="0" w:line="258" w:lineRule="auto"/>
        <w:tabs>
          <w:tab w:leader="none" w:pos="1944"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Company for Cause, effective upon written notice from Company to Executive, following the expiration, without cure, of any applicable cure period;</w:t>
      </w:r>
    </w:p>
    <w:p>
      <w:pPr>
        <w:spacing w:after="0" w:line="158" w:lineRule="exact"/>
        <w:rPr>
          <w:rFonts w:ascii="Times New Roman" w:cs="Times New Roman" w:eastAsia="Times New Roman" w:hAnsi="Times New Roman"/>
          <w:sz w:val="22"/>
          <w:szCs w:val="22"/>
          <w:color w:val="010000"/>
        </w:rPr>
      </w:pPr>
    </w:p>
    <w:p>
      <w:pPr>
        <w:ind w:right="40" w:firstLine="1304"/>
        <w:spacing w:after="0" w:line="244" w:lineRule="auto"/>
        <w:tabs>
          <w:tab w:leader="none" w:pos="1944"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Company for any reason other than for Cause, effective 30 days following written notice from Company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Company may place Executive on paid leave during any portion of such 30 day period;</w:t>
      </w:r>
    </w:p>
    <w:p>
      <w:pPr>
        <w:spacing w:after="0" w:line="173" w:lineRule="exact"/>
        <w:rPr>
          <w:rFonts w:ascii="Times New Roman" w:cs="Times New Roman" w:eastAsia="Times New Roman" w:hAnsi="Times New Roman"/>
          <w:sz w:val="22"/>
          <w:szCs w:val="22"/>
          <w:color w:val="010000"/>
        </w:rPr>
      </w:pPr>
    </w:p>
    <w:p>
      <w:pPr>
        <w:ind w:right="200" w:firstLine="1304"/>
        <w:spacing w:after="0" w:line="244" w:lineRule="auto"/>
        <w:tabs>
          <w:tab w:leader="none" w:pos="1944"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Executive for any reason, effective 30 days following written notice from Executive to Company or any earlier date as may be determined by Company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Company may place Executive on paid leave during any portion of such period; or</w:t>
      </w:r>
    </w:p>
    <w:p>
      <w:pPr>
        <w:spacing w:after="0" w:line="173"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Change of Control as defined herein.</w:t>
      </w:r>
    </w:p>
    <w:p>
      <w:pPr>
        <w:spacing w:after="0" w:line="206" w:lineRule="exact"/>
        <w:rPr>
          <w:sz w:val="20"/>
          <w:szCs w:val="20"/>
          <w:color w:val="auto"/>
        </w:rPr>
      </w:pPr>
    </w:p>
    <w:p>
      <w:pPr>
        <w:ind w:right="40" w:firstLine="1304"/>
        <w:spacing w:after="0" w:line="235" w:lineRule="auto"/>
        <w:tabs>
          <w:tab w:leader="none" w:pos="1944"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Death/Disability</w:t>
      </w:r>
      <w:r>
        <w:rPr>
          <w:rFonts w:ascii="Times New Roman" w:cs="Times New Roman" w:eastAsia="Times New Roman" w:hAnsi="Times New Roman"/>
          <w:sz w:val="22"/>
          <w:szCs w:val="22"/>
          <w:color w:val="auto"/>
        </w:rPr>
        <w:t xml:space="preserve">. This Agreement and Executive’s employment hereunder shall terminate immediately and automatically by reason of Executive’s death or Disability and Executive (or her estate) shall receive all vested equity awards and pro rata vesting of unvested equity awards (based on the number of full or partial months served from the most recent vesting event to the date Executive’s Termination Date); provided, that the pro rata portion any outstanding and unvested PSUs shall be determined based on the actual level of achievement of the applicable Performance Metrics. In the event Executive’s employment with Company terminates, for any reason whatsoever, including death or Disability, Executive shall be entitled to the benefits described in </w:t>
      </w:r>
      <w:r>
        <w:rPr>
          <w:rFonts w:ascii="Times New Roman" w:cs="Times New Roman" w:eastAsia="Times New Roman" w:hAnsi="Times New Roman"/>
          <w:sz w:val="22"/>
          <w:szCs w:val="22"/>
          <w:u w:val="single" w:color="auto"/>
          <w:color w:val="auto"/>
        </w:rPr>
        <w:t>Section 4(f)</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20" w:firstLine="1304"/>
        <w:spacing w:after="0" w:line="244" w:lineRule="auto"/>
        <w:tabs>
          <w:tab w:leader="none" w:pos="1944" w:val="left"/>
        </w:tabs>
        <w:numPr>
          <w:ilvl w:val="0"/>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of a Termination Upon Change of Control, or if Company terminates Executive’s employment other than for Cause or Executive resigns for Good Reason, Executive shall be entitled to receive an amount equal to the sum of six months of Executive’s Annual Base Salary and $25,000, which shall be paid according to the following schedule (subject to </w:t>
      </w:r>
      <w:r>
        <w:rPr>
          <w:rFonts w:ascii="Times New Roman" w:cs="Times New Roman" w:eastAsia="Times New Roman" w:hAnsi="Times New Roman"/>
          <w:sz w:val="21"/>
          <w:szCs w:val="21"/>
          <w:u w:val="single" w:color="auto"/>
          <w:color w:val="auto"/>
        </w:rPr>
        <w:t>Section 4(d)(iv)</w:t>
      </w:r>
      <w:r>
        <w:rPr>
          <w:rFonts w:ascii="Times New Roman" w:cs="Times New Roman" w:eastAsia="Times New Roman" w:hAnsi="Times New Roman"/>
          <w:sz w:val="21"/>
          <w:szCs w:val="21"/>
          <w:color w:val="auto"/>
        </w:rPr>
        <w:t>): (a) a lump sum payment equal to one-half of such amount shall be payable within ten days of following the Termination Date, and (b) one-fourth of the balance of such amount shall be payable within ten days of each of the three-month, six-month, nine-month and 12 month anniversaries of the Termination Date (and in each case no interest shall accrue on such amount); provided, however, that if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would otherwise apply to such cash severance payment, it instead shall be paid at such time as permitted by Section</w:t>
      </w:r>
    </w:p>
    <w:p>
      <w:pPr>
        <w:spacing w:after="0" w:line="1" w:lineRule="exact"/>
        <w:rPr>
          <w:rFonts w:ascii="Times New Roman" w:cs="Times New Roman" w:eastAsia="Times New Roman" w:hAnsi="Times New Roman"/>
          <w:sz w:val="21"/>
          <w:szCs w:val="21"/>
          <w:color w:val="010000"/>
        </w:rPr>
      </w:pPr>
    </w:p>
    <w:p>
      <w:pPr>
        <w:spacing w:after="0" w:line="232"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409A of the Code. In addition to the foregoing severance payment, in the event of Executive’s termination for any reason other than (i) Cause or (ii) Executive’s resignation without Good Reason, Executive shall be entitled to receive, within ten days following the termination, a lump sum payment equal to 100% of (a) any actual bonus amount earned with respect to a previous year to the extent that all the conditions for payment of such bonus have been satisfied (excluding any requirement to be in employment with Company as of a given date which is after the Termination Date) and any such bonus was earned but is unpaid on the Termination Date; and (b) the target bonus then in effect for Executive for the year in which such termination occurs to the extent that all the conditions for payment of such bonus are satisfied (excluding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2" w:name="page43"/>
    <w:bookmarkEnd w:id="42"/>
    <w:p>
      <w:pPr>
        <w:ind w:right="80"/>
        <w:spacing w:after="0" w:line="235" w:lineRule="auto"/>
        <w:rPr>
          <w:sz w:val="20"/>
          <w:szCs w:val="20"/>
          <w:color w:val="auto"/>
        </w:rPr>
      </w:pPr>
      <w:r>
        <w:rPr>
          <w:rFonts w:ascii="Times New Roman" w:cs="Times New Roman" w:eastAsia="Times New Roman" w:hAnsi="Times New Roman"/>
          <w:sz w:val="22"/>
          <w:szCs w:val="22"/>
          <w:color w:val="auto"/>
        </w:rPr>
        <w:t>requirement to be in employment with Company as of a given date which is after the Termination Date), such payment to be prorated to reflect the full number of months Executive remained in the employ of Company; provided, however, that if Section 409A of the Code would otherwise apply to such cash payment, it instead shall be paid at such time as permitted by Section 409A of the Code. To illustrate, if Executive’s target bonus at 100% equals $120,000 for the calendar year and Executive is terminated on October 15th, then the foregoing payment shall equal $100,000 (i.e., ten (10) months’ prorated bonus at one hundred percent (100%) with October counting as a full month worked).</w:t>
      </w:r>
    </w:p>
    <w:p>
      <w:pPr>
        <w:spacing w:after="0" w:line="184" w:lineRule="exact"/>
        <w:rPr>
          <w:sz w:val="20"/>
          <w:szCs w:val="20"/>
          <w:color w:val="auto"/>
        </w:rPr>
      </w:pPr>
    </w:p>
    <w:p>
      <w:pPr>
        <w:ind w:right="40" w:firstLine="1304"/>
        <w:spacing w:after="0" w:line="249" w:lineRule="auto"/>
        <w:tabs>
          <w:tab w:leader="none" w:pos="1944"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anything in this Agreement to the contrary, payments to be made upon a termination of employment under this Agreement will be made upon a “separation from service” within the meaning of Section 409A of the Code. Each payment under this Agreement shall be treated as a separate payment for purposes of Section 409A of the Code. To the maximum extent permissible payments under this Agreement shall be treated as exempt from Section 409A first pursuant to the exception for short-term deferrals, then pursuant to the exception for payments related to separations from service, and then for de minimis amounts</w:t>
      </w:r>
    </w:p>
    <w:p>
      <w:pPr>
        <w:spacing w:after="0" w:line="170" w:lineRule="exact"/>
        <w:rPr>
          <w:rFonts w:ascii="Times New Roman" w:cs="Times New Roman" w:eastAsia="Times New Roman" w:hAnsi="Times New Roman"/>
          <w:sz w:val="21"/>
          <w:szCs w:val="21"/>
          <w:color w:val="010000"/>
        </w:rPr>
      </w:pPr>
    </w:p>
    <w:p>
      <w:pPr>
        <w:ind w:right="40" w:firstLine="1304"/>
        <w:spacing w:after="0" w:line="251" w:lineRule="auto"/>
        <w:tabs>
          <w:tab w:leader="none" w:pos="1944" w:val="left"/>
        </w:tabs>
        <w:numPr>
          <w:ilvl w:val="0"/>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Executive shall forfeit all rights to payment of severance pursuant to this </w:t>
      </w:r>
      <w:r>
        <w:rPr>
          <w:rFonts w:ascii="Times New Roman" w:cs="Times New Roman" w:eastAsia="Times New Roman" w:hAnsi="Times New Roman"/>
          <w:sz w:val="21"/>
          <w:szCs w:val="21"/>
          <w:u w:val="single" w:color="auto"/>
          <w:color w:val="auto"/>
        </w:rPr>
        <w:t>Section 4(d)</w:t>
      </w:r>
      <w:r>
        <w:rPr>
          <w:rFonts w:ascii="Times New Roman" w:cs="Times New Roman" w:eastAsia="Times New Roman" w:hAnsi="Times New Roman"/>
          <w:sz w:val="21"/>
          <w:szCs w:val="21"/>
          <w:color w:val="auto"/>
        </w:rPr>
        <w:t xml:space="preserve"> or otherwise unless she signs and delivers a general release and separation agreement, in form and substance reasonably acceptable to Company within 60 days after Executive’s termination of employment. Notwithstanding anything to the contrary contained herein, no severance payment will be due and payable until Executive executes and delivers such general release and separation agreement and it is not subject to revocation, if applicable.</w:t>
      </w:r>
    </w:p>
    <w:p>
      <w:pPr>
        <w:spacing w:after="0" w:line="168" w:lineRule="exact"/>
        <w:rPr>
          <w:sz w:val="20"/>
          <w:szCs w:val="20"/>
          <w:color w:val="auto"/>
        </w:rPr>
      </w:pPr>
    </w:p>
    <w:p>
      <w:pPr>
        <w:ind w:firstLine="1304"/>
        <w:spacing w:after="0" w:line="238" w:lineRule="auto"/>
        <w:tabs>
          <w:tab w:leader="none" w:pos="1944"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In connection with Executive’s termination from Company, regardless of the reason, (a) Company shall continue to indemnify Executive against all claims related to actions arising prior to the termination of Executive’s employment to the fullest extent permitted by law (including without limitation advancement of attorneys’ fees), and (b) Company or its successor shall continue to provide coverage under a D&amp;O Insurance Policy for not less than 36 months following such termination.</w:t>
      </w:r>
    </w:p>
    <w:p>
      <w:pPr>
        <w:spacing w:after="0" w:line="176" w:lineRule="exact"/>
        <w:rPr>
          <w:rFonts w:ascii="Times New Roman" w:cs="Times New Roman" w:eastAsia="Times New Roman" w:hAnsi="Times New Roman"/>
          <w:sz w:val="22"/>
          <w:szCs w:val="22"/>
          <w:color w:val="010000"/>
        </w:rPr>
      </w:pPr>
    </w:p>
    <w:p>
      <w:pPr>
        <w:ind w:right="60" w:firstLine="1304"/>
        <w:spacing w:after="0" w:line="234" w:lineRule="auto"/>
        <w:tabs>
          <w:tab w:leader="none" w:pos="1944"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from all Positions; Rights and Payments Upon Termination</w:t>
      </w:r>
      <w:r>
        <w:rPr>
          <w:rFonts w:ascii="Times New Roman" w:cs="Times New Roman" w:eastAsia="Times New Roman" w:hAnsi="Times New Roman"/>
          <w:sz w:val="22"/>
          <w:szCs w:val="22"/>
          <w:color w:val="auto"/>
        </w:rPr>
        <w:t xml:space="preserve">. If Executive no longer is an employee of Company, a Subsidiary, MIH EV Design LLC or any other entity in which the Company or a Subsidiary has an interest, regardless of the reason, (1) Executive agrees that, effective as of the Termination Date, Executive shall resign and be terminated from all positions Executive holds as a director, officer or employee of Company, any Subsidiary, MIH EV Design LLC or any other entity in which the Company or a Subsidiary has an interest and shall execute any necessary documentation to properly effectuate such termination and (2) Executive shall be entitled to the Minimum Payments, in addition to any payments or benefits to which Executive may be entitled under the express terms of any executive benefit plan or as required by law. Any payments to be made to Executive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made in accordance with Company’s customary policies and normal payroll practices.</w:t>
      </w:r>
    </w:p>
    <w:p>
      <w:pPr>
        <w:spacing w:after="0" w:line="17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right="60" w:firstLine="1304"/>
        <w:spacing w:after="0" w:line="234" w:lineRule="auto"/>
        <w:tabs>
          <w:tab w:leader="none" w:pos="1944" w:val="left"/>
        </w:tabs>
        <w:numPr>
          <w:ilvl w:val="1"/>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Executive recognizes and acknowledges that she may receive certain confidential and proprietary information and trade secrets of Company, its Affiliates and Subsidiaries, including (i) internal business information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Company, its Affiliates and Subsidiaries and their respective confidential information; (iii) industry research compiled by, or on behalf of Company and its Affiliates and Subsidiaries, including, without limitation, identities of potential target companies, management teams, and transaction sources identified by, or on behalf of, Company and its Affiliates and Subsidiaries; (iv) compilations of data and analyses,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43" w:name="page44"/>
    <w:bookmarkEnd w:id="43"/>
    <w:p>
      <w:pPr>
        <w:ind w:right="20"/>
        <w:spacing w:after="0" w:line="244" w:lineRule="auto"/>
        <w:rPr>
          <w:sz w:val="20"/>
          <w:szCs w:val="20"/>
          <w:color w:val="auto"/>
        </w:rPr>
      </w:pPr>
      <w:r>
        <w:rPr>
          <w:rFonts w:ascii="Times New Roman" w:cs="Times New Roman" w:eastAsia="Times New Roman" w:hAnsi="Times New Roman"/>
          <w:sz w:val="21"/>
          <w:szCs w:val="21"/>
          <w:color w:val="auto"/>
        </w:rPr>
        <w:t>methods, track and performance records, data and data bases relating thereto; and (v) computer software documentation, data and data bases and updates of any of the foregoing; (collectively, “</w:t>
      </w:r>
      <w:r>
        <w:rPr>
          <w:rFonts w:ascii="Times New Roman" w:cs="Times New Roman" w:eastAsia="Times New Roman" w:hAnsi="Times New Roman"/>
          <w:sz w:val="21"/>
          <w:szCs w:val="21"/>
          <w:u w:val="single" w:color="auto"/>
          <w:color w:val="auto"/>
        </w:rPr>
        <w:t>Confidential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Executive will not, during or after the term of this Agreement, whether through an Affiliate or otherwise, take commercial or proprietary advantage of or profit from any Confidential Information or disclose Confidential Information to any Person for any reason or purpose whatsoever, except (i) to authorized representatives and employees of Company or its Affiliates and Subsidiaries and as otherwise may be proper in the course of performing Executive’s obligations under this Agreement or (ii) as is required to be disclosed by order of a court of competent jurisdiction, administrative body or governmental body, or by subpoena, summons or legal process, or by law, rule or regulation; provided that, unless otherwise prohibited by law, rule or regulation, Executive shall provide to the Board of Directors prompt notice of any such disclosure. For purposes of this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Confidential Information does not include any information that is or becomes generally known to the other participants in the industry in which Company and its Subsidiaries operate other than as a result of any breach of nondisclosure by any Person. The limitations in this </w:t>
      </w:r>
      <w:r>
        <w:rPr>
          <w:rFonts w:ascii="Times New Roman" w:cs="Times New Roman" w:eastAsia="Times New Roman" w:hAnsi="Times New Roman"/>
          <w:sz w:val="21"/>
          <w:szCs w:val="21"/>
          <w:u w:val="single" w:color="auto"/>
          <w:color w:val="auto"/>
        </w:rPr>
        <w:t>Section 5(a)</w:t>
      </w:r>
      <w:r>
        <w:rPr>
          <w:rFonts w:ascii="Times New Roman" w:cs="Times New Roman" w:eastAsia="Times New Roman" w:hAnsi="Times New Roman"/>
          <w:sz w:val="21"/>
          <w:szCs w:val="21"/>
          <w:color w:val="auto"/>
        </w:rPr>
        <w:t xml:space="preserve"> are in addition to, and not in lieu of, any other restrictions that Executive may be bound by (whether by contract or otherwise), including Company’s Proprietary Information and Inventions Agreement (the “</w:t>
      </w:r>
      <w:r>
        <w:rPr>
          <w:rFonts w:ascii="Times New Roman" w:cs="Times New Roman" w:eastAsia="Times New Roman" w:hAnsi="Times New Roman"/>
          <w:sz w:val="21"/>
          <w:szCs w:val="21"/>
          <w:u w:val="single" w:color="auto"/>
          <w:color w:val="auto"/>
        </w:rPr>
        <w:t>Proprietary Information and Inventions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40" w:firstLine="1296"/>
        <w:spacing w:after="0" w:line="232" w:lineRule="auto"/>
        <w:rPr>
          <w:sz w:val="20"/>
          <w:szCs w:val="20"/>
          <w:color w:val="auto"/>
        </w:rPr>
      </w:pPr>
      <w:r>
        <w:rPr>
          <w:rFonts w:ascii="Times New Roman" w:cs="Times New Roman" w:eastAsia="Times New Roman" w:hAnsi="Times New Roman"/>
          <w:sz w:val="22"/>
          <w:szCs w:val="22"/>
          <w:color w:val="auto"/>
        </w:rPr>
        <w:t xml:space="preserve">Notwithstanding anything to the contrary in this Agreement or otherwise, nothing shall limit Executive’s rights under applicable law to provide truthful information to any governmental entity or to file a charge with or participate in an investigation conducted by any governmental entity. Notwithstanding the foregoing, Executive agrees to waive Executive’s right to recover monetary damages in connection with any charge, complaint or lawsuit filed by Executive or anyone else on Executive’s behalf (whether involving a governmental entity or not);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Executive is not agreeing to waive, and this Agreement shall not be read as requiring Executive to waive, any right Executive may have to receive an award for information provided to any governmental entity.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18" w:lineRule="exact"/>
        <w:rPr>
          <w:sz w:val="20"/>
          <w:szCs w:val="20"/>
          <w:color w:val="auto"/>
        </w:rPr>
      </w:pPr>
    </w:p>
    <w:p>
      <w:pPr>
        <w:ind w:firstLine="1304"/>
        <w:spacing w:after="0" w:line="235" w:lineRule="auto"/>
        <w:tabs>
          <w:tab w:leader="none" w:pos="1944"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Documents and Property</w:t>
      </w:r>
      <w:r>
        <w:rPr>
          <w:rFonts w:ascii="Times New Roman" w:cs="Times New Roman" w:eastAsia="Times New Roman" w:hAnsi="Times New Roman"/>
          <w:sz w:val="22"/>
          <w:szCs w:val="22"/>
          <w:color w:val="auto"/>
        </w:rPr>
        <w:t>. All records, files, documents and other materials or copies thereof relating to the Company Business, which Executive shall prepare, receive, or use shall be and remain the sole property of Company, shall not be used by Executive in any manner that would be adverse to Company’s interests, and, other than in connection with the performance by Executive of her duties hereunder, shall not be removed from the premises of Company or any Subsidiary without Company’s prior written consent, and shall be promptly returned to Company upon Executive’s termination of employment hereunder for any reason whatsoever, together with all copies (including copies or recordings in electronic form), abstracts, notes or reproductions of any kind made from or about the records, files, documents or other materials.</w:t>
      </w:r>
    </w:p>
    <w:p>
      <w:pPr>
        <w:spacing w:after="0" w:line="178" w:lineRule="exact"/>
        <w:rPr>
          <w:rFonts w:ascii="Times New Roman" w:cs="Times New Roman" w:eastAsia="Times New Roman" w:hAnsi="Times New Roman"/>
          <w:sz w:val="22"/>
          <w:szCs w:val="22"/>
          <w:color w:val="010000"/>
        </w:rPr>
      </w:pPr>
    </w:p>
    <w:p>
      <w:pPr>
        <w:ind w:right="20" w:firstLine="1304"/>
        <w:spacing w:after="0" w:line="234" w:lineRule="auto"/>
        <w:tabs>
          <w:tab w:leader="none" w:pos="1944"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Non-Competition/Non-Solicitation</w:t>
      </w:r>
      <w:r>
        <w:rPr>
          <w:rFonts w:ascii="Times New Roman" w:cs="Times New Roman" w:eastAsia="Times New Roman" w:hAnsi="Times New Roman"/>
          <w:sz w:val="22"/>
          <w:szCs w:val="22"/>
          <w:color w:val="auto"/>
        </w:rPr>
        <w:t>. From the Effective Date and during the Employment Period and for a two (2) year period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Executive will not, directly or indirectly, individually or as a shareholder, director, manager, member, officer, employee, agent, consultant or advisor of any Person: (i) acquire or hold any economic or financial interest in, act as a partner, member, shareholder, consultant, employee or representative of, render services to, or otherwise operate, engage in or hold an interest in any Person that engages in, or engages in the management or operation of any Person that engages in any business that competes with the Company Business; (ii) solicit orders from or seek or propose to do business with any customer or supplier of the business relating to the Company Business; or (iii) influence or attempt to influence any customer, supplier, employee, contractor, representative or advisor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4" w:name="page45"/>
    <w:bookmarkEnd w:id="44"/>
    <w:p>
      <w:pPr>
        <w:ind w:right="260"/>
        <w:spacing w:after="0" w:line="244" w:lineRule="auto"/>
        <w:rPr>
          <w:sz w:val="20"/>
          <w:szCs w:val="20"/>
          <w:color w:val="auto"/>
        </w:rPr>
      </w:pPr>
      <w:r>
        <w:rPr>
          <w:rFonts w:ascii="Times New Roman" w:cs="Times New Roman" w:eastAsia="Times New Roman" w:hAnsi="Times New Roman"/>
          <w:sz w:val="22"/>
          <w:szCs w:val="22"/>
          <w:color w:val="auto"/>
        </w:rPr>
        <w:t>Business to curtail, terminate or refrain from maintaining its, her or her relationship with Company or any of its Subsidiaries; provided, however, that the ownership of less than 1% of the voting stock of any publicly held corporation shall not be a violation of this Agreement.</w:t>
      </w:r>
    </w:p>
    <w:p>
      <w:pPr>
        <w:spacing w:after="0" w:line="174" w:lineRule="exact"/>
        <w:rPr>
          <w:sz w:val="20"/>
          <w:szCs w:val="20"/>
          <w:color w:val="auto"/>
        </w:rPr>
      </w:pPr>
    </w:p>
    <w:p>
      <w:pPr>
        <w:ind w:right="60" w:firstLine="1304"/>
        <w:spacing w:after="0" w:line="235" w:lineRule="auto"/>
        <w:tabs>
          <w:tab w:leader="none" w:pos="1944" w:val="left"/>
        </w:tabs>
        <w:numPr>
          <w:ilvl w:val="1"/>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Non-Disparagemen</w:t>
      </w:r>
      <w:r>
        <w:rPr>
          <w:rFonts w:ascii="Times New Roman" w:cs="Times New Roman" w:eastAsia="Times New Roman" w:hAnsi="Times New Roman"/>
          <w:sz w:val="22"/>
          <w:szCs w:val="22"/>
          <w:color w:val="auto"/>
        </w:rPr>
        <w:t>t. During and after Executive’s employment with Company, neither Company nor Executive will make any adverse or derogatory statements, remarks or comments, oral or written, directly or indirectly, to any individual or entity about or with reference to or with respect to Executive or Company, or any of its executives, officers, managers, members, directors or agents, other than statements made in the course of performance evaluations.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183" w:lineRule="exact"/>
        <w:rPr>
          <w:rFonts w:ascii="Times New Roman" w:cs="Times New Roman" w:eastAsia="Times New Roman" w:hAnsi="Times New Roman"/>
          <w:sz w:val="22"/>
          <w:szCs w:val="22"/>
          <w:color w:val="010000"/>
        </w:rPr>
      </w:pPr>
    </w:p>
    <w:p>
      <w:pPr>
        <w:ind w:right="120" w:firstLine="1304"/>
        <w:spacing w:after="0" w:line="247" w:lineRule="auto"/>
        <w:tabs>
          <w:tab w:leader="none" w:pos="1944" w:val="left"/>
        </w:tabs>
        <w:numPr>
          <w:ilvl w:val="1"/>
          <w:numId w:val="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Remedies for Breach of Covenants</w:t>
      </w:r>
      <w:r>
        <w:rPr>
          <w:rFonts w:ascii="Times New Roman" w:cs="Times New Roman" w:eastAsia="Times New Roman" w:hAnsi="Times New Roman"/>
          <w:sz w:val="21"/>
          <w:szCs w:val="21"/>
          <w:color w:val="auto"/>
        </w:rPr>
        <w:t xml:space="preserve">. Executive acknowledges and expressly agrees that the covenants contained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reasonable with respect to their duration, geographical area and scope. Executive further acknowledges that, in light of her position with Company and access to Confidential Information from the Effective Date and during the Employment Period, the restrictions contained in this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010000"/>
        </w:rPr>
      </w:pPr>
    </w:p>
    <w:p>
      <w:pPr>
        <w:ind w:right="40"/>
        <w:spacing w:after="0" w:line="24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5</w:t>
      </w:r>
      <w:r>
        <w:rPr>
          <w:rFonts w:ascii="Times New Roman" w:cs="Times New Roman" w:eastAsia="Times New Roman" w:hAnsi="Times New Roman"/>
          <w:sz w:val="21"/>
          <w:szCs w:val="21"/>
          <w:color w:val="auto"/>
        </w:rPr>
        <w:t xml:space="preserve"> are reasonable and necessary for the protection of the legitimate business interests of Company, that they create no undue hardships, that any violation of these restrictions would cause substantial injury to Company and such interests, and that such restrictions were a material inducement to Company to enter into this Agreement. In the event of any violation or threatened violation of these restrictions, Company, in addition to and not in limitation of, any other rights, remedies or damages available to Company under this Agreement or otherwise at law or in equity, shall be entitled to preliminary and permanent injunctive relief, to prevent or restrain any such violation by Executive and any and all Persons directly or indirectly acting for or with him, as the case may be.</w:t>
      </w:r>
    </w:p>
    <w:p>
      <w:pPr>
        <w:spacing w:after="0" w:line="174" w:lineRule="exact"/>
        <w:rPr>
          <w:rFonts w:ascii="Times New Roman" w:cs="Times New Roman" w:eastAsia="Times New Roman" w:hAnsi="Times New Roman"/>
          <w:sz w:val="21"/>
          <w:szCs w:val="21"/>
          <w:color w:val="010000"/>
        </w:rPr>
      </w:pPr>
    </w:p>
    <w:p>
      <w:pPr>
        <w:ind w:firstLine="656"/>
        <w:spacing w:after="0" w:line="243" w:lineRule="auto"/>
        <w:tabs>
          <w:tab w:leader="none" w:pos="129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Inventions and Innovations</w:t>
      </w:r>
      <w:r>
        <w:rPr>
          <w:rFonts w:ascii="Times New Roman" w:cs="Times New Roman" w:eastAsia="Times New Roman" w:hAnsi="Times New Roman"/>
          <w:sz w:val="21"/>
          <w:szCs w:val="21"/>
          <w:color w:val="auto"/>
        </w:rPr>
        <w:t>. Executive acknowledges and agrees that she is separately bound by the Proprietary Information and Invention Agreement with Company. In addition, and notwithstanding anything to the contrary in the Proprietary Information and Invention Agreement, Executive acknowledges and agrees that all right, title and interest in and to any past, present and future inventions, business applications, know-how, customer lists, trade secrets, innovations, methods, designs, ideas, improvements, copyrights, patents, domain names, trademarks, trade dress and other intellectual property which Executive personally develops or creates in whole or in part at any time and at any place during her employment with Company, and which is, directly or indirectly, related to or usable in connection with, the business activities of Company (all items set forth above are hereafter collectively referred to as the “</w:t>
      </w:r>
      <w:r>
        <w:rPr>
          <w:rFonts w:ascii="Times New Roman" w:cs="Times New Roman" w:eastAsia="Times New Roman" w:hAnsi="Times New Roman"/>
          <w:sz w:val="21"/>
          <w:szCs w:val="21"/>
          <w:u w:val="single" w:color="auto"/>
          <w:color w:val="auto"/>
        </w:rPr>
        <w:t>Inventions and Innovations</w:t>
      </w:r>
      <w:r>
        <w:rPr>
          <w:rFonts w:ascii="Times New Roman" w:cs="Times New Roman" w:eastAsia="Times New Roman" w:hAnsi="Times New Roman"/>
          <w:sz w:val="21"/>
          <w:szCs w:val="21"/>
          <w:color w:val="auto"/>
        </w:rPr>
        <w:t>”), shall be and remain forever the sole and exclusive property of Company, and Executive thus automatically assigns and agrees to assign any such right, title and interest in her possession, or that she acquires, to Company. In this regard, Executive acknowledges and agrees that any Inventions and Innovations embodying copyrightable subject matter are “works made for hire,” and Executive automatically assigns and agrees to assign all right, title and interest to Company in the same if such Inventions and Innovations are not “works made for hire.” Executive agrees to promptly reveal all information relating to the Inventions and Innovations to Company and cooperate with Company to execute such documents as may be necessary to establish ownership and protection in Company’s name for the Inventions and Innovations. Notwithstanding the foregoing, Inventions and Innovations shall not include any publicly available information or any information that was developed by Executive on her own time with her own tools and/or materials and without the resources of Company or any Subsidiary thereof.</w:t>
      </w:r>
    </w:p>
    <w:p>
      <w:pPr>
        <w:spacing w:after="0" w:line="200" w:lineRule="exact"/>
        <w:rPr>
          <w:rFonts w:ascii="Times New Roman" w:cs="Times New Roman" w:eastAsia="Times New Roman" w:hAnsi="Times New Roman"/>
          <w:sz w:val="21"/>
          <w:szCs w:val="21"/>
          <w:color w:val="auto"/>
        </w:rPr>
      </w:pPr>
    </w:p>
    <w:p>
      <w:pPr>
        <w:spacing w:after="0" w:line="231" w:lineRule="exact"/>
        <w:rPr>
          <w:rFonts w:ascii="Times New Roman" w:cs="Times New Roman" w:eastAsia="Times New Roman" w:hAnsi="Times New Roman"/>
          <w:sz w:val="21"/>
          <w:szCs w:val="21"/>
          <w:color w:val="auto"/>
        </w:rPr>
      </w:pPr>
    </w:p>
    <w:p>
      <w:pPr>
        <w:ind w:right="440" w:firstLine="656"/>
        <w:spacing w:after="0" w:line="258"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throughout this Agreement, all of the terms defined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have the meanings given below.</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2020 Incentive Plan</w:t>
      </w:r>
      <w:r>
        <w:rPr>
          <w:rFonts w:ascii="Times New Roman" w:cs="Times New Roman" w:eastAsia="Times New Roman" w:hAnsi="Times New Roman"/>
          <w:sz w:val="22"/>
          <w:szCs w:val="22"/>
          <w:color w:val="auto"/>
        </w:rPr>
        <w:t>” shall mean the Company’s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5" w:name="page46"/>
    <w:bookmarkEnd w:id="45"/>
    <w:p>
      <w:pPr>
        <w:ind w:right="40" w:firstLine="129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each individual, company, corporation, partnership, limited liability company, joint venture or other business entity, which is, directly or indirectly, controlled by, controls, or is under common control with, Company, where “control” means (i) the ownership of a majority of the voting securities or other voting interests or other equity interests of any company, corporation, partnership, limited liability company, joint venture or other business entity, or (ii) the possession, directly or indirectly, of the power to direct or cause the direction of the management and policies of such company, corporation, partnership, limited liability company, joint venture or other business entity.</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w:t>
      </w:r>
      <w:r>
        <w:rPr>
          <w:rFonts w:ascii="Times New Roman" w:cs="Times New Roman" w:eastAsia="Times New Roman" w:hAnsi="Times New Roman"/>
          <w:sz w:val="22"/>
          <w:szCs w:val="22"/>
          <w:color w:val="auto"/>
        </w:rPr>
        <w:t>t” shall have the meaning set forth in the preamble.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Board of Directors’ determination in good faith that Executive has:</w:t>
      </w:r>
    </w:p>
    <w:p>
      <w:pPr>
        <w:spacing w:after="0" w:line="206"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failed to satisfactorily pass the Company’s initial drug screening;</w:t>
      </w:r>
    </w:p>
    <w:p>
      <w:pPr>
        <w:spacing w:after="0" w:line="206" w:lineRule="exact"/>
        <w:rPr>
          <w:rFonts w:ascii="Times New Roman" w:cs="Times New Roman" w:eastAsia="Times New Roman" w:hAnsi="Times New Roman"/>
          <w:sz w:val="22"/>
          <w:szCs w:val="22"/>
          <w:color w:val="010000"/>
        </w:rPr>
      </w:pPr>
    </w:p>
    <w:p>
      <w:pPr>
        <w:jc w:val="both"/>
        <w:ind w:firstLine="1304"/>
        <w:spacing w:after="0" w:line="244" w:lineRule="auto"/>
        <w:tabs>
          <w:tab w:leader="none" w:pos="1944" w:val="left"/>
        </w:tabs>
        <w:numPr>
          <w:ilvl w:val="0"/>
          <w:numId w:val="2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disregarded or refused to substantially perform her duties and obligations to Company as required by this Agreement and the Board of Directors (other than any such failure resulting from her Disability or Executive’s termination of her employment with Company for any reason);</w:t>
      </w:r>
    </w:p>
    <w:p>
      <w:pPr>
        <w:spacing w:after="0" w:line="173"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a fiduciary responsibility to Company in any material respect;</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of an act of fraud, embezzlement or other misappropriation of funds;</w:t>
      </w:r>
    </w:p>
    <w:p>
      <w:pPr>
        <w:spacing w:after="0" w:line="206" w:lineRule="exact"/>
        <w:rPr>
          <w:rFonts w:ascii="Times New Roman" w:cs="Times New Roman" w:eastAsia="Times New Roman" w:hAnsi="Times New Roman"/>
          <w:sz w:val="22"/>
          <w:szCs w:val="22"/>
          <w:color w:val="auto"/>
        </w:rPr>
      </w:pPr>
    </w:p>
    <w:p>
      <w:pPr>
        <w:ind w:right="220" w:firstLine="1304"/>
        <w:spacing w:after="0" w:line="258" w:lineRule="auto"/>
        <w:tabs>
          <w:tab w:leader="none" w:pos="19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any confidentiality or proprietary information agreement in any material respect between Executive and Company;</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acted with gross negligence or willful misconduct when undertaking Executive’s duties;</w:t>
      </w:r>
    </w:p>
    <w:p>
      <w:pPr>
        <w:spacing w:after="0" w:line="20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this Agreement;</w:t>
      </w:r>
    </w:p>
    <w:p>
      <w:pPr>
        <w:spacing w:after="0" w:line="206" w:lineRule="exact"/>
        <w:rPr>
          <w:rFonts w:ascii="Times New Roman" w:cs="Times New Roman" w:eastAsia="Times New Roman" w:hAnsi="Times New Roman"/>
          <w:sz w:val="22"/>
          <w:szCs w:val="22"/>
          <w:color w:val="auto"/>
        </w:rPr>
      </w:pPr>
    </w:p>
    <w:p>
      <w:pPr>
        <w:ind w:right="300" w:firstLine="1304"/>
        <w:spacing w:after="0" w:line="258" w:lineRule="auto"/>
        <w:tabs>
          <w:tab w:leader="none" w:pos="19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excessive and unreasonable absences from Executive’s duties for any reason (other than authorized leave or leave required by law or as a result of Executive’s Disability); or</w:t>
      </w:r>
    </w:p>
    <w:p>
      <w:pPr>
        <w:spacing w:after="0" w:line="158" w:lineRule="exact"/>
        <w:rPr>
          <w:rFonts w:ascii="Times New Roman" w:cs="Times New Roman" w:eastAsia="Times New Roman" w:hAnsi="Times New Roman"/>
          <w:sz w:val="22"/>
          <w:szCs w:val="22"/>
          <w:color w:val="auto"/>
        </w:rPr>
      </w:pPr>
    </w:p>
    <w:p>
      <w:pPr>
        <w:ind w:right="100" w:firstLine="1304"/>
        <w:spacing w:after="0" w:line="247" w:lineRule="auto"/>
        <w:tabs>
          <w:tab w:leader="none" w:pos="194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Executive’s indictment for, conviction of, or plea of guilty or nolo contendere to,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 a felony,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misdemeanor (other than traffic or motor vehicle violations),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any other act, omission or event that, in any such case, has caused or is likely to cause economic harm to Company, a Subsidiary, MIH EV Design LLC or any other entity in which Company or a Subsidiary has an interest or the image, reputation and/or goodwill of Company, a Subsidiary, MIH EV Design LLC or any other entity in which Company or a Subsidiary has an interest or that Company in good faith believes is reasonably likely to cause material harm to the image, reputation and/or goodwill of Company, a Subsidiary, MIH EV Design LLC or any other entity in which Company or a Subsidiary has an interest or any of their respective products, services and/or trade/service marks.</w:t>
      </w:r>
    </w:p>
    <w:p>
      <w:pPr>
        <w:spacing w:after="0" w:line="172" w:lineRule="exact"/>
        <w:rPr>
          <w:sz w:val="20"/>
          <w:szCs w:val="20"/>
          <w:color w:val="auto"/>
        </w:rPr>
      </w:pPr>
    </w:p>
    <w:p>
      <w:pPr>
        <w:ind w:right="320" w:firstLine="1296"/>
        <w:spacing w:after="0" w:line="239" w:lineRule="auto"/>
        <w:rPr>
          <w:sz w:val="20"/>
          <w:szCs w:val="20"/>
          <w:color w:val="auto"/>
        </w:rPr>
      </w:pPr>
      <w:r>
        <w:rPr>
          <w:rFonts w:ascii="Times New Roman" w:cs="Times New Roman" w:eastAsia="Times New Roman" w:hAnsi="Times New Roman"/>
          <w:sz w:val="22"/>
          <w:szCs w:val="22"/>
          <w:color w:val="auto"/>
        </w:rPr>
        <w:t>Notwithstanding the foregoing, prior to Company’s termination of Executive for Cause above, Company shall give Executive written notice specifying in reasonable detail the existence of any condition and Executive shall have 30 days from the date of Executive’s receipt of such notice in which to cure the condition giving rise to Cause (if curable).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w:t>
      </w:r>
      <w:r>
        <w:rPr>
          <w:rFonts w:ascii="Times New Roman" w:cs="Times New Roman" w:eastAsia="Times New Roman" w:hAnsi="Times New Roman"/>
          <w:sz w:val="22"/>
          <w:szCs w:val="22"/>
          <w:color w:val="auto"/>
        </w:rPr>
        <w:t>l”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ind w:firstLine="1304"/>
        <w:spacing w:after="0" w:line="238"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ownership of stock of Company that, together with the stock held by such person or group, constitutes more than 50% of the total fair market value or total voting power of the stock of Company; provided, that, a Change in Control shall not occur if any Person (or more than one Person acting as a group) owns more than 50% of the total fair market value or total voting power of Company’s stock and acquires additional stock;</w:t>
      </w:r>
    </w:p>
    <w:p>
      <w:pPr>
        <w:spacing w:after="0" w:line="177" w:lineRule="exact"/>
        <w:rPr>
          <w:rFonts w:ascii="Times New Roman" w:cs="Times New Roman" w:eastAsia="Times New Roman" w:hAnsi="Times New Roman"/>
          <w:sz w:val="22"/>
          <w:szCs w:val="22"/>
          <w:color w:val="auto"/>
        </w:rPr>
      </w:pPr>
    </w:p>
    <w:p>
      <w:pPr>
        <w:ind w:right="120" w:firstLine="1304"/>
        <w:spacing w:after="0" w:line="244"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of Directors are replaced during any 12-month period by directors whose appointment or election is not endorsed by a majority of the Board of Directors before the date of appointment or election; or</w:t>
      </w:r>
    </w:p>
    <w:p>
      <w:pPr>
        <w:spacing w:after="0" w:line="173" w:lineRule="exact"/>
        <w:rPr>
          <w:rFonts w:ascii="Times New Roman" w:cs="Times New Roman" w:eastAsia="Times New Roman" w:hAnsi="Times New Roman"/>
          <w:sz w:val="22"/>
          <w:szCs w:val="22"/>
          <w:color w:val="auto"/>
        </w:rPr>
      </w:pPr>
    </w:p>
    <w:p>
      <w:pPr>
        <w:ind w:right="260" w:firstLine="1304"/>
        <w:spacing w:after="0" w:line="239"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(or has acquired during the 12-month period ending on the date of the most recent acquisition) assets from Company that have a total gross fair market value equal to or more than 50% of the total gross fair market value of all of the assets of Company immediately before such acquisition(s).</w:t>
      </w:r>
    </w:p>
    <w:p>
      <w:pPr>
        <w:spacing w:after="0" w:line="180" w:lineRule="exact"/>
        <w:rPr>
          <w:sz w:val="20"/>
          <w:szCs w:val="20"/>
          <w:color w:val="auto"/>
        </w:rPr>
      </w:pPr>
    </w:p>
    <w:p>
      <w:pPr>
        <w:ind w:right="140" w:firstLine="1296"/>
        <w:spacing w:after="0" w:line="239" w:lineRule="auto"/>
        <w:rPr>
          <w:sz w:val="20"/>
          <w:szCs w:val="20"/>
          <w:color w:val="auto"/>
        </w:rPr>
      </w:pPr>
      <w:r>
        <w:rPr>
          <w:rFonts w:ascii="Times New Roman" w:cs="Times New Roman" w:eastAsia="Times New Roman" w:hAnsi="Times New Roman"/>
          <w:sz w:val="22"/>
          <w:szCs w:val="22"/>
          <w:color w:val="auto"/>
        </w:rPr>
        <w:t>A transaction shall not constitute a Change in Control if: (a) its sole purpose is to change the state of Company’s incorporation; or (b) its sole purpose is to create a holding company that will be owned in substantially the same proportions by the persons who held Company’s securities immediately before such transaction.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Business</w:t>
      </w:r>
      <w:r>
        <w:rPr>
          <w:rFonts w:ascii="Times New Roman" w:cs="Times New Roman" w:eastAsia="Times New Roman" w:hAnsi="Times New Roman"/>
          <w:sz w:val="22"/>
          <w:szCs w:val="22"/>
          <w:color w:val="auto"/>
        </w:rPr>
        <w:t>” shall mean the business of developing, designing and manufacturing battery-electric vehicles under 10,001 GVW.</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Insurance Policy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that Executive is unable to effectively perform the essential functions of her job by reason of any medically determinable physical or mental impairment that can be expected to result in death or can be expected to last for not less than 90 consecutive days or 125 non-consecutive days, in either case during any 12-month period (unless a longer period is required under applicable law, then during such longer period), and in any case as determined in good faith by an independent doctor selected in good faith by the Board of Directors and mutually acceptable to Executive.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EVP - Creation/Engineering/Supply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is defined as the occurrence of any of the following: (i) a breach of this Agreement by Company (including without limitation any of the indemnification provisions); (ii) a material reduction in Executive’s Base Salary or Annual Bonus; or (iii) a material change in the geographic location where Executive must perform services;. If Executive wishes to terminate her employment for Good Reason, she shall first give Company 30 days prior written notice of the circumstances constituting Good Reason and an opportunity to cure, and such notice must be given to Company within 30 days of Executive becoming aware of such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12" w:right="1039"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Inducement RSUs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Inventions and Innovations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MIH EV Design LLC</w:t>
      </w:r>
      <w:r>
        <w:rPr>
          <w:rFonts w:ascii="Times New Roman" w:cs="Times New Roman" w:eastAsia="Times New Roman" w:hAnsi="Times New Roman"/>
          <w:sz w:val="22"/>
          <w:szCs w:val="22"/>
          <w:color w:val="auto"/>
        </w:rPr>
        <w:t>” means MIH EV Design LLC, a Delaware limited liability company.</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Payments</w:t>
      </w:r>
      <w:r>
        <w:rPr>
          <w:rFonts w:ascii="Times New Roman" w:cs="Times New Roman" w:eastAsia="Times New Roman" w:hAnsi="Times New Roman"/>
          <w:sz w:val="22"/>
          <w:szCs w:val="22"/>
          <w:color w:val="auto"/>
        </w:rPr>
        <w:t>” shall mean, as applicable, the following amounts:</w:t>
      </w:r>
    </w:p>
    <w:p>
      <w:pPr>
        <w:spacing w:after="0" w:line="206" w:lineRule="exact"/>
        <w:rPr>
          <w:sz w:val="20"/>
          <w:szCs w:val="20"/>
          <w:color w:val="auto"/>
        </w:rPr>
      </w:pPr>
    </w:p>
    <w:p>
      <w:pPr>
        <w:ind w:firstLine="1304"/>
        <w:spacing w:after="0" w:line="258"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earned but unpaid Annual Base Salary for the period ending on the Termination Date, with such payments to be made in accordance with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accrued but unpaid vacation days for the period ending on the Termination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w:t>
      </w:r>
    </w:p>
    <w:p>
      <w:pPr>
        <w:spacing w:after="0" w:line="182" w:lineRule="exact"/>
        <w:rPr>
          <w:rFonts w:ascii="Times New Roman" w:cs="Times New Roman" w:eastAsia="Times New Roman" w:hAnsi="Times New Roman"/>
          <w:sz w:val="22"/>
          <w:szCs w:val="22"/>
          <w:color w:val="auto"/>
        </w:rPr>
      </w:pPr>
    </w:p>
    <w:p>
      <w:pPr>
        <w:ind w:right="680" w:firstLine="1304"/>
        <w:spacing w:after="0" w:line="258" w:lineRule="auto"/>
        <w:tabs>
          <w:tab w:leader="none" w:pos="19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unreimbursed business expenses and all other items earned and owed to Executive through and including, the Termination Date.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460" w:firstLine="1296"/>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means performance metrics established by Company’s compensation committee and that will apply to the PSUs, as well as to the performance-based restricted stock units of other Executive Vice Presidents of Company.</w:t>
      </w:r>
    </w:p>
    <w:p>
      <w:pPr>
        <w:spacing w:after="0" w:line="17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shall mean any individual, sole proprietorship, partnership, joint venture, trust, unincorporated association, corporation, limited liability company, entity or governmental entity (whether federal, state, county, city or otherwise and including any instrumentality, division, agency or department thereof).</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Proprietary Information and Inventions Agreement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5(a)</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RSUs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296"/>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shall mean, with respect to any Person, any corporation, partnership, limited liability company, association or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either (A) a majority of partnership or other similar ownership interests thereof is at the time owned or controlled, directly or indirectly, by that Person or one or more Subsidiaries of that Person or a combination thereof or (B) that Person is a general partner, managing member, manager or managing director of such partnership, limited liability company, or other business entity. For purposes hereof and unless otherwise indicated, the term “Subsidiary” refers to a Subsidiary of Company.</w:t>
      </w:r>
    </w:p>
    <w:p>
      <w:pPr>
        <w:spacing w:after="0" w:line="177"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shall mean the date of termination of Executive’s employment as determined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48" w:name="page49"/>
    <w:bookmarkEnd w:id="48"/>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Upon Change of Contro</w:t>
      </w:r>
      <w:r>
        <w:rPr>
          <w:rFonts w:ascii="Times New Roman" w:cs="Times New Roman" w:eastAsia="Times New Roman" w:hAnsi="Times New Roman"/>
          <w:sz w:val="22"/>
          <w:szCs w:val="22"/>
          <w:color w:val="auto"/>
        </w:rPr>
        <w:t>l” means:</w:t>
      </w:r>
    </w:p>
    <w:p>
      <w:pPr>
        <w:spacing w:after="0" w:line="207" w:lineRule="exact"/>
        <w:rPr>
          <w:sz w:val="20"/>
          <w:szCs w:val="20"/>
          <w:color w:val="auto"/>
        </w:rPr>
      </w:pPr>
    </w:p>
    <w:p>
      <w:pPr>
        <w:ind w:right="40" w:firstLine="1304"/>
        <w:spacing w:after="0" w:line="236" w:lineRule="auto"/>
        <w:tabs>
          <w:tab w:leader="none" w:pos="19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(1) Executive’s employment is terminated without Cause so that Executive no longer is employed by Company, a Subsidiary, MIH EV Design LLC or any other entity in which Company or a Subsidiary has an interest and (2) such termination occurs during the period commencing on or after the date that Company enters into a definitive agreement that results in a Change of Control (even though still subject to approval by Company’s stockholders and other conditions and contingencies, but provided that the Change of Control actually occurs) and ending on the date which is 12 months following the Change of Control; or</w:t>
      </w:r>
    </w:p>
    <w:p>
      <w:pPr>
        <w:spacing w:after="0" w:line="181"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Executive for Good Reason where (1) such Good Reason occurs during the period commencing on or after the date that Company enters into a definitive agreement that results in a Change of Control (even though still subject to approval by Company’s stockholders and other conditions and contingencies, but provided that the Change of Control actually occurs) and ending on the date which is 12 months following the Change of Control, and (2) such resignation occurs at or after such Change of Control and in any event within six months following the occurrence of such Good Reason.</w:t>
      </w:r>
    </w:p>
    <w:p>
      <w:pPr>
        <w:spacing w:after="0" w:line="181" w:lineRule="exact"/>
        <w:rPr>
          <w:rFonts w:ascii="Times New Roman" w:cs="Times New Roman" w:eastAsia="Times New Roman" w:hAnsi="Times New Roman"/>
          <w:sz w:val="22"/>
          <w:szCs w:val="22"/>
          <w:color w:val="auto"/>
        </w:rPr>
      </w:pPr>
    </w:p>
    <w:p>
      <w:pPr>
        <w:ind w:right="100" w:firstLine="1304"/>
        <w:spacing w:after="0" w:line="236" w:lineRule="auto"/>
        <w:tabs>
          <w:tab w:leader="none" w:pos="194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term “Termination Upon Change of Control” shall not include any termination of the employment of Executive: (1) by Company, a Subsidiary, MIH EV Design LLC or any other entity in which Company or a Subsidiary holds an interest for Cause; (2) by Company, a Subsidiary, MIH EV Design LLC or any other entity in which Company or a Subsidiary holds an interest as a result of the Disability of Executive; (3) as a result of the death of Executive; or (4) as a result of the voluntary termination of employment by Executive for any reason other than Good Reason.</w:t>
      </w:r>
    </w:p>
    <w:p>
      <w:pPr>
        <w:spacing w:after="0" w:line="181" w:lineRule="exact"/>
        <w:rPr>
          <w:rFonts w:ascii="Times New Roman" w:cs="Times New Roman" w:eastAsia="Times New Roman" w:hAnsi="Times New Roman"/>
          <w:sz w:val="22"/>
          <w:szCs w:val="22"/>
          <w:color w:val="auto"/>
        </w:rPr>
      </w:pPr>
    </w:p>
    <w:p>
      <w:pPr>
        <w:ind w:right="40" w:firstLine="656"/>
        <w:spacing w:after="0" w:line="261" w:lineRule="auto"/>
        <w:tabs>
          <w:tab w:leader="none" w:pos="129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If to Company to:</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Lordstown Motors Corp.</w:t>
      </w:r>
    </w:p>
    <w:p>
      <w:pPr>
        <w:spacing w:after="0" w:line="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2300 Hallock Young Road, S.W.</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Lordstown, OH 44481</w:t>
      </w:r>
    </w:p>
    <w:p>
      <w:pPr>
        <w:spacing w:after="0" w:line="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If to Executive, to:</w:t>
      </w:r>
    </w:p>
    <w:p>
      <w:pPr>
        <w:spacing w:after="0" w:line="247"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21"/>
          <w:szCs w:val="21"/>
          <w:color w:val="auto"/>
        </w:rPr>
        <w:t>The address on file with Company’s Human Resources department or to such other address as either party may furnish to the other in writing, except that notices of changes of address shall be effective only upon receipt;</w:t>
      </w:r>
    </w:p>
    <w:p>
      <w:pPr>
        <w:spacing w:after="0" w:line="27"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furnish to the other in writing, except that notices of changes of address shall be effective only upon receipt.</w:t>
      </w:r>
    </w:p>
    <w:p>
      <w:pPr>
        <w:spacing w:after="0" w:line="36" w:lineRule="exact"/>
        <w:rPr>
          <w:sz w:val="20"/>
          <w:szCs w:val="20"/>
          <w:color w:val="auto"/>
        </w:rPr>
      </w:pPr>
    </w:p>
    <w:p>
      <w:pPr>
        <w:jc w:val="both"/>
        <w:ind w:firstLine="656"/>
        <w:spacing w:after="0" w:line="239"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All questions concerning the construction, validity and interpretation of this Agreement and the performance of the obligations imposed by this Agreement shall be governed by the internal laws of the State of Michigan applicable to agreements made and wholly to be performed in such state without regard to conflicts of law provisions of any jurisdiction.</w:t>
      </w:r>
    </w:p>
    <w:p>
      <w:pPr>
        <w:spacing w:after="0" w:line="180" w:lineRule="exact"/>
        <w:rPr>
          <w:rFonts w:ascii="Times New Roman" w:cs="Times New Roman" w:eastAsia="Times New Roman" w:hAnsi="Times New Roman"/>
          <w:sz w:val="22"/>
          <w:szCs w:val="22"/>
          <w:color w:val="auto"/>
        </w:rPr>
      </w:pPr>
    </w:p>
    <w:p>
      <w:pPr>
        <w:ind w:right="20" w:firstLine="656"/>
        <w:spacing w:after="0" w:line="23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FORUM SELECTION</w:t>
      </w:r>
      <w:r>
        <w:rPr>
          <w:rFonts w:ascii="Times New Roman" w:cs="Times New Roman" w:eastAsia="Times New Roman" w:hAnsi="Times New Roman"/>
          <w:sz w:val="22"/>
          <w:szCs w:val="22"/>
          <w:color w:val="auto"/>
        </w:rPr>
        <w:t>. ALL ACTIONS OR PROCEEDINGS IN ANY WAY, MANNER OR RESPECT, ARISING OUT OF OR FROM OR RELATED TO THIS AGREEMENT SHALL BE LITIGATED IN COURTS HAVING SITUS WITHIN OAKLAND COUNTY, MICHIGAN EXECUTIVE HEREBY CONSENTS AND SUBMITS TO THE JURISDICTION OF THE STATE AND FEDERAL COURTS LOCATED WITHIN OAKLAND COUNTY, MICHIGAN. EXECUTIVE HEREBY WAIVES ANY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9" w:name="page50"/>
    <w:bookmarkEnd w:id="49"/>
    <w:p>
      <w:pPr>
        <w:ind w:right="240"/>
        <w:spacing w:after="0" w:line="259" w:lineRule="auto"/>
        <w:rPr>
          <w:sz w:val="20"/>
          <w:szCs w:val="20"/>
          <w:color w:val="auto"/>
        </w:rPr>
      </w:pPr>
      <w:r>
        <w:rPr>
          <w:rFonts w:ascii="Times New Roman" w:cs="Times New Roman" w:eastAsia="Times New Roman" w:hAnsi="Times New Roman"/>
          <w:sz w:val="22"/>
          <w:szCs w:val="22"/>
          <w:color w:val="auto"/>
        </w:rPr>
        <w:t>IT MAY HAVE TO TRANSFER OR CHANGE THE VENUE OF ANY LITIGATION BROUGHT AGAINST EXECUTIVE BY COMPANY IN ACCORDANCE WITH THIS SECTION.</w:t>
      </w:r>
    </w:p>
    <w:p>
      <w:pPr>
        <w:spacing w:after="0" w:line="157" w:lineRule="exact"/>
        <w:rPr>
          <w:sz w:val="20"/>
          <w:szCs w:val="20"/>
          <w:color w:val="auto"/>
        </w:rPr>
      </w:pPr>
    </w:p>
    <w:p>
      <w:pPr>
        <w:ind w:right="160" w:firstLine="656"/>
        <w:spacing w:after="0" w:line="234"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EXECUTIVE AND COMPANY HEREBY IRREVOCABLY WAIVE ANY AND ALL RIGHT TO TRIAL BY JURY OF ANY CLAIM OR CAUSE OF ACTION IN ANY LEGAL PROCEEDING ARISING OUT OF OR RELATED TO THIS AGREEMENT OR THE TRANSACTIONS OR EVENTS CONTEMPLATED HEREBY OR ANY COURSE OF CONDUCT, COURSE OF DEALING, STATEMENTS (WHETHER VERBAL OR WRITTEN) OR ACTIONS OF ANY PARTY HERETO. THE PARTIES HERETO EACH AGREE THAT ANY AND ALL SUCH CLAIMS AND CAUSES OF ACTION TRIED BY A COURT SHALL BE TRIED WITHOUT A JURY. EACH OF THE PARTIES HERETO FURTHER WAIVES ANY RIGHT TO SEEK TO CONSOLIDATE ANY SUCH LEGAL PROCEEDING IN WHICH A JURY TRIAL HAS BEEN WAIVED WITH ANY OTHER LEGAL PROCEEDING IN WHICH A JURY TRIAL CANNOT OR HAS NOT BEEN WAIVED.</w:t>
      </w:r>
    </w:p>
    <w:p>
      <w:pPr>
        <w:spacing w:after="0" w:line="179" w:lineRule="exact"/>
        <w:rPr>
          <w:rFonts w:ascii="Times New Roman" w:cs="Times New Roman" w:eastAsia="Times New Roman" w:hAnsi="Times New Roman"/>
          <w:sz w:val="22"/>
          <w:szCs w:val="22"/>
          <w:color w:val="auto"/>
        </w:rPr>
      </w:pPr>
    </w:p>
    <w:p>
      <w:pPr>
        <w:ind w:firstLine="656"/>
        <w:spacing w:after="0" w:line="23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Severability</w:t>
      </w:r>
      <w:r>
        <w:rPr>
          <w:rFonts w:ascii="Times New Roman" w:cs="Times New Roman" w:eastAsia="Times New Roman" w:hAnsi="Times New Roman"/>
          <w:sz w:val="22"/>
          <w:szCs w:val="22"/>
          <w:color w:val="auto"/>
        </w:rPr>
        <w:t>. This Agreement, together with the Proprietary Information and Inventions Agreement and the 2020 Incentive Plan, constitute the entire agreement between Executive and Company concerning the subject matter hereof, and supersedes all prior negotiations, undertakings, agreements and arrangements with respect thereto, whether written or oral. If a court of competent jurisdiction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 The various covenants and provisions of this Agreement are intended to be severable and to constitute independent and distinct binding obligations. Without limiting the generality of the foregoing, if the scope of any covenant contained in this Agreement is too broad to permit enforcement to its full extent, such covenant shall be enforced to the maximum extent permitted by law, and Executive hereby agrees that such scope may be judicially modified accordingly.</w:t>
      </w:r>
    </w:p>
    <w:p>
      <w:pPr>
        <w:spacing w:after="0" w:line="187" w:lineRule="exact"/>
        <w:rPr>
          <w:rFonts w:ascii="Times New Roman" w:cs="Times New Roman" w:eastAsia="Times New Roman" w:hAnsi="Times New Roman"/>
          <w:sz w:val="22"/>
          <w:szCs w:val="22"/>
          <w:color w:val="auto"/>
        </w:rPr>
      </w:pPr>
    </w:p>
    <w:p>
      <w:pPr>
        <w:ind w:right="160" w:firstLine="656"/>
        <w:spacing w:after="0" w:line="244"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Company may withhold from any amounts or other benefits payable under this Agreement all federal, state, city or other taxes as may be required pursuant to any law, governmental regulation or ruling.</w:t>
      </w:r>
    </w:p>
    <w:p>
      <w:pPr>
        <w:spacing w:after="0" w:line="173" w:lineRule="exact"/>
        <w:rPr>
          <w:rFonts w:ascii="Times New Roman" w:cs="Times New Roman" w:eastAsia="Times New Roman" w:hAnsi="Times New Roman"/>
          <w:sz w:val="22"/>
          <w:szCs w:val="22"/>
          <w:color w:val="auto"/>
        </w:rPr>
      </w:pPr>
    </w:p>
    <w:p>
      <w:pPr>
        <w:ind w:right="120" w:firstLine="656"/>
        <w:spacing w:after="0" w:line="235"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w:t>
      </w:r>
      <w:r>
        <w:rPr>
          <w:rFonts w:ascii="Times New Roman" w:cs="Times New Roman" w:eastAsia="Times New Roman" w:hAnsi="Times New Roman"/>
          <w:sz w:val="22"/>
          <w:szCs w:val="22"/>
          <w:color w:val="auto"/>
        </w:rPr>
        <w:t xml:space="preserve">t. Executive’s rights to receive payments or benefits under this Agreement shall not be assignable or transferable whether by pledge, creation of a security interest or otherwise, other than a transfer by will, by the laws of descent or distribution or to a revocable living trust of Executive. In the event of any attempted assignment or transfer contrary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Company shall have no liability to pay any amount so attempted to be assigned or transferred. This Agreement shall inure to the benefit of and be enforceable by Executive’s personal or legal representatives, executors, administrators, successors, heirs, distributees, devisees and legatees.</w:t>
      </w:r>
    </w:p>
    <w:p>
      <w:pPr>
        <w:spacing w:after="0" w:line="183" w:lineRule="exact"/>
        <w:rPr>
          <w:rFonts w:ascii="Times New Roman" w:cs="Times New Roman" w:eastAsia="Times New Roman" w:hAnsi="Times New Roman"/>
          <w:sz w:val="22"/>
          <w:szCs w:val="22"/>
          <w:color w:val="auto"/>
        </w:rPr>
      </w:pPr>
    </w:p>
    <w:p>
      <w:pPr>
        <w:ind w:right="740" w:firstLine="656"/>
        <w:spacing w:after="0" w:line="282" w:lineRule="auto"/>
        <w:tabs>
          <w:tab w:leader="none" w:pos="129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shall be binding upon and inure to the benefit of Company, its successors and assigns (including any company into or with which Company may merge or consolidate).</w:t>
      </w:r>
    </w:p>
    <w:p>
      <w:pPr>
        <w:spacing w:after="0" w:line="134" w:lineRule="exact"/>
        <w:rPr>
          <w:rFonts w:ascii="Times New Roman" w:cs="Times New Roman" w:eastAsia="Times New Roman" w:hAnsi="Times New Roman"/>
          <w:sz w:val="21"/>
          <w:szCs w:val="21"/>
          <w:color w:val="auto"/>
        </w:rPr>
      </w:pPr>
    </w:p>
    <w:p>
      <w:pPr>
        <w:ind w:right="480" w:firstLine="656"/>
        <w:spacing w:after="0" w:line="258"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w:t>
      </w:r>
      <w:r>
        <w:rPr>
          <w:rFonts w:ascii="Times New Roman" w:cs="Times New Roman" w:eastAsia="Times New Roman" w:hAnsi="Times New Roman"/>
          <w:sz w:val="22"/>
          <w:szCs w:val="22"/>
          <w:color w:val="auto"/>
        </w:rPr>
        <w:t xml:space="preserve">l. The provisions of </w:t>
      </w:r>
      <w:r>
        <w:rPr>
          <w:rFonts w:ascii="Times New Roman" w:cs="Times New Roman" w:eastAsia="Times New Roman" w:hAnsi="Times New Roman"/>
          <w:sz w:val="22"/>
          <w:szCs w:val="22"/>
          <w:u w:val="single" w:color="auto"/>
          <w:color w:val="auto"/>
        </w:rPr>
        <w:t>Sections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9,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15</w:t>
      </w:r>
      <w:r>
        <w:rPr>
          <w:rFonts w:ascii="Times New Roman" w:cs="Times New Roman" w:eastAsia="Times New Roman" w:hAnsi="Times New Roman"/>
          <w:sz w:val="22"/>
          <w:szCs w:val="22"/>
          <w:color w:val="auto"/>
        </w:rPr>
        <w:t xml:space="preserve"> shall survive the termination of this Agreement.</w:t>
      </w:r>
    </w:p>
    <w:p>
      <w:pPr>
        <w:spacing w:after="0" w:line="158" w:lineRule="exact"/>
        <w:rPr>
          <w:rFonts w:ascii="Times New Roman" w:cs="Times New Roman" w:eastAsia="Times New Roman" w:hAnsi="Times New Roman"/>
          <w:sz w:val="22"/>
          <w:szCs w:val="22"/>
          <w:color w:val="auto"/>
        </w:rPr>
      </w:pPr>
    </w:p>
    <w:p>
      <w:pPr>
        <w:ind w:right="100" w:firstLine="656"/>
        <w:spacing w:after="0" w:line="236"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Waivers</w:t>
      </w:r>
      <w:r>
        <w:rPr>
          <w:rFonts w:ascii="Times New Roman" w:cs="Times New Roman" w:eastAsia="Times New Roman" w:hAnsi="Times New Roman"/>
          <w:sz w:val="22"/>
          <w:szCs w:val="22"/>
          <w:color w:val="auto"/>
        </w:rPr>
        <w:t>. This Agreement may not be amended or modified except by written agreement signed by Executive and Company. No waiver of any provision or condition of this Agreement by any party shall be valid unless set forth in a writing signed by such party. No such waiver shall be deemed to be a waiver of any other or similar provision or condition, or of any future event, act, breach or default, and no course of dealing shall be implied or arise from any waiver or series of waivers (written or otherwise) of any right or remedy hereunder.</w:t>
      </w:r>
    </w:p>
    <w:p>
      <w:pPr>
        <w:spacing w:after="0" w:line="181" w:lineRule="exact"/>
        <w:rPr>
          <w:rFonts w:ascii="Times New Roman" w:cs="Times New Roman" w:eastAsia="Times New Roman" w:hAnsi="Times New Roman"/>
          <w:sz w:val="22"/>
          <w:szCs w:val="22"/>
          <w:color w:val="auto"/>
        </w:rPr>
      </w:pPr>
    </w:p>
    <w:p>
      <w:pPr>
        <w:ind w:right="80" w:firstLine="656"/>
        <w:spacing w:after="0" w:line="258"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Participation</w:t>
      </w:r>
      <w:r>
        <w:rPr>
          <w:rFonts w:ascii="Times New Roman" w:cs="Times New Roman" w:eastAsia="Times New Roman" w:hAnsi="Times New Roman"/>
          <w:sz w:val="22"/>
          <w:szCs w:val="22"/>
          <w:color w:val="auto"/>
        </w:rPr>
        <w:t>. The parties hereto participated jointly in the negotiation and preparation of this Agreement, and each party has had the opportunity to obtain the advice of legal counsel and to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2" w:right="1019" w:bottom="1440" w:gutter="0" w:footer="0" w:header="0"/>
        </w:sectPr>
      </w:pPr>
    </w:p>
    <w:bookmarkStart w:id="50" w:name="page51"/>
    <w:bookmarkEnd w:id="50"/>
    <w:p>
      <w:pPr>
        <w:jc w:val="both"/>
        <w:ind w:right="80"/>
        <w:spacing w:after="0" w:line="262" w:lineRule="auto"/>
        <w:rPr>
          <w:sz w:val="20"/>
          <w:szCs w:val="20"/>
          <w:color w:val="auto"/>
        </w:rPr>
      </w:pPr>
      <w:r>
        <w:rPr>
          <w:rFonts w:ascii="Times New Roman" w:cs="Times New Roman" w:eastAsia="Times New Roman" w:hAnsi="Times New Roman"/>
          <w:sz w:val="21"/>
          <w:szCs w:val="21"/>
          <w:color w:val="auto"/>
        </w:rPr>
        <w:t>comment upon the Agreement. Accordingly, it is agreed that no rule of construction shall apply against any party or in favor of any party. This Agreement shall be construed as if the parties jointly prepared this Agreement, and any uncertainty or ambiguity shall not be interpreted against one party and in favor of the other.</w:t>
      </w:r>
    </w:p>
    <w:p>
      <w:pPr>
        <w:spacing w:after="0" w:line="155" w:lineRule="exact"/>
        <w:rPr>
          <w:sz w:val="20"/>
          <w:szCs w:val="20"/>
          <w:color w:val="auto"/>
        </w:rPr>
      </w:pPr>
    </w:p>
    <w:p>
      <w:pPr>
        <w:ind w:right="20" w:firstLine="656"/>
        <w:spacing w:after="0" w:line="238" w:lineRule="auto"/>
        <w:tabs>
          <w:tab w:leader="none" w:pos="129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Agreemen</w:t>
      </w:r>
      <w:r>
        <w:rPr>
          <w:rFonts w:ascii="Times New Roman" w:cs="Times New Roman" w:eastAsia="Times New Roman" w:hAnsi="Times New Roman"/>
          <w:sz w:val="22"/>
          <w:szCs w:val="22"/>
          <w:color w:val="auto"/>
        </w:rPr>
        <w:t>t. Executive hereby represents and warrants to Company that she is not subject to any existing non- competition or other restrictive agreements, clauses or arrangements, written or oral, that in any way prohibit or constrain in any material respect her acceptance of and/or performance of duties pursuant to this Agreement, or that in any manner circumscribe the scope of activities or other business that she is entitled to pursue and consummate on behalf of Company.</w:t>
      </w:r>
    </w:p>
    <w:p>
      <w:pPr>
        <w:spacing w:after="0" w:line="176"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Miscellaneous</w:t>
      </w:r>
      <w:r>
        <w:rPr>
          <w:rFonts w:ascii="Times New Roman" w:cs="Times New Roman" w:eastAsia="Times New Roman" w:hAnsi="Times New Roman"/>
          <w:sz w:val="21"/>
          <w:szCs w:val="21"/>
          <w:color w:val="auto"/>
        </w:rPr>
        <w:t>. Whenever used in this Agreement, the singular shall include the plural and vice versa (where applicable), the use of the masculine, feminine or neuter gender shall be deemed to include the other genders (unless the context otherwise requires), the words “hereof,” “herein,” “hereto,” “hereby,” “hereunder,” and other words of similar import refer to this Agreement as a whole (including exhibits), the words “include,” “includes” and “including” means “include, without limitation,” “includes, without limitation” and “including, without limitation,” respectively.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 any party hereunder are cumulative and not alternative, and are in addition to any other remedies available at law, in equity or otherwise.</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4728210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2" w:right="10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first set forth above.</w:t>
      </w:r>
    </w:p>
    <w:p>
      <w:pPr>
        <w:sectPr>
          <w:pgSz w:w="11900" w:h="16838" w:orient="portrait"/>
          <w:cols w:equalWidth="0" w:num="1">
            <w:col w:w="9479"/>
          </w:cols>
          <w:pgMar w:left="980" w:top="5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COMPANY:</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LORDSTOWN MOTORS CORP.</w:t>
      </w:r>
    </w:p>
    <w:p>
      <w:pPr>
        <w:spacing w:after="0" w:line="183"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 Edward T. Hightower</w:t>
            </w:r>
          </w:p>
        </w:tc>
      </w:tr>
      <w:tr>
        <w:trPr>
          <w:trHeight w:val="236"/>
        </w:trPr>
        <w:tc>
          <w:tcPr>
            <w:tcW w:w="98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12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rPr>
              <w:t>Edward T. Hightower</w:t>
            </w:r>
          </w:p>
        </w:tc>
        <w:tc>
          <w:tcPr>
            <w:tcW w:w="20" w:type="dxa"/>
            <w:vAlign w:val="bottom"/>
          </w:tcPr>
          <w:p>
            <w:pPr>
              <w:spacing w:after="0"/>
              <w:rPr>
                <w:sz w:val="20"/>
                <w:szCs w:val="20"/>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-340995</wp:posOffset>
            </wp:positionV>
            <wp:extent cx="1270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127000" cy="8255"/>
                    </a:xfrm>
                    <a:prstGeom prst="rect">
                      <a:avLst/>
                    </a:prstGeom>
                    <a:noFill/>
                  </pic:spPr>
                </pic:pic>
              </a:graphicData>
            </a:graphic>
          </wp:anchor>
        </w:drawing>
      </w:r>
    </w:p>
    <w:p>
      <w:pPr>
        <w:spacing w:after="0" w:line="15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EXECUTIVE:</w:t>
      </w: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 Donna L.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3829050</wp:posOffset>
            </wp:positionH>
            <wp:positionV relativeFrom="paragraph">
              <wp:posOffset>-13335</wp:posOffset>
            </wp:positionV>
            <wp:extent cx="1158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158240" cy="8890"/>
                    </a:xfrm>
                    <a:prstGeom prst="rect">
                      <a:avLst/>
                    </a:prstGeom>
                    <a:noFill/>
                  </pic:spPr>
                </pic:pic>
              </a:graphicData>
            </a:graphic>
          </wp:anchor>
        </w:drawing>
      </w:r>
    </w:p>
    <w:p>
      <w:pPr>
        <w:ind w:left="4540"/>
        <w:spacing w:after="0"/>
        <w:rPr>
          <w:sz w:val="20"/>
          <w:szCs w:val="20"/>
          <w:color w:val="auto"/>
        </w:rPr>
      </w:pPr>
      <w:r>
        <w:rPr>
          <w:rFonts w:ascii="Times New Roman" w:cs="Times New Roman" w:eastAsia="Times New Roman" w:hAnsi="Times New Roman"/>
          <w:sz w:val="22"/>
          <w:szCs w:val="22"/>
          <w:color w:val="auto"/>
        </w:rPr>
        <w:t>Donna L.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71" w:right="1440" w:bottom="1440" w:gutter="0" w:footer="0" w:header="0"/>
          <w:type w:val="continuous"/>
        </w:sectPr>
      </w:pPr>
    </w:p>
    <w:bookmarkStart w:id="52" w:name="page53"/>
    <w:bookmarkEnd w:id="5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4" w:lineRule="exact"/>
        <w:rPr>
          <w:sz w:val="20"/>
          <w:szCs w:val="20"/>
          <w:color w:val="auto"/>
        </w:rPr>
      </w:pPr>
    </w:p>
    <w:p>
      <w:pPr>
        <w:jc w:val="both"/>
        <w:ind w:left="200" w:right="219" w:firstLine="648"/>
        <w:spacing w:after="0" w:line="268" w:lineRule="auto"/>
        <w:rPr>
          <w:sz w:val="20"/>
          <w:szCs w:val="20"/>
          <w:color w:val="auto"/>
        </w:rPr>
      </w:pPr>
      <w:r>
        <w:rPr>
          <w:rFonts w:ascii="Times New Roman" w:cs="Times New Roman" w:eastAsia="Times New Roman" w:hAnsi="Times New Roman"/>
          <w:sz w:val="21"/>
          <w:szCs w:val="21"/>
          <w:color w:val="auto"/>
        </w:rPr>
        <w:t>THIS AMENDED AND RESTATED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made and entered into as of August 3, 2022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is by and between Lordstown Motors Corp., a Delaware corporation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Daniel Ninivaggi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xml:space="preserve">”). Certain capitalized terms shall have the meaning given to them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below.</w:t>
      </w:r>
    </w:p>
    <w:p>
      <w:pPr>
        <w:spacing w:after="0" w:line="163"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Company and the Executive are parties to that certain Employment Agreement dated as of August 26, 2021 (the “</w:t>
      </w:r>
      <w:r>
        <w:rPr>
          <w:rFonts w:ascii="Times New Roman" w:cs="Times New Roman" w:eastAsia="Times New Roman" w:hAnsi="Times New Roman"/>
          <w:sz w:val="22"/>
          <w:szCs w:val="22"/>
          <w:u w:val="single" w:color="auto"/>
          <w:color w:val="auto"/>
        </w:rPr>
        <w:t>Original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Company and the Executive are parties to an Amendment to Employment Agreement dated as of November 9, 2021 (the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648"/>
        <w:spacing w:after="0" w:line="271" w:lineRule="auto"/>
        <w:rPr>
          <w:sz w:val="20"/>
          <w:szCs w:val="20"/>
          <w:color w:val="auto"/>
        </w:rPr>
      </w:pPr>
      <w:r>
        <w:rPr>
          <w:rFonts w:ascii="Times New Roman" w:cs="Times New Roman" w:eastAsia="Times New Roman" w:hAnsi="Times New Roman"/>
          <w:sz w:val="22"/>
          <w:szCs w:val="22"/>
          <w:color w:val="auto"/>
        </w:rPr>
        <w:t>WHEREAS, Company and Executive desire to enter into an amended and restated employment agreement on the terms and conditions set forth herein;</w:t>
      </w:r>
    </w:p>
    <w:p>
      <w:pPr>
        <w:spacing w:after="0" w:line="158" w:lineRule="exact"/>
        <w:rPr>
          <w:sz w:val="20"/>
          <w:szCs w:val="20"/>
          <w:color w:val="auto"/>
        </w:rPr>
      </w:pPr>
    </w:p>
    <w:p>
      <w:pPr>
        <w:jc w:val="both"/>
        <w:ind w:left="200" w:right="219" w:firstLine="648"/>
        <w:spacing w:after="0" w:line="257" w:lineRule="auto"/>
        <w:rPr>
          <w:sz w:val="20"/>
          <w:szCs w:val="20"/>
          <w:color w:val="auto"/>
        </w:rPr>
      </w:pPr>
      <w:r>
        <w:rPr>
          <w:rFonts w:ascii="Times New Roman" w:cs="Times New Roman" w:eastAsia="Times New Roman" w:hAnsi="Times New Roman"/>
          <w:sz w:val="22"/>
          <w:szCs w:val="22"/>
          <w:color w:val="auto"/>
        </w:rPr>
        <w:t>WHEREAS, Company considers Executive a “key executive” and agrees to provide Executive the significant consideration described in this Agreement as and for Company’s retention of Executive; and</w:t>
      </w:r>
    </w:p>
    <w:p>
      <w:pPr>
        <w:spacing w:after="0" w:line="173" w:lineRule="exact"/>
        <w:rPr>
          <w:sz w:val="20"/>
          <w:szCs w:val="20"/>
          <w:color w:val="auto"/>
        </w:rPr>
      </w:pPr>
    </w:p>
    <w:p>
      <w:pPr>
        <w:jc w:val="both"/>
        <w:ind w:left="200" w:right="239" w:firstLine="648"/>
        <w:spacing w:after="0" w:line="257" w:lineRule="auto"/>
        <w:rPr>
          <w:sz w:val="20"/>
          <w:szCs w:val="20"/>
          <w:color w:val="auto"/>
        </w:rPr>
      </w:pPr>
      <w:r>
        <w:rPr>
          <w:rFonts w:ascii="Times New Roman" w:cs="Times New Roman" w:eastAsia="Times New Roman" w:hAnsi="Times New Roman"/>
          <w:sz w:val="22"/>
          <w:szCs w:val="22"/>
          <w:color w:val="auto"/>
        </w:rPr>
        <w:t>WHEREAS, Company and Executive desire to enter into this Agreement as of the Effective Date and this Agreement shall supersede all prior employment terms and conditions, including the Original Agreement and the Amendment, whether or not in writing.</w:t>
      </w:r>
    </w:p>
    <w:p>
      <w:pPr>
        <w:spacing w:after="0" w:line="173"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NOW, THEREFORE, in consideration of the premises and of the covenants and agreements hereinafter contained, and other good and valuable consideration, the receipt and sufficiency of which are hereby acknowledged, the parties hereto do hereby covenant and agree as follows:</w:t>
      </w:r>
    </w:p>
    <w:p>
      <w:pPr>
        <w:spacing w:after="0" w:line="179" w:lineRule="exact"/>
        <w:rPr>
          <w:sz w:val="20"/>
          <w:szCs w:val="20"/>
          <w:color w:val="auto"/>
        </w:rPr>
      </w:pPr>
    </w:p>
    <w:p>
      <w:pPr>
        <w:jc w:val="both"/>
        <w:ind w:left="200" w:right="219" w:firstLine="657"/>
        <w:spacing w:after="0" w:line="249" w:lineRule="auto"/>
        <w:tabs>
          <w:tab w:leader="none" w:pos="14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Subject to the terms and conditions of this Agreement, Company hereby agrees to employ Executive as the Executive Chairman (“</w:t>
      </w:r>
      <w:r>
        <w:rPr>
          <w:rFonts w:ascii="Times New Roman" w:cs="Times New Roman" w:eastAsia="Times New Roman" w:hAnsi="Times New Roman"/>
          <w:sz w:val="22"/>
          <w:szCs w:val="22"/>
          <w:u w:val="single" w:color="auto"/>
          <w:color w:val="auto"/>
        </w:rPr>
        <w:t>Executive Chairman</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during the Employment Period, and Executive hereby agrees to be employed by Company and provide services for and on behalf of Company, the Subsidiaries, MIH EV Design LLC and other entities in which the Company or a Subsidiary has an interest during the Employment Period subject to and in accordance with this Agreement. The period from the date of this Agreement until the Termination Date shall be referred to as the “</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left="200" w:right="219" w:firstLine="657"/>
        <w:spacing w:after="0" w:line="260" w:lineRule="auto"/>
        <w:tabs>
          <w:tab w:leader="none" w:pos="149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xml:space="preserve">. Executive agrees that, during the Employment Period, Executive will serve Company diligently and in good faith and will, subject to the exceptions below, devote his full business time, energies and talents to serving as the Executive Chairman of Company and to providing services to, or holding offices with, Subsidiaries, MIH EV Design LLC and other entities in which the Company or a Subsidiary has an interest, subject to and at the direction of the Board of Directors. Executive shall: (a) have such duties and responsibilities commensurate with his position as Executive Chairman, </w:t>
      </w:r>
      <w:r>
        <w:rPr>
          <w:rFonts w:ascii="Times New Roman" w:cs="Times New Roman" w:eastAsia="Times New Roman" w:hAnsi="Times New Roman"/>
          <w:sz w:val="21"/>
          <w:szCs w:val="21"/>
          <w:color w:val="212121"/>
        </w:rPr>
        <w:t>including corporate strategy, capital allocation and such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12121"/>
        </w:rPr>
        <w:t>responsibilities a</w:t>
      </w:r>
      <w:r>
        <w:rPr>
          <w:rFonts w:ascii="Times New Roman" w:cs="Times New Roman" w:eastAsia="Times New Roman" w:hAnsi="Times New Roman"/>
          <w:sz w:val="21"/>
          <w:szCs w:val="21"/>
          <w:color w:val="000000"/>
        </w:rPr>
        <w:t>s may be reasonably assigned to Executive from time to time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325755</wp:posOffset>
            </wp:positionV>
            <wp:extent cx="54521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both"/>
        <w:ind w:left="200" w:right="219"/>
        <w:spacing w:after="0" w:line="245" w:lineRule="auto"/>
        <w:rPr>
          <w:sz w:val="20"/>
          <w:szCs w:val="20"/>
          <w:color w:val="auto"/>
        </w:rPr>
      </w:pPr>
      <w:r>
        <w:rPr>
          <w:rFonts w:ascii="Times New Roman" w:cs="Times New Roman" w:eastAsia="Times New Roman" w:hAnsi="Times New Roman"/>
          <w:sz w:val="22"/>
          <w:szCs w:val="22"/>
          <w:color w:val="auto"/>
        </w:rPr>
        <w:t>Directors; (b) perform all lawful duties assigned to Executive in good faith, subject to the reasonable direction of the Board of Directors; and (c) act in accordance with written Company policies as may be in effect from time to time. Notwithstanding the foregoing, during the Employment Period Executive may devote reasonable time to activities other than those required under this Agreement, including activities of a charitable, educational, religious or similar nature (including professional associations); provided such activities do not inhibit, prohibit, interfere with or breach any of Executive’s duties under this Agreement or common law, or otherwise conflict in any material way with the Company Business. Notwithstanding the foregoing, Executive shall be authorized to perform services and engage in business activities related to his service: (i) as Chairman or member of the Board Directors of Garrett Motion, Inc. and (ii) as a director of not more than one other company, public or private, that does not present a conflict of interest with the Company Business, as approved by the Board of Directors.</w:t>
      </w:r>
    </w:p>
    <w:p>
      <w:pPr>
        <w:spacing w:after="0" w:line="195" w:lineRule="exact"/>
        <w:rPr>
          <w:sz w:val="20"/>
          <w:szCs w:val="20"/>
          <w:color w:val="auto"/>
        </w:rPr>
      </w:pPr>
    </w:p>
    <w:p>
      <w:pPr>
        <w:jc w:val="both"/>
        <w:ind w:left="200" w:right="219" w:firstLine="657"/>
        <w:spacing w:after="0" w:line="253" w:lineRule="auto"/>
        <w:tabs>
          <w:tab w:leader="none" w:pos="149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 Subject to the terms and conditions of this Agreement, Company shall pay Executive, and Executive agrees to accept from Company, as compensation in full for his services to be performed hereunder and for the faithful performance and observance of all of his obligations to Company hereunder, the following annual salary and other compensation during the Employment Period:</w:t>
      </w:r>
    </w:p>
    <w:p>
      <w:pPr>
        <w:spacing w:after="0" w:line="178" w:lineRule="exact"/>
        <w:rPr>
          <w:rFonts w:ascii="Times New Roman" w:cs="Times New Roman" w:eastAsia="Times New Roman" w:hAnsi="Times New Roman"/>
          <w:sz w:val="22"/>
          <w:szCs w:val="22"/>
          <w:color w:val="auto"/>
        </w:rPr>
      </w:pPr>
    </w:p>
    <w:p>
      <w:pPr>
        <w:jc w:val="both"/>
        <w:ind w:left="200" w:right="219" w:firstLine="1305"/>
        <w:spacing w:after="0" w:line="259" w:lineRule="auto"/>
        <w:tabs>
          <w:tab w:leader="none" w:pos="2144" w:val="left"/>
        </w:tabs>
        <w:numPr>
          <w:ilvl w:val="2"/>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Company shall pay to Executive a base salary in the amount of up to $675,000 per annum (the “</w:t>
      </w:r>
      <w:r>
        <w:rPr>
          <w:rFonts w:ascii="Times New Roman" w:cs="Times New Roman" w:eastAsia="Times New Roman" w:hAnsi="Times New Roman"/>
          <w:sz w:val="21"/>
          <w:szCs w:val="21"/>
          <w:u w:val="single" w:color="auto"/>
          <w:color w:val="auto"/>
        </w:rPr>
        <w:t>Annual Base Salary</w:t>
      </w:r>
      <w:r>
        <w:rPr>
          <w:rFonts w:ascii="Times New Roman" w:cs="Times New Roman" w:eastAsia="Times New Roman" w:hAnsi="Times New Roman"/>
          <w:sz w:val="21"/>
          <w:szCs w:val="21"/>
          <w:color w:val="auto"/>
        </w:rPr>
        <w:t>”), consisting of (i) a cash component of $450,000 (the “Non-</w:t>
      </w:r>
      <w:r>
        <w:rPr>
          <w:rFonts w:ascii="Times New Roman" w:cs="Times New Roman" w:eastAsia="Times New Roman" w:hAnsi="Times New Roman"/>
          <w:sz w:val="21"/>
          <w:szCs w:val="21"/>
          <w:u w:val="single" w:color="auto"/>
          <w:color w:val="auto"/>
        </w:rPr>
        <w:t>Contingent Base Salary”)</w:t>
      </w:r>
      <w:r>
        <w:rPr>
          <w:rFonts w:ascii="Times New Roman" w:cs="Times New Roman" w:eastAsia="Times New Roman" w:hAnsi="Times New Roman"/>
          <w:sz w:val="21"/>
          <w:szCs w:val="21"/>
          <w:color w:val="auto"/>
        </w:rPr>
        <w:t xml:space="preserve"> payable in equal periodic installments less all customary payroll deductions (with such annual salary for any part of a month to be paid on a pro-rated basis), in accordance with customary policies and normal payroll practices of Company, and</w:t>
      </w:r>
    </w:p>
    <w:p>
      <w:pPr>
        <w:spacing w:after="0" w:line="3" w:lineRule="exact"/>
        <w:rPr>
          <w:rFonts w:ascii="Times New Roman" w:cs="Times New Roman" w:eastAsia="Times New Roman" w:hAnsi="Times New Roman"/>
          <w:sz w:val="21"/>
          <w:szCs w:val="21"/>
          <w:color w:val="010000"/>
        </w:rPr>
      </w:pPr>
    </w:p>
    <w:p>
      <w:pPr>
        <w:jc w:val="both"/>
        <w:ind w:left="200" w:right="219" w:firstLine="9"/>
        <w:spacing w:after="0" w:line="243" w:lineRule="auto"/>
        <w:tabs>
          <w:tab w:leader="none" w:pos="53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contingent component of $225,000 (the “</w:t>
      </w:r>
      <w:r>
        <w:rPr>
          <w:rFonts w:ascii="Times New Roman" w:cs="Times New Roman" w:eastAsia="Times New Roman" w:hAnsi="Times New Roman"/>
          <w:sz w:val="22"/>
          <w:szCs w:val="22"/>
          <w:u w:val="single" w:color="auto"/>
          <w:color w:val="auto"/>
        </w:rPr>
        <w:t>Contingent Base Salary</w:t>
      </w:r>
      <w:r>
        <w:rPr>
          <w:rFonts w:ascii="Times New Roman" w:cs="Times New Roman" w:eastAsia="Times New Roman" w:hAnsi="Times New Roman"/>
          <w:sz w:val="22"/>
          <w:szCs w:val="22"/>
          <w:color w:val="auto"/>
        </w:rPr>
        <w:t>”) payable if the aggregate market value of Company’s equity securities exceeds the Market Cap Threshold (defined below) for the applicable year as a lump sum less all customary payroll deductions on the first payroll date that is at least two (2) weeks after December 31 of such year but not later than February 1 (with such component for any part of a year to be payable on a pro-rated basis for the number of days that Executive is employed for such year if Executive is no longer employed as of December 31) in accordance with customary policies and normal payroll practices of Company. The “</w:t>
      </w:r>
      <w:r>
        <w:rPr>
          <w:rFonts w:ascii="Times New Roman" w:cs="Times New Roman" w:eastAsia="Times New Roman" w:hAnsi="Times New Roman"/>
          <w:sz w:val="22"/>
          <w:szCs w:val="22"/>
          <w:u w:val="single" w:color="auto"/>
          <w:color w:val="auto"/>
        </w:rPr>
        <w:t>Market Cap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Threshold</w:t>
      </w:r>
      <w:r>
        <w:rPr>
          <w:rFonts w:ascii="Times New Roman" w:cs="Times New Roman" w:eastAsia="Times New Roman" w:hAnsi="Times New Roman"/>
          <w:sz w:val="22"/>
          <w:szCs w:val="22"/>
          <w:color w:val="auto"/>
        </w:rPr>
        <w:t>” is $750 million in 2022, $1 billion in 2023 and $1.25 billion thereafter, measured based on the closing market price of Company’s Class A common stock as quoted on the stock exchange or national market system on which the Class A common stock is then listed for any five (5) consecutive trading days in December of the applicable calendar year. Executive and Company may agree to the payment of all or a portion of any Contingent Base Salary earned in the form of Class A common stock.</w:t>
      </w:r>
    </w:p>
    <w:p>
      <w:pPr>
        <w:spacing w:after="0" w:line="196" w:lineRule="exact"/>
        <w:rPr>
          <w:rFonts w:ascii="Times New Roman" w:cs="Times New Roman" w:eastAsia="Times New Roman" w:hAnsi="Times New Roman"/>
          <w:sz w:val="22"/>
          <w:szCs w:val="22"/>
          <w:color w:val="auto"/>
        </w:rPr>
      </w:pPr>
    </w:p>
    <w:p>
      <w:pPr>
        <w:jc w:val="both"/>
        <w:ind w:left="200" w:right="219" w:firstLine="1305"/>
        <w:spacing w:after="0" w:line="247" w:lineRule="auto"/>
        <w:tabs>
          <w:tab w:leader="none" w:pos="2144" w:val="left"/>
        </w:tabs>
        <w:numPr>
          <w:ilvl w:val="2"/>
          <w:numId w:val="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Except as provided herein, Executive shall be eligible to receive an annual bonus during the Employment Period with an annual target bonus equal to 80% of the actual amount of Annual Base Salary earned for the year in accordance with Section 3(a), based on Company and individual performance and subject to the discretion of the Board of Directors or a committee thereof. For the fiscal year ending December 31, 2022, Executive shall be eligible to receive an annual bonus at a target equal to 105% of his actual Annual Base Salary earned in such calendar year, based on Company and individual performance and subject to the discretion of the Board of Directors or a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4" w:name="page55"/>
    <w:bookmarkEnd w:id="54"/>
    <w:p>
      <w:pPr>
        <w:jc w:val="both"/>
        <w:ind w:left="200" w:right="219" w:firstLine="1305"/>
        <w:spacing w:after="0" w:line="248" w:lineRule="auto"/>
        <w:tabs>
          <w:tab w:leader="none" w:pos="2144"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During the Employment Period, Executive and Executive’s dependents, as the case may be, shall be eligible to participate in all executive plans and programs as in effect from time to time thereof generally available to other executives of Company and subject to the terms and conditions thereof, including a 401(k) Plan, medical and dental, and disability benefits. Notwithstanding the foregoing, Company shall be permitted to amend, add to or eliminate the benefit plans at any time and at Company’s sole discretion.</w:t>
      </w:r>
    </w:p>
    <w:p>
      <w:pPr>
        <w:spacing w:after="0" w:line="186" w:lineRule="exact"/>
        <w:rPr>
          <w:rFonts w:ascii="Times New Roman" w:cs="Times New Roman" w:eastAsia="Times New Roman" w:hAnsi="Times New Roman"/>
          <w:sz w:val="22"/>
          <w:szCs w:val="22"/>
          <w:color w:val="010000"/>
        </w:rPr>
      </w:pPr>
    </w:p>
    <w:p>
      <w:pPr>
        <w:jc w:val="both"/>
        <w:ind w:left="200" w:right="219" w:firstLine="1305"/>
        <w:spacing w:after="0" w:line="252" w:lineRule="auto"/>
        <w:tabs>
          <w:tab w:leader="none" w:pos="2144"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Executive shall be entitled to vacation time consistent with Company’s established programs and policies as may be in effect during the Employment Period; provided that Executive shall be entitled to four (4) weeks of vacation per year (which, if not used in a fiscal year, will not be carried to the next fiscal year).</w:t>
      </w:r>
    </w:p>
    <w:p>
      <w:pPr>
        <w:spacing w:after="0" w:line="179" w:lineRule="exact"/>
        <w:rPr>
          <w:rFonts w:ascii="Times New Roman" w:cs="Times New Roman" w:eastAsia="Times New Roman" w:hAnsi="Times New Roman"/>
          <w:sz w:val="22"/>
          <w:szCs w:val="22"/>
          <w:color w:val="010000"/>
        </w:rPr>
      </w:pPr>
    </w:p>
    <w:p>
      <w:pPr>
        <w:jc w:val="both"/>
        <w:ind w:left="200" w:right="219" w:firstLine="1305"/>
        <w:spacing w:after="0" w:line="249" w:lineRule="auto"/>
        <w:tabs>
          <w:tab w:leader="none" w:pos="2144"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Executive shall be reimbursed by Company, on terms and conditions that are substantially similar to those that apply to other similarly situated executives of Company, for reasonable out-of-pocket expenses for entertainment, travel, meals, lodging and similar items which are actually incurred by Executive in connection with the Company Business (including without limitation travel expenses to the Company’s California and Ohio facilities, provided that Executive complies with the policies, practices and procedures of Company for incurring expenses and submitting expense reports, receipts, or similar documentation of any such expenses.</w:t>
      </w:r>
    </w:p>
    <w:p>
      <w:pPr>
        <w:spacing w:after="0" w:line="181" w:lineRule="exact"/>
        <w:rPr>
          <w:rFonts w:ascii="Times New Roman" w:cs="Times New Roman" w:eastAsia="Times New Roman" w:hAnsi="Times New Roman"/>
          <w:sz w:val="22"/>
          <w:szCs w:val="22"/>
          <w:color w:val="010000"/>
        </w:rPr>
      </w:pPr>
    </w:p>
    <w:p>
      <w:pPr>
        <w:jc w:val="both"/>
        <w:ind w:left="200" w:right="219" w:firstLine="1305"/>
        <w:spacing w:after="0" w:line="248" w:lineRule="auto"/>
        <w:tabs>
          <w:tab w:leader="none" w:pos="2144" w:val="left"/>
        </w:tabs>
        <w:numPr>
          <w:ilvl w:val="1"/>
          <w:numId w:val="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Award</w:t>
      </w:r>
      <w:r>
        <w:rPr>
          <w:rFonts w:ascii="Times New Roman" w:cs="Times New Roman" w:eastAsia="Times New Roman" w:hAnsi="Times New Roman"/>
          <w:sz w:val="22"/>
          <w:szCs w:val="22"/>
          <w:color w:val="auto"/>
        </w:rPr>
        <w:t>. Company intends to make annual equity compensation awards and Executive will be eligible for annual equity awards based on Executive’s seniority and Executive’s and Company’s performance, all at the discretion of the Board of Directors or a committee thereof. All stock options granted by Company to Executive shall permit Executive to exercise vested options for up to one year following termination of employment for any reason other than Cause (but in no event later than the full option term).</w:t>
      </w:r>
    </w:p>
    <w:p>
      <w:pPr>
        <w:spacing w:after="0" w:line="186" w:lineRule="exact"/>
        <w:rPr>
          <w:rFonts w:ascii="Times New Roman" w:cs="Times New Roman" w:eastAsia="Times New Roman" w:hAnsi="Times New Roman"/>
          <w:sz w:val="22"/>
          <w:szCs w:val="22"/>
          <w:color w:val="010000"/>
        </w:rPr>
      </w:pPr>
    </w:p>
    <w:p>
      <w:pPr>
        <w:jc w:val="both"/>
        <w:ind w:left="200" w:right="219" w:firstLine="1305"/>
        <w:spacing w:after="0" w:line="265" w:lineRule="auto"/>
        <w:tabs>
          <w:tab w:leader="none" w:pos="2144" w:val="left"/>
        </w:tabs>
        <w:numPr>
          <w:ilvl w:val="1"/>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Indemnification; D&amp;O coverage</w:t>
      </w:r>
      <w:r>
        <w:rPr>
          <w:rFonts w:ascii="Times New Roman" w:cs="Times New Roman" w:eastAsia="Times New Roman" w:hAnsi="Times New Roman"/>
          <w:sz w:val="21"/>
          <w:szCs w:val="21"/>
          <w:color w:val="auto"/>
        </w:rPr>
        <w:t>. At all times during the Employment Period, (i) Executive shall be eligible for indemnification (including the advancement of attorneys’ fees) pursuant to Company’s bylaws to the fullest extent of the law, and (ii) Executive shall be covered by Company’s directors’ and officers’ insurance policy (the “</w:t>
      </w:r>
      <w:r>
        <w:rPr>
          <w:rFonts w:ascii="Times New Roman" w:cs="Times New Roman" w:eastAsia="Times New Roman" w:hAnsi="Times New Roman"/>
          <w:sz w:val="21"/>
          <w:szCs w:val="21"/>
          <w:u w:val="single" w:color="auto"/>
          <w:color w:val="auto"/>
        </w:rPr>
        <w:t>D&amp;O Insurance Policy</w:t>
      </w:r>
      <w:r>
        <w:rPr>
          <w:rFonts w:ascii="Times New Roman" w:cs="Times New Roman" w:eastAsia="Times New Roman" w:hAnsi="Times New Roman"/>
          <w:sz w:val="21"/>
          <w:szCs w:val="21"/>
          <w:color w:val="auto"/>
        </w:rPr>
        <w:t>”) with Side A and Side B limits that are reasonable and available on commercially reasonable terms.</w:t>
      </w:r>
    </w:p>
    <w:p>
      <w:pPr>
        <w:spacing w:after="0" w:line="165" w:lineRule="exact"/>
        <w:rPr>
          <w:rFonts w:ascii="Times New Roman" w:cs="Times New Roman" w:eastAsia="Times New Roman" w:hAnsi="Times New Roman"/>
          <w:sz w:val="21"/>
          <w:szCs w:val="21"/>
          <w:color w:val="010000"/>
        </w:rPr>
      </w:pPr>
    </w:p>
    <w:p>
      <w:pPr>
        <w:ind w:left="1500" w:hanging="643"/>
        <w:spacing w:after="0"/>
        <w:tabs>
          <w:tab w:leader="none" w:pos="15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Executive’s employment hereunder shall commence on the Effective Date and continue until terminated. The effective date of any termination hereunder shall be referred to as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ind w:left="200" w:right="219" w:firstLine="1305"/>
        <w:spacing w:after="0" w:line="271" w:lineRule="auto"/>
        <w:tabs>
          <w:tab w:leader="none" w:pos="2144" w:val="left"/>
        </w:tabs>
        <w:numPr>
          <w:ilvl w:val="1"/>
          <w:numId w:val="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on the following terms and conditions:</w:t>
      </w:r>
    </w:p>
    <w:p>
      <w:pPr>
        <w:spacing w:after="0" w:line="158" w:lineRule="exact"/>
        <w:rPr>
          <w:sz w:val="20"/>
          <w:szCs w:val="20"/>
          <w:color w:val="auto"/>
        </w:rPr>
      </w:pPr>
    </w:p>
    <w:p>
      <w:pPr>
        <w:ind w:left="200" w:right="219" w:firstLine="1305"/>
        <w:spacing w:after="0" w:line="271" w:lineRule="auto"/>
        <w:tabs>
          <w:tab w:leader="none" w:pos="2144" w:val="left"/>
        </w:tabs>
        <w:numPr>
          <w:ilvl w:val="0"/>
          <w:numId w:val="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Company for Cause, effective upon written notice from Company to Executive, following the expiration, without cure, of any applicable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5" w:name="page56"/>
    <w:bookmarkEnd w:id="55"/>
    <w:p>
      <w:pPr>
        <w:jc w:val="both"/>
        <w:ind w:left="200" w:right="219" w:firstLine="1305"/>
        <w:spacing w:after="0" w:line="257" w:lineRule="auto"/>
        <w:tabs>
          <w:tab w:leader="none" w:pos="214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Company for any reason other than for Cause, effective 30 days following written notice from Company to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Company may place Executive on paid leave during any portion of such 30 day period;</w:t>
      </w:r>
    </w:p>
    <w:p>
      <w:pPr>
        <w:spacing w:after="0" w:line="172" w:lineRule="exact"/>
        <w:rPr>
          <w:rFonts w:ascii="Times New Roman" w:cs="Times New Roman" w:eastAsia="Times New Roman" w:hAnsi="Times New Roman"/>
          <w:sz w:val="22"/>
          <w:szCs w:val="22"/>
          <w:color w:val="010000"/>
        </w:rPr>
      </w:pPr>
    </w:p>
    <w:p>
      <w:pPr>
        <w:jc w:val="both"/>
        <w:ind w:left="200" w:right="219" w:firstLine="1305"/>
        <w:spacing w:after="0" w:line="252" w:lineRule="auto"/>
        <w:tabs>
          <w:tab w:leader="none" w:pos="2144"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Executive for any reason, effective thirty (30) days following written notice from Executive to Company or any earlier date as may be determined by Company in its sole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Company may place Executive on paid leave during any portion of such period; or</w:t>
      </w:r>
    </w:p>
    <w:p>
      <w:pPr>
        <w:spacing w:after="0" w:line="179" w:lineRule="exact"/>
        <w:rPr>
          <w:rFonts w:ascii="Times New Roman" w:cs="Times New Roman" w:eastAsia="Times New Roman" w:hAnsi="Times New Roman"/>
          <w:sz w:val="22"/>
          <w:szCs w:val="22"/>
          <w:color w:val="010000"/>
        </w:rPr>
      </w:pPr>
    </w:p>
    <w:p>
      <w:pPr>
        <w:ind w:left="2160" w:hanging="655"/>
        <w:spacing w:after="0"/>
        <w:tabs>
          <w:tab w:leader="none" w:pos="2160"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Change of Control as defined herein.</w:t>
      </w:r>
    </w:p>
    <w:p>
      <w:pPr>
        <w:spacing w:after="0" w:line="220" w:lineRule="exact"/>
        <w:rPr>
          <w:sz w:val="20"/>
          <w:szCs w:val="20"/>
          <w:color w:val="auto"/>
        </w:rPr>
      </w:pPr>
    </w:p>
    <w:p>
      <w:pPr>
        <w:jc w:val="both"/>
        <w:ind w:left="200" w:right="219" w:firstLine="1305"/>
        <w:spacing w:after="0" w:line="261" w:lineRule="auto"/>
        <w:tabs>
          <w:tab w:leader="none" w:pos="2144"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Death/Disability</w:t>
      </w:r>
      <w:r>
        <w:rPr>
          <w:rFonts w:ascii="Times New Roman" w:cs="Times New Roman" w:eastAsia="Times New Roman" w:hAnsi="Times New Roman"/>
          <w:sz w:val="21"/>
          <w:szCs w:val="21"/>
          <w:color w:val="auto"/>
        </w:rPr>
        <w:t>. This Agreement and Executive’s employment hereunder shall terminate immediately and automatically by reason of Executive’s death or Disability and Executive (or his estate) shall receive all vested equity awards and pro rata vesting of unvested equity awards (based on the number of full or partial months served from the most recent vesting event to the date Executive’s Termination Date); provided, that the pro rata portion of any outstanding and unvested performance-based restricted stock unit award shall be determined based on the actual level of achievement of the applicable performance metrics. In the event Executive’s employment with Company terminates, for any reason whatsoever, including death or Disability, Executive shall be entitled to the Minimum Payments as defined in Section 7 below.</w:t>
      </w:r>
    </w:p>
    <w:p>
      <w:pPr>
        <w:spacing w:after="0" w:line="174" w:lineRule="exact"/>
        <w:rPr>
          <w:rFonts w:ascii="Times New Roman" w:cs="Times New Roman" w:eastAsia="Times New Roman" w:hAnsi="Times New Roman"/>
          <w:sz w:val="21"/>
          <w:szCs w:val="21"/>
          <w:color w:val="010000"/>
        </w:rPr>
      </w:pPr>
    </w:p>
    <w:p>
      <w:pPr>
        <w:ind w:left="2160" w:hanging="655"/>
        <w:spacing w:after="0"/>
        <w:tabs>
          <w:tab w:leader="none" w:pos="2160"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305"/>
        <w:spacing w:after="0" w:line="266" w:lineRule="auto"/>
        <w:tabs>
          <w:tab w:leader="none" w:pos="2144"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Company terminates Executive’s employment other than for Cause or Executive resigns for Good Reason, Executive shall be entitled to receive an amount equal to eight</w:t>
      </w:r>
    </w:p>
    <w:p>
      <w:pPr>
        <w:spacing w:after="0" w:line="1" w:lineRule="exact"/>
        <w:rPr>
          <w:rFonts w:ascii="Times New Roman" w:cs="Times New Roman" w:eastAsia="Times New Roman" w:hAnsi="Times New Roman"/>
          <w:sz w:val="21"/>
          <w:szCs w:val="21"/>
          <w:color w:val="010000"/>
        </w:rPr>
      </w:pPr>
    </w:p>
    <w:p>
      <w:pPr>
        <w:jc w:val="both"/>
        <w:ind w:left="200" w:right="219" w:firstLine="9"/>
        <w:spacing w:after="0" w:line="255" w:lineRule="auto"/>
        <w:tabs>
          <w:tab w:leader="none" w:pos="51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months of Executive’s Annual Base Salary calculated based on the amount of Non-Contingent Base Salary in effect at the time, unless the Market Cap Threshold had been achieved at the time of termination, in which case the full Annual Base Salary in effect at the time shall be used, and $25,000, which shall be paid according to the following schedule (subject to </w:t>
      </w:r>
      <w:r>
        <w:rPr>
          <w:rFonts w:ascii="Times New Roman" w:cs="Times New Roman" w:eastAsia="Times New Roman" w:hAnsi="Times New Roman"/>
          <w:sz w:val="21"/>
          <w:szCs w:val="21"/>
          <w:u w:val="single" w:color="auto"/>
          <w:color w:val="auto"/>
        </w:rPr>
        <w:t>Section 4(d)(iv)</w:t>
      </w:r>
      <w:r>
        <w:rPr>
          <w:rFonts w:ascii="Times New Roman" w:cs="Times New Roman" w:eastAsia="Times New Roman" w:hAnsi="Times New Roman"/>
          <w:sz w:val="21"/>
          <w:szCs w:val="21"/>
          <w:color w:val="auto"/>
        </w:rPr>
        <w:t>): (a) a lump sum payment equal to one-half of such amount shall be payable within ten (10) days of following the Termination Date, and (b) one-fourth of the balance of such amount shall be payable within ten (10) days of each of the three-month, six-month, nine-month and twelve month anniversaries of the Termination Date (and in each case no interest shall accrue on such amount); provided, however, that if Section 409A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would otherwise apply to such cash severance payment, it instead shall be paid at such time as permitted by Section 409A of the Code. In addition to the foregoing severance payment, in the event of Executive’s Termination for any reason other than (i) Cause or (ii) Executive’s resignation without Good Reason, Executive shall be entitled to receive, within ten (10) days following the Termination, a lump sum payment equal to one hundred percent (100%) of (a) any actual bonus amount earned with respect to a previous year to the extent that all the conditions for payment of such bonus have been satisfied (excluding any requirement to be in employment with Company as of a given date which is after the Termination Date) and any such bonus was earned but is unpaid on the Termination Date; and (b) the target bonus then in effect for Executive for the year in which such termination occurs, such payment to be prorated to reflect the full number of months Executive remained in the employ of Company and such amount to be calculated using the Non-Contingent Base Salary in effect at the time, unless the Market Cap Threshold had been achieved at the time of termination, in which case the full Annual Base Salary in effect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6" w:name="page57"/>
    <w:bookmarkEnd w:id="56"/>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shall be used; provided, however, that if Section 409A of the Code would otherwise apply to such cash payment, it instead shall be paid at such time as permitted by Section 409A of the Code. To illustrate, if Executive’s target bonus at 100% equals $120,000 for the calendar year and Executive is terminated on October 15th, then the foregoing payment shall equal $100,000 (i.e., ten (10) months’ prorated bonus at one hundred percent (100%) with October counting as a full month worked).</w:t>
      </w:r>
    </w:p>
    <w:p>
      <w:pPr>
        <w:spacing w:after="0" w:line="187" w:lineRule="exact"/>
        <w:rPr>
          <w:sz w:val="20"/>
          <w:szCs w:val="20"/>
          <w:color w:val="auto"/>
        </w:rPr>
      </w:pPr>
    </w:p>
    <w:p>
      <w:pPr>
        <w:ind w:left="2160" w:hanging="655"/>
        <w:spacing w:after="0"/>
        <w:tabs>
          <w:tab w:leader="none" w:pos="2160"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[RESERVED]</w:t>
      </w:r>
    </w:p>
    <w:p>
      <w:pPr>
        <w:spacing w:after="0" w:line="219" w:lineRule="exact"/>
        <w:rPr>
          <w:rFonts w:ascii="Times New Roman" w:cs="Times New Roman" w:eastAsia="Times New Roman" w:hAnsi="Times New Roman"/>
          <w:sz w:val="22"/>
          <w:szCs w:val="22"/>
          <w:color w:val="010000"/>
        </w:rPr>
      </w:pPr>
    </w:p>
    <w:p>
      <w:pPr>
        <w:jc w:val="both"/>
        <w:ind w:left="200" w:right="219" w:firstLine="1305"/>
        <w:spacing w:after="0" w:line="248" w:lineRule="auto"/>
        <w:tabs>
          <w:tab w:leader="none" w:pos="2144"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in this Agreement to the contrary, payments to be made upon a termination of employment under this Agreement will be made upon a “separation from service” within the meaning of Section 409A of the Code. Each payment under this Agreement shall be treated as a separate payment for purposes of Section 409A of the Code. To the maximum extent permissible payments under this Agreement shall be treated as exempt from Section 409A first pursuant to the exception for short-term deferrals, then pursuant to the exception for payments related to separations from service, and then for de minimis amounts</w:t>
      </w:r>
    </w:p>
    <w:p>
      <w:pPr>
        <w:spacing w:after="0" w:line="181" w:lineRule="exact"/>
        <w:rPr>
          <w:rFonts w:ascii="Times New Roman" w:cs="Times New Roman" w:eastAsia="Times New Roman" w:hAnsi="Times New Roman"/>
          <w:sz w:val="22"/>
          <w:szCs w:val="22"/>
          <w:color w:val="010000"/>
        </w:rPr>
      </w:pPr>
    </w:p>
    <w:p>
      <w:pPr>
        <w:jc w:val="both"/>
        <w:ind w:left="200" w:right="219" w:firstLine="1305"/>
        <w:spacing w:after="0" w:line="251" w:lineRule="auto"/>
        <w:tabs>
          <w:tab w:leader="none" w:pos="2144" w:val="left"/>
        </w:tabs>
        <w:numPr>
          <w:ilvl w:val="0"/>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Executive shall forfeit all rights to payment of severance pursuant to this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or otherwise unless he signs and delivers a general release and separation agreement, in form and substance reasonably acceptable to Company within 60 days after Executive’s termination of employment. Notwithstanding anything to the contrary contained herein, no severance payment will be due and payable until Executive executes and delivers such general release and separation agreement and it is not subject to revocation, if applicable.</w:t>
      </w:r>
    </w:p>
    <w:p>
      <w:pPr>
        <w:spacing w:after="0" w:line="181" w:lineRule="exact"/>
        <w:rPr>
          <w:sz w:val="20"/>
          <w:szCs w:val="20"/>
          <w:color w:val="auto"/>
        </w:rPr>
      </w:pPr>
    </w:p>
    <w:p>
      <w:pPr>
        <w:jc w:val="both"/>
        <w:ind w:left="200" w:right="219" w:firstLine="1305"/>
        <w:spacing w:after="0" w:line="246" w:lineRule="auto"/>
        <w:tabs>
          <w:tab w:leader="none" w:pos="2144"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Equity Compensation Acceleration</w:t>
      </w:r>
      <w:r>
        <w:rPr>
          <w:rFonts w:ascii="Times New Roman" w:cs="Times New Roman" w:eastAsia="Times New Roman" w:hAnsi="Times New Roman"/>
          <w:sz w:val="22"/>
          <w:szCs w:val="22"/>
          <w:color w:val="auto"/>
        </w:rPr>
        <w:t xml:space="preserve">. If Company terminates Executive’s employment other than for Cause or Executive resigns for Good Reason, then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4(d)(iv)</w:t>
      </w:r>
      <w:r>
        <w:rPr>
          <w:rFonts w:ascii="Times New Roman" w:cs="Times New Roman" w:eastAsia="Times New Roman" w:hAnsi="Times New Roman"/>
          <w:sz w:val="22"/>
          <w:szCs w:val="22"/>
          <w:color w:val="auto"/>
        </w:rPr>
        <w:t>, the vesting and exercisability of all then outstanding stock options and restricted stock units (or any other equity award, including, without limitation, stock appreciation rights and performance-based restricted stock units, but not including any performance award units issued to reflect Company’s option to pay all or any part of any Annual Bonus in shares) granted to Executive under any equity incentive plan (the “</w:t>
      </w:r>
      <w:r>
        <w:rPr>
          <w:rFonts w:ascii="Times New Roman" w:cs="Times New Roman" w:eastAsia="Times New Roman" w:hAnsi="Times New Roman"/>
          <w:sz w:val="22"/>
          <w:szCs w:val="22"/>
          <w:u w:val="single" w:color="auto"/>
          <w:color w:val="auto"/>
        </w:rPr>
        <w:t>Company Plans</w:t>
      </w:r>
      <w:r>
        <w:rPr>
          <w:rFonts w:ascii="Times New Roman" w:cs="Times New Roman" w:eastAsia="Times New Roman" w:hAnsi="Times New Roman"/>
          <w:sz w:val="22"/>
          <w:szCs w:val="22"/>
          <w:color w:val="auto"/>
        </w:rPr>
        <w:t>”) adopted by the Board of Directors shall be accelerated as to 100% of the shares subject to any such equity awards granted to Executive; provided, that any outstanding and unvested performance-based restricted stock unit award shall vest only upon achievement of the applicable performance metrics.</w:t>
      </w:r>
    </w:p>
    <w:p>
      <w:pPr>
        <w:spacing w:after="0" w:line="187" w:lineRule="exact"/>
        <w:rPr>
          <w:rFonts w:ascii="Times New Roman" w:cs="Times New Roman" w:eastAsia="Times New Roman" w:hAnsi="Times New Roman"/>
          <w:sz w:val="22"/>
          <w:szCs w:val="22"/>
          <w:color w:val="010000"/>
        </w:rPr>
      </w:pPr>
    </w:p>
    <w:p>
      <w:pPr>
        <w:ind w:left="2160" w:hanging="655"/>
        <w:spacing w:after="0"/>
        <w:tabs>
          <w:tab w:leader="none" w:pos="2160"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[RESERVED]</w:t>
      </w:r>
    </w:p>
    <w:p>
      <w:pPr>
        <w:spacing w:after="0" w:line="219" w:lineRule="exact"/>
        <w:rPr>
          <w:rFonts w:ascii="Times New Roman" w:cs="Times New Roman" w:eastAsia="Times New Roman" w:hAnsi="Times New Roman"/>
          <w:sz w:val="22"/>
          <w:szCs w:val="22"/>
          <w:color w:val="010000"/>
        </w:rPr>
      </w:pPr>
    </w:p>
    <w:p>
      <w:pPr>
        <w:jc w:val="both"/>
        <w:ind w:left="200" w:right="219" w:firstLine="1305"/>
        <w:spacing w:after="0" w:line="248" w:lineRule="auto"/>
        <w:tabs>
          <w:tab w:leader="none" w:pos="2144"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In connection with Executive’s termination from Company, regardless of the reason, (a) Company shall continue to indemnify Executive against all claims related to actions arising prior to the termination of Executive’s employment to the fullest extent permitted by law (including without limitation advancement of attorneys’ fees), and (b) Company or its successor shall continue to provide coverage under a D&amp;O Insurance Policy for not less than 36 months following such termination on substantially the same terms of the D&amp;O Insurance Policy in effect immediately prior to such termination.</w:t>
      </w:r>
    </w:p>
    <w:p>
      <w:pPr>
        <w:spacing w:after="0" w:line="181" w:lineRule="exact"/>
        <w:rPr>
          <w:rFonts w:ascii="Times New Roman" w:cs="Times New Roman" w:eastAsia="Times New Roman" w:hAnsi="Times New Roman"/>
          <w:sz w:val="22"/>
          <w:szCs w:val="22"/>
          <w:color w:val="010000"/>
        </w:rPr>
      </w:pPr>
    </w:p>
    <w:p>
      <w:pPr>
        <w:ind w:left="200" w:right="219" w:firstLine="1305"/>
        <w:spacing w:after="0" w:line="295" w:lineRule="auto"/>
        <w:tabs>
          <w:tab w:leader="none" w:pos="2144"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from all Positions; Rights and Payments Upon Termination</w:t>
      </w:r>
      <w:r>
        <w:rPr>
          <w:rFonts w:ascii="Times New Roman" w:cs="Times New Roman" w:eastAsia="Times New Roman" w:hAnsi="Times New Roman"/>
          <w:sz w:val="21"/>
          <w:szCs w:val="21"/>
          <w:color w:val="auto"/>
        </w:rPr>
        <w:t>. In connection with Executive’s termination from Company, a Subsidiary, MIH EV Design LLC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7" w:name="page58"/>
    <w:bookmarkEnd w:id="57"/>
    <w:p>
      <w:pPr>
        <w:jc w:val="both"/>
        <w:ind w:left="200" w:right="219"/>
        <w:spacing w:after="0" w:line="246" w:lineRule="auto"/>
        <w:rPr>
          <w:sz w:val="20"/>
          <w:szCs w:val="20"/>
          <w:color w:val="auto"/>
        </w:rPr>
      </w:pPr>
      <w:r>
        <w:rPr>
          <w:rFonts w:ascii="Times New Roman" w:cs="Times New Roman" w:eastAsia="Times New Roman" w:hAnsi="Times New Roman"/>
          <w:sz w:val="22"/>
          <w:szCs w:val="22"/>
          <w:color w:val="auto"/>
        </w:rPr>
        <w:t xml:space="preserve">any other entity in which the Company or a Subsidiary has an interest, regardless of the reason, (1) Executive agrees that, effective as of the Termination Date, Executive shall resign and be terminated from all positions Executive holds as a director, officer or employee of Company, a Subsidiary, MIH EV Design LLC or any other entity in which the Company or a Subsidiary has an interest shall execute any necessary documentation to properly effectuate such termination and (2) Executive shall be entitled to the Minimum Payments, in addition to any payments or benefits to which Executive may be entitled under the express terms of any executive benefit plan or as required by law. Any payments to be made to Executive pursuant to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shall be made in accordance with Company’s customary policies and normal payroll practices.</w:t>
      </w:r>
    </w:p>
    <w:p>
      <w:pPr>
        <w:spacing w:after="0" w:line="191" w:lineRule="exact"/>
        <w:rPr>
          <w:sz w:val="20"/>
          <w:szCs w:val="20"/>
          <w:color w:val="auto"/>
        </w:rPr>
      </w:pPr>
    </w:p>
    <w:p>
      <w:pPr>
        <w:ind w:left="1500" w:hanging="6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44" w:lineRule="auto"/>
        <w:tabs>
          <w:tab w:leader="none" w:pos="2144"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Executive recognizes and acknowledges that he may receive certain confidential and proprietary information and trade secrets of Company, its Affiliates and Subsidiaries, including (i) internal business information (including, information relating to strategic plans and practices, business, accounting, financial or marketing plans, practices or programs, training practices and programs, salaries, bonuses, incentive plans and other compensation and benefits information and accounting and business methods); (ii) identities of, individual requirements of, specific contractual arrangements with, and information about, Company, its Affiliates and Subsidiaries and their respective confidential information; (iii) industry research compiled by, or on behalf of Company and its Affiliates and Subsidiaries, including, without limitation, identities of potential target companies, management teams, and transaction sources identified by, or on behalf of, Company and its Affiliates and Subsidiaries; (iv) compilations of data and analyses, processes, methods, track and performance records, data and data bases relating thereto; and (v) computer software documentation, data and data bases and updates of any of the foregoing; (collectively, “Confidential Information”). Executive will not, during or after the term of this Agreement, whether through an Affiliate or otherwise, take commercial or proprietary advantage of or profit from any Confidential Information or disclose Confidential Information to any Person for any reason or purpose whatsoever, except (i) to authorized representatives and employees of Company or its Affiliates and Subsidiaries and as otherwise may be proper in the course of performing Executive’s obligations under this Agreement or (ii) as is required to be disclosed by order of a court of competent jurisdiction, administrative body or governmental body, or by subpoena, summons or legal process, or by law, rule or regulation; provided that, unless otherwise prohibited by law, rule or regulation, Executive shall provide to the Board of Directors prompt notice of any such disclosure. For purposes of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Confidential Information does not include any information that is or becomes generally known to the other participants in the industry in which Company and its Subsidiaries operate other than as a result of any breach of nondisclosure by any Person. The limitations in this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 xml:space="preserve"> are in addition to, and not in lieu of, any other restrictions that Executive may be bound by (whether by contract or otherwise), including Company’s Proprietary Information and Inventions Agreement.</w:t>
      </w:r>
    </w:p>
    <w:p>
      <w:pPr>
        <w:spacing w:after="0" w:line="209" w:lineRule="exact"/>
        <w:rPr>
          <w:sz w:val="20"/>
          <w:szCs w:val="20"/>
          <w:color w:val="auto"/>
        </w:rPr>
      </w:pPr>
    </w:p>
    <w:p>
      <w:pPr>
        <w:jc w:val="both"/>
        <w:ind w:left="200" w:right="219" w:firstLine="1296"/>
        <w:spacing w:after="0" w:line="250"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or otherwise, nothing shall limit Executive’s rights under applicable law to provide truthful information to any governmental entity or to file a charge with or participate in an investigation conducted by any governmental entity. Notwithstanding the foregoing, Executive agrees to waive Executive’s right to recover monetary damages in connection with any charge, complaint or lawsuit filed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8" w:name="page59"/>
    <w:bookmarkEnd w:id="58"/>
    <w:p>
      <w:pPr>
        <w:jc w:val="both"/>
        <w:ind w:left="200" w:right="219"/>
        <w:spacing w:after="0" w:line="257" w:lineRule="auto"/>
        <w:rPr>
          <w:sz w:val="20"/>
          <w:szCs w:val="20"/>
          <w:color w:val="auto"/>
        </w:rPr>
      </w:pPr>
      <w:r>
        <w:rPr>
          <w:rFonts w:ascii="Times New Roman" w:cs="Times New Roman" w:eastAsia="Times New Roman" w:hAnsi="Times New Roman"/>
          <w:sz w:val="21"/>
          <w:szCs w:val="21"/>
          <w:color w:val="auto"/>
        </w:rPr>
        <w:t xml:space="preserve">Executive or anyone else on Executive’s behalf (whether involving a governmental entity or not);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Executive is not agreeing to waive, and this Agreement shall not be read as requiring Executive to waive, any right Executive may have to receive an award for information provided to any governmental entity. Executive is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w:t>
      </w:r>
    </w:p>
    <w:p>
      <w:pPr>
        <w:spacing w:after="0" w:line="5" w:lineRule="exact"/>
        <w:rPr>
          <w:sz w:val="20"/>
          <w:szCs w:val="20"/>
          <w:color w:val="auto"/>
        </w:rPr>
      </w:pPr>
    </w:p>
    <w:p>
      <w:pPr>
        <w:jc w:val="both"/>
        <w:ind w:left="200" w:right="219" w:firstLine="9"/>
        <w:spacing w:after="0" w:line="245" w:lineRule="auto"/>
        <w:tabs>
          <w:tab w:leader="none" w:pos="53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Executive’s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25" w:lineRule="exact"/>
        <w:rPr>
          <w:rFonts w:ascii="Times New Roman" w:cs="Times New Roman" w:eastAsia="Times New Roman" w:hAnsi="Times New Roman"/>
          <w:sz w:val="22"/>
          <w:szCs w:val="22"/>
          <w:color w:val="auto"/>
        </w:rPr>
      </w:pPr>
    </w:p>
    <w:p>
      <w:pPr>
        <w:jc w:val="both"/>
        <w:ind w:left="200" w:right="219" w:firstLine="1305"/>
        <w:spacing w:after="0" w:line="261" w:lineRule="auto"/>
        <w:tabs>
          <w:tab w:leader="none" w:pos="2144"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Documents and Property</w:t>
      </w:r>
      <w:r>
        <w:rPr>
          <w:rFonts w:ascii="Times New Roman" w:cs="Times New Roman" w:eastAsia="Times New Roman" w:hAnsi="Times New Roman"/>
          <w:sz w:val="21"/>
          <w:szCs w:val="21"/>
          <w:color w:val="auto"/>
        </w:rPr>
        <w:t>. All records, files, documents and other materials or copies thereof relating to the Company Business, which Executive shall prepare, receive, or use shall be and remain the sole property of Company, shall not be used by Executive in any manner that would be adverse to Company’s interests, and, other than in connection with the performance by Executive of his duties hereunder, shall not be removed from the premises of Company or any Subsidiary without Company’s prior written consent, and shall be promptly returned to Company upon Executive’s termination of employment hereunder for any reason whatsoever, together with all copies (including copies or recordings in electronic form), abstracts, notes or reproductions of any kind made from or about the records, files, documents or other materials.</w:t>
      </w:r>
    </w:p>
    <w:p>
      <w:pPr>
        <w:spacing w:after="0" w:line="174" w:lineRule="exact"/>
        <w:rPr>
          <w:rFonts w:ascii="Times New Roman" w:cs="Times New Roman" w:eastAsia="Times New Roman" w:hAnsi="Times New Roman"/>
          <w:sz w:val="21"/>
          <w:szCs w:val="21"/>
          <w:color w:val="010000"/>
        </w:rPr>
      </w:pPr>
    </w:p>
    <w:p>
      <w:pPr>
        <w:jc w:val="both"/>
        <w:ind w:left="200" w:right="219" w:firstLine="1305"/>
        <w:spacing w:after="0" w:line="244" w:lineRule="auto"/>
        <w:tabs>
          <w:tab w:leader="none" w:pos="2144"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Non-Competition/Non-Solicitation</w:t>
      </w:r>
      <w:r>
        <w:rPr>
          <w:rFonts w:ascii="Times New Roman" w:cs="Times New Roman" w:eastAsia="Times New Roman" w:hAnsi="Times New Roman"/>
          <w:sz w:val="22"/>
          <w:szCs w:val="22"/>
          <w:color w:val="auto"/>
        </w:rPr>
        <w:t>. During the Employment Period and for a two (2) year period thereafter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Executive will not, directly or indirectly, individually or as a shareholder, director, manager, member, officer, employee, agent, consultant or advisor of any Person: (i) acquire or hold any economic or financial interest in, act as a partner, member, shareholder, consultant, employee or representative of, render services to, or otherwise operate, engage in or hold an interest in any Person that engages in, or engages in the management or operation of any Person that engages in any business that competes with the Company Business; (ii) solicit orders from or seek or propose to do business with any customer or supplier of the business relating to the Company Business; or (iii) influence or attempt to influence any customer, supplier, employee, contractor, representative or advisor of the Company Business to curtail, terminate or refrain from maintaining its, his or her relationship with Company or any of its Subsidiaries. Notwithstanding the foregoing, Executive shall be authorized to perform services and engage in business activities related to his service (i) as Chairman or member of the Board Directors of Garrett Motion, Inc. and (ii) as a director of not more than one other company, public or private, that does not present a conflict of interest with the Company Business, as approved by the Board of Directors in accordance with Section 2; and provided, however, that the ownership of less than 1% of the voting stock of any publicly held corporation shall not be a violation of this Agreement.</w:t>
      </w:r>
    </w:p>
    <w:p>
      <w:pPr>
        <w:spacing w:after="0" w:line="203" w:lineRule="exact"/>
        <w:rPr>
          <w:rFonts w:ascii="Times New Roman" w:cs="Times New Roman" w:eastAsia="Times New Roman" w:hAnsi="Times New Roman"/>
          <w:sz w:val="22"/>
          <w:szCs w:val="22"/>
          <w:color w:val="010000"/>
        </w:rPr>
      </w:pPr>
    </w:p>
    <w:p>
      <w:pPr>
        <w:jc w:val="both"/>
        <w:ind w:left="200" w:right="219" w:firstLine="1305"/>
        <w:spacing w:after="0" w:line="252" w:lineRule="auto"/>
        <w:tabs>
          <w:tab w:leader="none" w:pos="2144"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Non-Disparagemen</w:t>
      </w:r>
      <w:r>
        <w:rPr>
          <w:rFonts w:ascii="Times New Roman" w:cs="Times New Roman" w:eastAsia="Times New Roman" w:hAnsi="Times New Roman"/>
          <w:sz w:val="22"/>
          <w:szCs w:val="22"/>
          <w:color w:val="auto"/>
        </w:rPr>
        <w:t>t. During and after Executive’s employment with Company, neither Company nor Executive will make any adverse or derogatory statements, remarks or comments, oral or written, directly or indirectly, to any individual or entity about or with reference to or with respect to Executive or Company, or any of its executives,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59" w:name="page60"/>
    <w:bookmarkEnd w:id="59"/>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managers, or directors. The foregoing shall not be violated by truthful statements provided as part of a legitimate business purpose, such as employee evaluations, while Executive is employed with Company, in response to legal process, required governmental testimony or filings, or administrative or arbitral proceedings (including, without limitation, depositions in connection with such proceedings).</w:t>
      </w:r>
    </w:p>
    <w:p>
      <w:pPr>
        <w:spacing w:after="0" w:line="181" w:lineRule="exact"/>
        <w:rPr>
          <w:sz w:val="20"/>
          <w:szCs w:val="20"/>
          <w:color w:val="auto"/>
        </w:rPr>
      </w:pPr>
    </w:p>
    <w:p>
      <w:pPr>
        <w:jc w:val="both"/>
        <w:ind w:left="200" w:right="219" w:firstLine="1305"/>
        <w:spacing w:after="0" w:line="246" w:lineRule="auto"/>
        <w:tabs>
          <w:tab w:leader="none" w:pos="2144"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Remedies for Breach of Covenants</w:t>
      </w:r>
      <w:r>
        <w:rPr>
          <w:rFonts w:ascii="Times New Roman" w:cs="Times New Roman" w:eastAsia="Times New Roman" w:hAnsi="Times New Roman"/>
          <w:sz w:val="22"/>
          <w:szCs w:val="22"/>
          <w:color w:val="auto"/>
        </w:rPr>
        <w:t xml:space="preserve">. Executive acknowledges and expressly agrees that the covenants contained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reasonable with respect to their duration, geographical area and scope. Executive further acknowledges that, in light of his position with Company and access to Confidential Information during the Employment Period, the restrictions contained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reasonable and necessary for the protection of the legitimate business interests of Company, that they create no undue hardships, that any violation of these restrictions would cause substantial injury to Company and such interests, and that such restrictions were a material inducement to Company to enter into this Agreement. In the event of any violation or threatened violation of these restrictions, Company, in addition to and not in limitation of, any other rights, remedies or damages available to Company under this Agreement or otherwise at law or in equity, shall be entitled to preliminary and permanent injunctive relief, to prevent or restrain any such violation by Executive and any and all Persons directly or indirectly acting for or with him, as the case may be.</w:t>
      </w:r>
    </w:p>
    <w:p>
      <w:pPr>
        <w:spacing w:after="0" w:line="193" w:lineRule="exact"/>
        <w:rPr>
          <w:rFonts w:ascii="Times New Roman" w:cs="Times New Roman" w:eastAsia="Times New Roman" w:hAnsi="Times New Roman"/>
          <w:sz w:val="22"/>
          <w:szCs w:val="22"/>
          <w:color w:val="010000"/>
        </w:rPr>
      </w:pPr>
    </w:p>
    <w:p>
      <w:pPr>
        <w:jc w:val="both"/>
        <w:ind w:left="200" w:right="219" w:firstLine="657"/>
        <w:spacing w:after="0" w:line="244" w:lineRule="auto"/>
        <w:tabs>
          <w:tab w:leader="none" w:pos="14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Innovations</w:t>
      </w:r>
      <w:r>
        <w:rPr>
          <w:rFonts w:ascii="Times New Roman" w:cs="Times New Roman" w:eastAsia="Times New Roman" w:hAnsi="Times New Roman"/>
          <w:sz w:val="22"/>
          <w:szCs w:val="22"/>
          <w:color w:val="auto"/>
        </w:rPr>
        <w:t>. Executive acknowledges and agrees that he is separately bound by the Proprietary Information and Invention Agreement with Company. In addition, and notwithstanding anything to the contrary in the Proprietary Information and Invention Agreement, Executive acknowledges and agrees that all right, title and interest in and to any past, present and future inventions, business applications, know-how, customer lists, trade secrets, innovations, methods, designs, ideas, improvements, copyrights, patents, domain names, trademarks, trade dress and other intellectual property which Executive personally develops or creates in whole or in part at any time and at any place during his employment with Company, and which is, directly or indirectly, related to or usable in connection with, the business activities of Company (all items set forth above are hereafter collectively referred to as the “</w:t>
      </w:r>
      <w:r>
        <w:rPr>
          <w:rFonts w:ascii="Times New Roman" w:cs="Times New Roman" w:eastAsia="Times New Roman" w:hAnsi="Times New Roman"/>
          <w:sz w:val="22"/>
          <w:szCs w:val="22"/>
          <w:u w:val="single" w:color="auto"/>
          <w:color w:val="auto"/>
        </w:rPr>
        <w:t>Inventions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Innovations</w:t>
      </w:r>
      <w:r>
        <w:rPr>
          <w:rFonts w:ascii="Times New Roman" w:cs="Times New Roman" w:eastAsia="Times New Roman" w:hAnsi="Times New Roman"/>
          <w:sz w:val="22"/>
          <w:szCs w:val="22"/>
          <w:color w:val="auto"/>
        </w:rPr>
        <w:t>”), shall be and remain forever the sole and exclusive property of Company, and Executive thus automatically assigns and agrees to assign any such right, title and interest in his possession, or that he acquires, to Company. In this regard, Executive acknowledges and agrees that any Inventions and Innovations embodying copyrightable subject matter are “works made for hire,” and Executive automatically assigns and agrees to assign all right, title and interest to Company in the same if such Inventions and Innovations are not “works made for hire.” Executive agrees to promptly reveal all information relating to the Inventions and Innovations to Company and cooperate with Company to execute such documents as may be necessary to establish ownership and protection in Company’s name for the Inventions and Innovations. Notwithstanding the foregoing, Inventions and Innovations shall not include any publicly available information or any information that was developed by Executive on his own time with his own tools and/or materials and without the resources of Company or any Subsidiary thereof.</w:t>
      </w:r>
    </w:p>
    <w:p>
      <w:pPr>
        <w:spacing w:after="0" w:line="200" w:lineRule="exact"/>
        <w:rPr>
          <w:rFonts w:ascii="Times New Roman" w:cs="Times New Roman" w:eastAsia="Times New Roman" w:hAnsi="Times New Roman"/>
          <w:sz w:val="22"/>
          <w:szCs w:val="22"/>
          <w:color w:val="auto"/>
        </w:rPr>
      </w:pPr>
    </w:p>
    <w:p>
      <w:pPr>
        <w:ind w:left="200" w:right="239" w:firstLine="657"/>
        <w:spacing w:after="0" w:line="271" w:lineRule="auto"/>
        <w:tabs>
          <w:tab w:leader="none" w:pos="14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As used throughout this Agreement, all of the terms defined in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have the meanings given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314960</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0" w:name="page61"/>
    <w:bookmarkEnd w:id="60"/>
    <w:p>
      <w:pPr>
        <w:jc w:val="both"/>
        <w:ind w:left="200" w:right="219"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mean each individual, company, corporation, partnership, limited liability company, joint venture or other business entity, which is, directly or indirectly, controlled by, controls, or is under common control with, Company, where “control” means (i) the ownership of a majority of the voting securities or other voting interests or other equity interests of any company, corporation, partnership, limited liability company, joint venture or other business entity, or (ii) the possession, directly or indirectly, of the power to direct or cause the direction of the management and policies of such company, corporation, partnership, limited liability company, joint venture or other business entity.</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w:t>
      </w:r>
      <w:r>
        <w:rPr>
          <w:rFonts w:ascii="Times New Roman" w:cs="Times New Roman" w:eastAsia="Times New Roman" w:hAnsi="Times New Roman"/>
          <w:sz w:val="22"/>
          <w:szCs w:val="22"/>
          <w:color w:val="auto"/>
        </w:rPr>
        <w:t>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xml:space="preserve">” shall mean the annual bonus for the fiscal year ending December 31, 2022 or for any subsequent fiscal year, as applicable, as described in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the Board of Directors’ determination in good faith that</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Executive has:</w:t>
      </w:r>
    </w:p>
    <w:p>
      <w:pPr>
        <w:spacing w:after="0" w:line="196" w:lineRule="exact"/>
        <w:rPr>
          <w:sz w:val="20"/>
          <w:szCs w:val="20"/>
          <w:color w:val="auto"/>
        </w:rPr>
      </w:pPr>
    </w:p>
    <w:p>
      <w:pPr>
        <w:jc w:val="both"/>
        <w:ind w:left="200" w:right="219" w:firstLine="1305"/>
        <w:spacing w:after="0" w:line="256"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disregarded or refused to substantially perform his duties and obligations to Company as required by this Agreement and the Board of Directors (other than any such failure resulting from his Disability or Executive’s termination of his employment with Company for any reason);</w:t>
      </w:r>
    </w:p>
    <w:p>
      <w:pPr>
        <w:spacing w:after="0" w:line="176"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a fiduciary responsibility to Company in any material respect;</w:t>
      </w:r>
    </w:p>
    <w:p>
      <w:pPr>
        <w:spacing w:after="0" w:line="219"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commission of an act of fraud, embezzlement or other misappropriation of</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funds;</w:t>
      </w:r>
    </w:p>
    <w:p>
      <w:pPr>
        <w:spacing w:after="0" w:line="195" w:lineRule="exact"/>
        <w:rPr>
          <w:rFonts w:ascii="Times New Roman" w:cs="Times New Roman" w:eastAsia="Times New Roman" w:hAnsi="Times New Roman"/>
          <w:sz w:val="22"/>
          <w:szCs w:val="22"/>
          <w:color w:val="auto"/>
        </w:rPr>
      </w:pPr>
    </w:p>
    <w:p>
      <w:pPr>
        <w:ind w:left="200" w:right="219" w:firstLine="1305"/>
        <w:spacing w:after="0" w:line="271"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any confidentiality or proprietary information agreement in any material respect between Executive and Company;</w:t>
      </w:r>
    </w:p>
    <w:p>
      <w:pPr>
        <w:spacing w:after="0" w:line="15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acted  with  gross  negligence  or  willful  misconduct  when  undertaking</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duties;</w:t>
      </w:r>
    </w:p>
    <w:p>
      <w:pPr>
        <w:spacing w:after="0" w:line="195"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breached this Agreement;</w:t>
      </w:r>
    </w:p>
    <w:p>
      <w:pPr>
        <w:spacing w:after="0" w:line="219"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excessive and unreasonable absences from Executive’s duties for any reason (other than authorized leave or leave required by law or as a result of Executive’s Disability); or</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48" w:lineRule="auto"/>
        <w:tabs>
          <w:tab w:leader="none" w:pos="214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indictment for, conviction of, or plea of guilty or nolo contendere to,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 felony,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misdemeanor (other than traffic or motor vehicle violations),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any other act, omission or event that, in any such case, has caused or is likely to cause economic harm to Company, a Subsidiary, MIH EV Design LLC, or any other entity in which Company or a Subsidiary has an interest or the image, reputation and/or goodwill of Company,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332740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1" w:name="page62"/>
    <w:bookmarkEnd w:id="61"/>
    <w:p>
      <w:pPr>
        <w:jc w:val="both"/>
        <w:ind w:left="200" w:right="219"/>
        <w:spacing w:after="0" w:line="250" w:lineRule="auto"/>
        <w:rPr>
          <w:sz w:val="20"/>
          <w:szCs w:val="20"/>
          <w:color w:val="auto"/>
        </w:rPr>
      </w:pPr>
      <w:r>
        <w:rPr>
          <w:rFonts w:ascii="Times New Roman" w:cs="Times New Roman" w:eastAsia="Times New Roman" w:hAnsi="Times New Roman"/>
          <w:sz w:val="22"/>
          <w:szCs w:val="22"/>
          <w:color w:val="auto"/>
        </w:rPr>
        <w:t>MIH EV Design LLC, or any other entity in which Company or a Subsidiary has an interest or that Company in good faith believes is reasonably likely to cause material harm to the image, reputation and/or goodwill of Company, a Subsidiary, MIH EV Design LLC, or any other entity in which Company or a Subsidiary has an interest, their respective products, services and/or trade/service marks;</w:t>
      </w:r>
    </w:p>
    <w:p>
      <w:pPr>
        <w:spacing w:after="0" w:line="181"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2"/>
          <w:szCs w:val="22"/>
          <w:color w:val="auto"/>
        </w:rPr>
        <w:t>Notwithstanding the foregoing, prior to Company’s termination of Executive for Cause above, Company shall give Executive written notice specifying in reasonable detail the existence of any condition and Executive shall have 30 days from the date of Executive’s receipt of such notice in which to cure the condition giving rise to Cause (if curable).</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w:t>
      </w:r>
      <w:r>
        <w:rPr>
          <w:rFonts w:ascii="Times New Roman" w:cs="Times New Roman" w:eastAsia="Times New Roman" w:hAnsi="Times New Roman"/>
          <w:sz w:val="22"/>
          <w:szCs w:val="22"/>
          <w:color w:val="auto"/>
        </w:rPr>
        <w:t>l” means:</w:t>
      </w:r>
    </w:p>
    <w:p>
      <w:pPr>
        <w:spacing w:after="0" w:line="220" w:lineRule="exact"/>
        <w:rPr>
          <w:sz w:val="20"/>
          <w:szCs w:val="20"/>
          <w:color w:val="auto"/>
        </w:rPr>
      </w:pPr>
    </w:p>
    <w:p>
      <w:pPr>
        <w:jc w:val="both"/>
        <w:ind w:left="200" w:right="219" w:firstLine="1305"/>
        <w:spacing w:after="0" w:line="248"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ownership of stock of Company that, together with the stock held by such person or group, constitutes more than 35% of the total fair market value or total voting power of the stock of Company; provided, that, a Change in Control shall not occur if any Person (or more than one Person acting as a group) owns more than 50% of the total fair market value or total voting power of Company’s stock and acquires additional stock;</w:t>
      </w:r>
    </w:p>
    <w:p>
      <w:pPr>
        <w:spacing w:after="0" w:line="200" w:lineRule="exact"/>
        <w:rPr>
          <w:rFonts w:ascii="Times New Roman" w:cs="Times New Roman" w:eastAsia="Times New Roman" w:hAnsi="Times New Roman"/>
          <w:sz w:val="22"/>
          <w:szCs w:val="22"/>
          <w:color w:val="auto"/>
        </w:rPr>
      </w:pPr>
    </w:p>
    <w:p>
      <w:pPr>
        <w:jc w:val="both"/>
        <w:ind w:left="200" w:right="219" w:firstLine="1305"/>
        <w:spacing w:after="0" w:line="257"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majority of the members of the Board of Directors are replaced during any 12-month period by directors whose appointment or election is not endorsed by a majority of the Board of Directors before the date of appointment or election;</w:t>
      </w:r>
    </w:p>
    <w:p>
      <w:pPr>
        <w:spacing w:after="0" w:line="172" w:lineRule="exact"/>
        <w:rPr>
          <w:rFonts w:ascii="Times New Roman" w:cs="Times New Roman" w:eastAsia="Times New Roman" w:hAnsi="Times New Roman"/>
          <w:sz w:val="22"/>
          <w:szCs w:val="22"/>
          <w:color w:val="auto"/>
        </w:rPr>
      </w:pPr>
    </w:p>
    <w:p>
      <w:pPr>
        <w:jc w:val="both"/>
        <w:ind w:left="200" w:right="219" w:firstLine="1305"/>
        <w:spacing w:after="0" w:line="252"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Person (or more than one person acting as a group), acquires (or has acquired during the 12-month period ending on the date of the most recent acquisition) assets from Company that have a total gross fair market value equal to or more than 50% of the total gross fair market value of all of the assets of Company immediately before such acquisition(s); or</w:t>
      </w:r>
    </w:p>
    <w:p>
      <w:pPr>
        <w:spacing w:after="0" w:line="179" w:lineRule="exact"/>
        <w:rPr>
          <w:rFonts w:ascii="Times New Roman" w:cs="Times New Roman" w:eastAsia="Times New Roman" w:hAnsi="Times New Roman"/>
          <w:sz w:val="22"/>
          <w:szCs w:val="22"/>
          <w:color w:val="auto"/>
        </w:rPr>
      </w:pPr>
    </w:p>
    <w:p>
      <w:pPr>
        <w:ind w:left="200" w:right="239" w:firstLine="1305"/>
        <w:spacing w:after="0" w:line="271" w:lineRule="auto"/>
        <w:tabs>
          <w:tab w:leader="none" w:pos="21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ceases to primarily manufacture its vehicles for its own account or primarily manufactures vehicles for another vehicle manufacturer.</w:t>
      </w:r>
    </w:p>
    <w:p>
      <w:pPr>
        <w:spacing w:after="0" w:line="158" w:lineRule="exact"/>
        <w:rPr>
          <w:sz w:val="20"/>
          <w:szCs w:val="20"/>
          <w:color w:val="auto"/>
        </w:rPr>
      </w:pPr>
    </w:p>
    <w:p>
      <w:pPr>
        <w:jc w:val="both"/>
        <w:ind w:left="200" w:right="239" w:firstLine="1296"/>
        <w:spacing w:after="0" w:line="252" w:lineRule="auto"/>
        <w:rPr>
          <w:sz w:val="20"/>
          <w:szCs w:val="20"/>
          <w:color w:val="auto"/>
        </w:rPr>
      </w:pPr>
      <w:r>
        <w:rPr>
          <w:rFonts w:ascii="Times New Roman" w:cs="Times New Roman" w:eastAsia="Times New Roman" w:hAnsi="Times New Roman"/>
          <w:sz w:val="22"/>
          <w:szCs w:val="22"/>
          <w:color w:val="auto"/>
        </w:rPr>
        <w:t>A transaction shall not constitute a Change in Control if: (a) its sole purpose is to change the state of Company’s incorporation; or (b) its sole purpose is to create a holding company that will be owned in substantially the same proportions by the persons who held Company’s securities immediately before such transaction.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have the meaning set forth in the preamble.</w:t>
      </w:r>
    </w:p>
    <w:p>
      <w:pPr>
        <w:spacing w:after="0" w:line="220" w:lineRule="exact"/>
        <w:rPr>
          <w:sz w:val="20"/>
          <w:szCs w:val="20"/>
          <w:color w:val="auto"/>
        </w:rPr>
      </w:pPr>
    </w:p>
    <w:p>
      <w:pPr>
        <w:jc w:val="both"/>
        <w:ind w:left="200" w:right="21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Business</w:t>
      </w:r>
      <w:r>
        <w:rPr>
          <w:rFonts w:ascii="Times New Roman" w:cs="Times New Roman" w:eastAsia="Times New Roman" w:hAnsi="Times New Roman"/>
          <w:sz w:val="22"/>
          <w:szCs w:val="22"/>
          <w:color w:val="auto"/>
        </w:rPr>
        <w:t>” shall mean the business of developing, designing and manufacturing battery-electric vehicles under 10,001 GVW.</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Base Salary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2" w:name="page63"/>
    <w:bookmarkEnd w:id="62"/>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Insurance Policy</w:t>
      </w:r>
      <w:r>
        <w:rPr>
          <w:rFonts w:ascii="Times New Roman" w:cs="Times New Roman" w:eastAsia="Times New Roman" w:hAnsi="Times New Roman"/>
          <w:sz w:val="22"/>
          <w:szCs w:val="22"/>
          <w:color w:val="auto"/>
        </w:rPr>
        <w:t>” shall have the meaning set forth in Section 3(g).</w:t>
      </w:r>
    </w:p>
    <w:p>
      <w:pPr>
        <w:spacing w:after="0" w:line="220" w:lineRule="exact"/>
        <w:rPr>
          <w:sz w:val="20"/>
          <w:szCs w:val="20"/>
          <w:color w:val="auto"/>
        </w:rPr>
      </w:pPr>
    </w:p>
    <w:p>
      <w:pPr>
        <w:jc w:val="both"/>
        <w:ind w:left="200" w:right="219"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that Executive is unable to effectively perform the essential functions of his job by reason of any medically determinable physical or mental impairment that can be expected to result in death or can be expected to last for not less than 90 consecutive days or 125 non-consecutive days, in either case during any 12-month period (unless a longer period is required under applicable law, then during such longer period), and in any case as determined in good faith by an independent doctor selected in good faith by the Board of Directors and mutually acceptable to Executive.</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shall have the meaning set forth in the preamble.</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Executive Chairman</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 is defined as the occurrence of any of the following: (i) a breach of this Agreement by Company (including without limitation any of the indemnification provisions);</w:t>
      </w:r>
    </w:p>
    <w:p>
      <w:pPr>
        <w:spacing w:after="0" w:line="2" w:lineRule="exact"/>
        <w:rPr>
          <w:sz w:val="20"/>
          <w:szCs w:val="20"/>
          <w:color w:val="auto"/>
        </w:rPr>
      </w:pPr>
    </w:p>
    <w:p>
      <w:pPr>
        <w:jc w:val="both"/>
        <w:ind w:left="200" w:right="219" w:firstLine="9"/>
        <w:spacing w:after="0" w:line="245" w:lineRule="auto"/>
        <w:tabs>
          <w:tab w:leader="none" w:pos="52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Executive’s Base Salary or Annual Bonus, (iii) a material change in the geographic location where Executive must perform services; or (iv) Executive has a material reduction in position, status, duties or responsibilities, or is assigned duties materially inconsistent with his position (including without limitation if Executive ceases to be the executive chair of the Board of Directors or of the board of directors of a public company which is the ultimate parent of the Company). If Executive wishes to terminate his employment for Good Reason, he shall first give Company thirty (30) days prior written notice of the circumstances constituting Good Reason and an opportunity to cure, and such notice must be given to Company within 30 days of Executive becoming aware of such circumstances.</w:t>
      </w:r>
    </w:p>
    <w:p>
      <w:pPr>
        <w:spacing w:after="0" w:line="19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Inventions and Innovations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 Threshold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MIH EV Design LLC</w:t>
      </w:r>
      <w:r>
        <w:rPr>
          <w:rFonts w:ascii="Times New Roman" w:cs="Times New Roman" w:eastAsia="Times New Roman" w:hAnsi="Times New Roman"/>
          <w:sz w:val="22"/>
          <w:szCs w:val="22"/>
          <w:color w:val="auto"/>
        </w:rPr>
        <w:t>” means MIH EV Design LLC, a Delaware limited liability company, or any successor thereto.</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Payments</w:t>
      </w:r>
      <w:r>
        <w:rPr>
          <w:rFonts w:ascii="Times New Roman" w:cs="Times New Roman" w:eastAsia="Times New Roman" w:hAnsi="Times New Roman"/>
          <w:sz w:val="22"/>
          <w:szCs w:val="22"/>
          <w:color w:val="auto"/>
        </w:rPr>
        <w:t>” shall mean, as applicable, the following amounts:</w:t>
      </w:r>
    </w:p>
    <w:p>
      <w:pPr>
        <w:spacing w:after="0" w:line="220" w:lineRule="exact"/>
        <w:rPr>
          <w:sz w:val="20"/>
          <w:szCs w:val="20"/>
          <w:color w:val="auto"/>
        </w:rPr>
      </w:pPr>
    </w:p>
    <w:p>
      <w:pPr>
        <w:ind w:left="200" w:right="219" w:firstLine="1305"/>
        <w:spacing w:after="0" w:line="271" w:lineRule="auto"/>
        <w:tabs>
          <w:tab w:leader="none" w:pos="21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Executive’s earned but unpaid Annual Base Salary for the period ending on the Termination Date, with such payments to be made in accordance with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2160" w:hanging="655"/>
        <w:spacing w:after="0"/>
        <w:tabs>
          <w:tab w:leader="none" w:pos="21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accrued but unpaid vacation days for the period ending on the</w:t>
      </w:r>
    </w:p>
    <w:p>
      <w:pPr>
        <w:spacing w:after="0" w:line="27" w:lineRule="exact"/>
        <w:rPr>
          <w:rFonts w:ascii="Times New Roman" w:cs="Times New Roman" w:eastAsia="Times New Roman" w:hAnsi="Times New Roman"/>
          <w:sz w:val="22"/>
          <w:szCs w:val="22"/>
          <w:color w:val="auto"/>
        </w:rPr>
      </w:pPr>
    </w:p>
    <w:p>
      <w:pPr>
        <w:ind w:left="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3" w:name="page64"/>
    <w:bookmarkEnd w:id="63"/>
    <w:p>
      <w:pPr>
        <w:ind w:left="200" w:right="219" w:firstLine="1305"/>
        <w:spacing w:after="0" w:line="271" w:lineRule="auto"/>
        <w:tabs>
          <w:tab w:leader="none" w:pos="214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unreimbursed business expenses and all other items earned and owed to Executive through and including, the Termination Date.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“Non-</w:t>
      </w:r>
      <w:r>
        <w:rPr>
          <w:rFonts w:ascii="Times New Roman" w:cs="Times New Roman" w:eastAsia="Times New Roman" w:hAnsi="Times New Roman"/>
          <w:sz w:val="22"/>
          <w:szCs w:val="22"/>
          <w:u w:val="single" w:color="auto"/>
          <w:color w:val="auto"/>
        </w:rPr>
        <w:t>Contingent Base Salary</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3(a)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sole proprietorship, partnership, joint venture, trust, unincorporated association, corporation, limited liability company, entity or governmental entity (whether federal, state, county, city or otherwise and including any instrumentality, division, agency or department thereof).</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5(c)</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left="200" w:right="219"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with respect to any Person, any corporation, partnership, limited liability company, association or business entity of which: (i) if a corporation, a majority of the total voting power of shares of stock entitled (irrespective of whether, at the time, stock of any other class or classes of such corporation shall have or might have voting power by reason of the happening of any contingency) to vote in the election of directors, managers or trustees thereof is at the time owned or controlled, directly or indirectly, by that Person or one or more of the other Subsidiaries of that Person or a combination thereof; or (ii) if a partnership, limited liability company, association or other business entity, either (A) a majority of partnership or other similar ownership interests thereof is at the time owned or controlled, directly or indirectly, by that Person or one or more Subsidiaries of that Person or a combination thereof or (B) that Person is a general partner, managing member, manager or managing director of such partnership, limited liability company, or other business entity. For purposes hereof and unless otherwise indicated, the term “Subsidiary” refers to a Subsidiary of Company.</w:t>
      </w:r>
    </w:p>
    <w:p>
      <w:pPr>
        <w:spacing w:after="0" w:line="193" w:lineRule="exact"/>
        <w:rPr>
          <w:sz w:val="20"/>
          <w:szCs w:val="20"/>
          <w:color w:val="auto"/>
        </w:rPr>
      </w:pPr>
    </w:p>
    <w:p>
      <w:pPr>
        <w:jc w:val="both"/>
        <w:ind w:left="200" w:right="239"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shall mean the date of termination of Executive’s employment as determined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200" w:right="219" w:firstLine="657"/>
        <w:spacing w:after="0" w:line="252" w:lineRule="auto"/>
        <w:tabs>
          <w:tab w:leader="none" w:pos="14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Notices and all other communications under this Agreement shall be in writing and shall be deemed given if (i) delivered personally, (ii) delivered by a recognized overnight courier service, or (iii) mailed by United States registered or certified mail, return receipt requested, postage prepaid, addressed as follows:</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Company to:</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Lordstown Motors Corp.</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2300 Hallock Young Road, S.W.</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Lordstown, OH 44481</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to Executive, to:</w:t>
      </w:r>
    </w:p>
    <w:p>
      <w:pPr>
        <w:spacing w:after="0" w:line="220" w:lineRule="exact"/>
        <w:rPr>
          <w:sz w:val="20"/>
          <w:szCs w:val="20"/>
          <w:color w:val="auto"/>
        </w:rPr>
      </w:pPr>
    </w:p>
    <w:p>
      <w:pPr>
        <w:jc w:val="both"/>
        <w:ind w:left="200" w:right="219"/>
        <w:spacing w:after="0" w:line="257" w:lineRule="auto"/>
        <w:rPr>
          <w:sz w:val="20"/>
          <w:szCs w:val="20"/>
          <w:color w:val="auto"/>
        </w:rPr>
      </w:pPr>
      <w:r>
        <w:rPr>
          <w:rFonts w:ascii="Times New Roman" w:cs="Times New Roman" w:eastAsia="Times New Roman" w:hAnsi="Times New Roman"/>
          <w:sz w:val="22"/>
          <w:szCs w:val="22"/>
          <w:color w:val="auto"/>
        </w:rPr>
        <w:t>The address on file with the Company’s Human Resources department or to such other address as either party may furnish to the other in writing, except that notices of changes of address shall be effective only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4" w:name="page65"/>
    <w:bookmarkEnd w:id="64"/>
    <w:p>
      <w:pPr>
        <w:jc w:val="both"/>
        <w:ind w:left="200" w:right="219" w:firstLine="657"/>
        <w:spacing w:after="0" w:line="250"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All questions concerning the construction, validity and interpretation of this Agreement and the performance of the obligations imposed by this Agreement shall be governed by the internal laws of the State of Ohio applicable to agreements made and wholly to be performed in such state without regard to conflicts of law provisions of any jurisdiction.</w:t>
      </w:r>
    </w:p>
    <w:p>
      <w:pPr>
        <w:spacing w:after="0" w:line="180" w:lineRule="exact"/>
        <w:rPr>
          <w:rFonts w:ascii="Times New Roman" w:cs="Times New Roman" w:eastAsia="Times New Roman" w:hAnsi="Times New Roman"/>
          <w:sz w:val="22"/>
          <w:szCs w:val="22"/>
          <w:color w:val="auto"/>
        </w:rPr>
      </w:pPr>
    </w:p>
    <w:p>
      <w:pPr>
        <w:jc w:val="both"/>
        <w:ind w:left="200" w:right="219" w:firstLine="657"/>
        <w:spacing w:after="0" w:line="247"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FORUM SELECTION</w:t>
      </w:r>
      <w:r>
        <w:rPr>
          <w:rFonts w:ascii="Times New Roman" w:cs="Times New Roman" w:eastAsia="Times New Roman" w:hAnsi="Times New Roman"/>
          <w:sz w:val="22"/>
          <w:szCs w:val="22"/>
          <w:color w:val="auto"/>
        </w:rPr>
        <w:t>. ALL ACTIONS OR PROCEEDINGS IN ANY WAY, MANNER OR RESPECT, ARISING OUT OF OR FROM OR RELATED TO THIS AGREEMENT SHALL BE LITIGATED IN COURTS HAVING SITUS WITHIN TRUMBULL COUNTY, OHIO EXECUTIVE HEREBY CONSENTS AND SUBMITS TO THE JURISDICTION OF THE STATE AND FEDERAL COURTS LOCATED WITHIN TRUMBULL COUNTY, OHIO. EXECUTIVE HEREBY WAIVES ANY RIGHT IT MAY HAVE TO TRANSFER OR CHANGE THE VENUE OF ANY LITIGATION BROUGHT AGAINST EXECUTIVE BY COMPANY IN ACCORDANCE WITH THIS SECTION.</w:t>
      </w:r>
    </w:p>
    <w:p>
      <w:pPr>
        <w:spacing w:after="0" w:line="185" w:lineRule="exact"/>
        <w:rPr>
          <w:rFonts w:ascii="Times New Roman" w:cs="Times New Roman" w:eastAsia="Times New Roman" w:hAnsi="Times New Roman"/>
          <w:sz w:val="22"/>
          <w:szCs w:val="22"/>
          <w:color w:val="auto"/>
        </w:rPr>
      </w:pPr>
    </w:p>
    <w:p>
      <w:pPr>
        <w:jc w:val="both"/>
        <w:ind w:left="200" w:right="219" w:firstLine="657"/>
        <w:spacing w:after="0" w:line="260" w:lineRule="auto"/>
        <w:tabs>
          <w:tab w:leader="none" w:pos="14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EXECUTIVE AND COMPANY HEREBY IRREVOCABLY WAIVE ANY AND ALL RIGHT TO TRIAL BY JURY OF ANY CLAIM OR CAUSE OF ACTION IN ANY LEGAL PROCEEDING ARISING OUT OF OR RELATED TO THIS AGREEMENT OR THE TRANSACTIONS OR EVENTS CONTEMPLATED HEREBY OR ANY COURSE OF CONDUCT, COURSE OF DEALING, STATEMENTS (WHETHER VERBAL OR WRITTEN) OR ACTIONS OF ANY PARTY HERETO. THE PARTIES HERETO EACH AGREE THAT ANY AND ALL SUCH CLAIMS AND CAUSES OF ACTION TRIED BY A COURT SHALL BE TRIED WITHOUT A JURY. EACH OF THE PARTIES HERETO FURTHER WAIVES ANY RIGHT TO SEEK TO CONSOLIDATE ANY SUCH LEGAL PROCEEDING IN WHICH A JURY TRIAL HAS BEEN WAIVED WITH ANY OTHER LEGAL PROCEEDING IN WHICH A JURY TRIAL CANNOT OR HAS NOT BEEN WAIVED.</w:t>
      </w:r>
    </w:p>
    <w:p>
      <w:pPr>
        <w:spacing w:after="0" w:line="173" w:lineRule="exact"/>
        <w:rPr>
          <w:rFonts w:ascii="Times New Roman" w:cs="Times New Roman" w:eastAsia="Times New Roman" w:hAnsi="Times New Roman"/>
          <w:sz w:val="21"/>
          <w:szCs w:val="21"/>
          <w:color w:val="auto"/>
        </w:rPr>
      </w:pPr>
    </w:p>
    <w:p>
      <w:pPr>
        <w:jc w:val="both"/>
        <w:ind w:left="200" w:right="219" w:firstLine="657"/>
        <w:spacing w:after="0" w:line="245"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Severability</w:t>
      </w:r>
      <w:r>
        <w:rPr>
          <w:rFonts w:ascii="Times New Roman" w:cs="Times New Roman" w:eastAsia="Times New Roman" w:hAnsi="Times New Roman"/>
          <w:sz w:val="22"/>
          <w:szCs w:val="22"/>
          <w:color w:val="auto"/>
        </w:rPr>
        <w:t>. This Agreement, together with the Proprietary Information and Inventions Agreement and the Company Plans, constitute the entire agreement between Executive and Company concerning the subject matter hereof, and supersedes all prior negotiations, undertakings, agreements and arrangements with respect thereto, whether written or oral. If a court of competent jurisdiction determines that any provision of this Agreement is invalid or unenforceable, then the invalidity or unenforceability of that provision shall not affect the validity or enforceability of any other provision of this Agreement and all other provisions shall remain in full force and effect. The various covenants and provisions of this Agreement are intended to be severable and to constitute independent and distinct binding obligations. Without limiting the generality of the foregoing, if the scope of any covenant contained in this Agreement is too broad to permit enforcement to its full extent, such covenant shall be enforced to the maximum extent permitted by law, and Executive hereby agrees that such scope may be judicially modified accordingly.</w:t>
      </w:r>
    </w:p>
    <w:p>
      <w:pPr>
        <w:spacing w:after="0" w:line="193" w:lineRule="exact"/>
        <w:rPr>
          <w:rFonts w:ascii="Times New Roman" w:cs="Times New Roman" w:eastAsia="Times New Roman" w:hAnsi="Times New Roman"/>
          <w:sz w:val="22"/>
          <w:szCs w:val="22"/>
          <w:color w:val="auto"/>
        </w:rPr>
      </w:pPr>
    </w:p>
    <w:p>
      <w:pPr>
        <w:jc w:val="both"/>
        <w:ind w:left="200" w:right="219" w:firstLine="657"/>
        <w:spacing w:after="0" w:line="257" w:lineRule="auto"/>
        <w:tabs>
          <w:tab w:leader="none" w:pos="14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 Company may withhold from any amounts or other benefits payable under this Agreement all federal, state, city or other taxes as may be required pursuant to any law, governmental regulation or ruling.</w:t>
      </w:r>
    </w:p>
    <w:p>
      <w:pPr>
        <w:spacing w:after="0" w:line="172" w:lineRule="exact"/>
        <w:rPr>
          <w:rFonts w:ascii="Times New Roman" w:cs="Times New Roman" w:eastAsia="Times New Roman" w:hAnsi="Times New Roman"/>
          <w:sz w:val="22"/>
          <w:szCs w:val="22"/>
          <w:color w:val="auto"/>
        </w:rPr>
      </w:pPr>
    </w:p>
    <w:p>
      <w:pPr>
        <w:jc w:val="both"/>
        <w:ind w:left="200" w:right="239" w:firstLine="657"/>
        <w:spacing w:after="0" w:line="295" w:lineRule="auto"/>
        <w:tabs>
          <w:tab w:leader="none" w:pos="14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w:t>
      </w:r>
      <w:r>
        <w:rPr>
          <w:rFonts w:ascii="Times New Roman" w:cs="Times New Roman" w:eastAsia="Times New Roman" w:hAnsi="Times New Roman"/>
          <w:sz w:val="21"/>
          <w:szCs w:val="21"/>
          <w:color w:val="auto"/>
        </w:rPr>
        <w:t>t. Executive’s rights to receive payments or benefits under this Agreement shall not be assignable or transferable whether by pledge, creation of a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5" w:name="page66"/>
    <w:bookmarkEnd w:id="65"/>
    <w:p>
      <w:pPr>
        <w:jc w:val="both"/>
        <w:ind w:left="200" w:right="219"/>
        <w:spacing w:after="0" w:line="248" w:lineRule="auto"/>
        <w:rPr>
          <w:sz w:val="20"/>
          <w:szCs w:val="20"/>
          <w:color w:val="auto"/>
        </w:rPr>
      </w:pPr>
      <w:r>
        <w:rPr>
          <w:rFonts w:ascii="Times New Roman" w:cs="Times New Roman" w:eastAsia="Times New Roman" w:hAnsi="Times New Roman"/>
          <w:sz w:val="22"/>
          <w:szCs w:val="22"/>
          <w:color w:val="auto"/>
        </w:rPr>
        <w:t xml:space="preserve">or otherwise, other than a transfer by will, by the laws of descent or distribution or to a revocable living trust of Executive. In the event of any attempted assignment or transfer contrary to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Company shall have no liability to pay any amount so attempted to be assigned or transferred. This Agreement shall inure to the benefit of and be enforceable by Executive’s personal or legal representatives, executors, administrators, successors, heirs, distributees, devisees and legatees.</w:t>
      </w:r>
    </w:p>
    <w:p>
      <w:pPr>
        <w:spacing w:after="0" w:line="187" w:lineRule="exact"/>
        <w:rPr>
          <w:sz w:val="20"/>
          <w:szCs w:val="20"/>
          <w:color w:val="auto"/>
        </w:rPr>
      </w:pPr>
    </w:p>
    <w:p>
      <w:pPr>
        <w:jc w:val="both"/>
        <w:ind w:left="200" w:right="219" w:firstLine="657"/>
        <w:spacing w:after="0" w:line="257" w:lineRule="auto"/>
        <w:tabs>
          <w:tab w:leader="none" w:pos="14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Agreement shall be binding upon and inure to the benefit of Company, its successors and assigns (including any company into or with which Company may merge or consolidate).</w:t>
      </w:r>
    </w:p>
    <w:p>
      <w:pPr>
        <w:spacing w:after="0" w:line="172" w:lineRule="exact"/>
        <w:rPr>
          <w:rFonts w:ascii="Times New Roman" w:cs="Times New Roman" w:eastAsia="Times New Roman" w:hAnsi="Times New Roman"/>
          <w:sz w:val="22"/>
          <w:szCs w:val="22"/>
          <w:color w:val="auto"/>
        </w:rPr>
      </w:pPr>
    </w:p>
    <w:p>
      <w:pPr>
        <w:ind w:left="200" w:right="219" w:firstLine="657"/>
        <w:spacing w:after="0" w:line="271" w:lineRule="auto"/>
        <w:tabs>
          <w:tab w:leader="none" w:pos="14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w:t>
      </w:r>
      <w:r>
        <w:rPr>
          <w:rFonts w:ascii="Times New Roman" w:cs="Times New Roman" w:eastAsia="Times New Roman" w:hAnsi="Times New Roman"/>
          <w:sz w:val="22"/>
          <w:szCs w:val="22"/>
          <w:color w:val="auto"/>
        </w:rPr>
        <w:t xml:space="preserve">l. The provisions of </w:t>
      </w:r>
      <w:r>
        <w:rPr>
          <w:rFonts w:ascii="Times New Roman" w:cs="Times New Roman" w:eastAsia="Times New Roman" w:hAnsi="Times New Roman"/>
          <w:sz w:val="22"/>
          <w:szCs w:val="22"/>
          <w:u w:val="single" w:color="auto"/>
          <w:color w:val="auto"/>
        </w:rPr>
        <w:t>Sections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w:t>
      </w:r>
      <w:r>
        <w:rPr>
          <w:rFonts w:ascii="Times New Roman" w:cs="Times New Roman" w:eastAsia="Times New Roman" w:hAnsi="Times New Roman"/>
          <w:sz w:val="22"/>
          <w:szCs w:val="22"/>
          <w:color w:val="auto"/>
        </w:rPr>
        <w:t>, and 15 shall survive the termination of this Agreement.</w:t>
      </w:r>
    </w:p>
    <w:p>
      <w:pPr>
        <w:spacing w:after="0" w:line="157" w:lineRule="exact"/>
        <w:rPr>
          <w:rFonts w:ascii="Times New Roman" w:cs="Times New Roman" w:eastAsia="Times New Roman" w:hAnsi="Times New Roman"/>
          <w:sz w:val="22"/>
          <w:szCs w:val="22"/>
          <w:color w:val="auto"/>
        </w:rPr>
      </w:pPr>
    </w:p>
    <w:p>
      <w:pPr>
        <w:jc w:val="both"/>
        <w:ind w:left="200" w:right="219" w:firstLine="657"/>
        <w:spacing w:after="0" w:line="265" w:lineRule="auto"/>
        <w:tabs>
          <w:tab w:leader="none" w:pos="149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Waivers</w:t>
      </w:r>
      <w:r>
        <w:rPr>
          <w:rFonts w:ascii="Times New Roman" w:cs="Times New Roman" w:eastAsia="Times New Roman" w:hAnsi="Times New Roman"/>
          <w:sz w:val="21"/>
          <w:szCs w:val="21"/>
          <w:color w:val="auto"/>
        </w:rPr>
        <w:t>. This Agreement may not be amended or modified except by written agreement signed by Executive and Company. No waiver of any provision or condition of this Agreement by any party shall be valid unless set forth in a writing signed by such party. No such waiver shall be deemed to be a waiver of any other or similar provision or condition, or of any future event, act, breach or default, and no course of dealing shall be implied or arise from any waiver or series of waivers (written or otherwise) of any right or remedy hereunder.</w:t>
      </w:r>
    </w:p>
    <w:p>
      <w:pPr>
        <w:spacing w:after="0" w:line="168" w:lineRule="exact"/>
        <w:rPr>
          <w:rFonts w:ascii="Times New Roman" w:cs="Times New Roman" w:eastAsia="Times New Roman" w:hAnsi="Times New Roman"/>
          <w:sz w:val="21"/>
          <w:szCs w:val="21"/>
          <w:color w:val="auto"/>
        </w:rPr>
      </w:pPr>
    </w:p>
    <w:p>
      <w:pPr>
        <w:jc w:val="both"/>
        <w:ind w:left="200" w:right="219" w:firstLine="657"/>
        <w:spacing w:after="0" w:line="248" w:lineRule="auto"/>
        <w:tabs>
          <w:tab w:leader="none" w:pos="14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Participation</w:t>
      </w:r>
      <w:r>
        <w:rPr>
          <w:rFonts w:ascii="Times New Roman" w:cs="Times New Roman" w:eastAsia="Times New Roman" w:hAnsi="Times New Roman"/>
          <w:sz w:val="22"/>
          <w:szCs w:val="22"/>
          <w:color w:val="auto"/>
        </w:rPr>
        <w:t>. The parties hereto participated jointly in the negotiation and preparation of this Agreement, and each party has had the opportunity to obtain the advice of legal counsel and to review and comment upon the Agreement. Accordingly, it is agreed that no rule of construction shall apply against any party or in favor of any party. This Agreement shall be construed as if the parties jointly prepared this Agreement, and any uncertainty or ambiguity shall not be interpreted against one party and in favor of the other.</w:t>
      </w:r>
    </w:p>
    <w:p>
      <w:pPr>
        <w:spacing w:after="0" w:line="186" w:lineRule="exact"/>
        <w:rPr>
          <w:rFonts w:ascii="Times New Roman" w:cs="Times New Roman" w:eastAsia="Times New Roman" w:hAnsi="Times New Roman"/>
          <w:sz w:val="22"/>
          <w:szCs w:val="22"/>
          <w:color w:val="auto"/>
        </w:rPr>
      </w:pPr>
    </w:p>
    <w:p>
      <w:pPr>
        <w:jc w:val="both"/>
        <w:ind w:left="200" w:right="219" w:firstLine="657"/>
        <w:spacing w:after="0" w:line="248" w:lineRule="auto"/>
        <w:tabs>
          <w:tab w:leader="none" w:pos="14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Conflicting Agreemen</w:t>
      </w:r>
      <w:r>
        <w:rPr>
          <w:rFonts w:ascii="Times New Roman" w:cs="Times New Roman" w:eastAsia="Times New Roman" w:hAnsi="Times New Roman"/>
          <w:sz w:val="22"/>
          <w:szCs w:val="22"/>
          <w:color w:val="auto"/>
        </w:rPr>
        <w:t>t. Executive hereby represents and warrants to Company that he is not subject to any existing non- competition or other restrictive agreements, clauses or arrangements, written or oral, that in any way prohibit or constrain in any material respect his acceptance of and/or performance of duties pursuant to this Agreement, or that in any manner circumscribe the scope of activities or other business that he is entitled to pursue and consummate on behalf of Company.</w:t>
      </w:r>
    </w:p>
    <w:p>
      <w:pPr>
        <w:spacing w:after="0" w:line="186" w:lineRule="exact"/>
        <w:rPr>
          <w:rFonts w:ascii="Times New Roman" w:cs="Times New Roman" w:eastAsia="Times New Roman" w:hAnsi="Times New Roman"/>
          <w:sz w:val="22"/>
          <w:szCs w:val="22"/>
          <w:color w:val="auto"/>
        </w:rPr>
      </w:pPr>
    </w:p>
    <w:p>
      <w:pPr>
        <w:jc w:val="both"/>
        <w:ind w:left="200" w:right="219" w:firstLine="657"/>
        <w:spacing w:after="0" w:line="258" w:lineRule="auto"/>
        <w:tabs>
          <w:tab w:leader="none" w:pos="149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Miscellaneous</w:t>
      </w:r>
      <w:r>
        <w:rPr>
          <w:rFonts w:ascii="Times New Roman" w:cs="Times New Roman" w:eastAsia="Times New Roman" w:hAnsi="Times New Roman"/>
          <w:sz w:val="21"/>
          <w:szCs w:val="21"/>
          <w:color w:val="auto"/>
        </w:rPr>
        <w:t>. Whenever used in this Agreement, the singular shall include the plural and vice versa (where applicable), the use of the masculine, feminine or neuter gender shall be deemed to include the other genders (unless the context otherwise requires), the words “hereof,” “herein,” “hereto,” “hereby,” “hereunder,” and other words of similar import refer to this Agreement as a whole (including exhibits), the words “include,” “includes” and “including” means “include, without limitation,” “includes, without limitation” and “including, without limitation,” respectively. The headings used in this Agreement are for convenience only, shall not be deemed to constitute a part hereof, and shall not be deemed to limit, characterize or in any way affect the construction or enforcement of the provisions of this Agreement. This Agreement may be executed in any number of identical counterparts, any of which may contain the signatures of less than all parties, and all of which together shall constitute a single agreement. All remedies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330200</wp:posOffset>
            </wp:positionV>
            <wp:extent cx="54521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-5481320</wp:posOffset>
            </wp:positionV>
            <wp:extent cx="1803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6" w:name="page67"/>
    <w:bookmarkEnd w:id="66"/>
    <w:p>
      <w:pPr>
        <w:ind w:left="200" w:right="219"/>
        <w:spacing w:after="0" w:line="271" w:lineRule="auto"/>
        <w:rPr>
          <w:sz w:val="20"/>
          <w:szCs w:val="20"/>
          <w:color w:val="auto"/>
        </w:rPr>
      </w:pPr>
      <w:r>
        <w:rPr>
          <w:rFonts w:ascii="Times New Roman" w:cs="Times New Roman" w:eastAsia="Times New Roman" w:hAnsi="Times New Roman"/>
          <w:sz w:val="22"/>
          <w:szCs w:val="22"/>
          <w:color w:val="auto"/>
        </w:rPr>
        <w:t>any party hereunder are cumulative and not alternative, and are in addition to any other remedies available at law, in equity or otherwise.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7" w:name="page68"/>
    <w:bookmarkEnd w:id="67"/>
    <w:p>
      <w:pPr>
        <w:ind w:left="40" w:right="59"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as of the date first set forth above.</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COMPANY:</w:t>
      </w:r>
    </w:p>
    <w:p>
      <w:pPr>
        <w:spacing w:after="0" w:line="2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LORDSTOWN MOTORS CORP.</w:t>
      </w:r>
    </w:p>
    <w:p>
      <w:pPr>
        <w:spacing w:after="0" w:line="2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u w:val="single" w:color="auto"/>
          <w:color w:val="auto"/>
        </w:rPr>
        <w:t>/s/ Edward Hightower</w:t>
      </w:r>
    </w:p>
    <w:p>
      <w:pPr>
        <w:spacing w:after="0" w:line="2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 Edward Hightower</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Its: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EXECUTIVE:</w:t>
      </w:r>
    </w:p>
    <w:p>
      <w:pPr>
        <w:spacing w:after="0" w:line="2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/s/ 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-13970</wp:posOffset>
            </wp:positionV>
            <wp:extent cx="9975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997585" cy="8890"/>
                    </a:xfrm>
                    <a:prstGeom prst="rect">
                      <a:avLst/>
                    </a:prstGeom>
                    <a:noFill/>
                  </pic:spPr>
                </pic:pic>
              </a:graphicData>
            </a:graphic>
          </wp:anchor>
        </w:drawing>
      </w:r>
    </w:p>
    <w:p>
      <w:pPr>
        <w:spacing w:after="0" w:line="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Daniel Ninivaggi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338455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68" w:name="page69"/>
    <w:bookmarkEnd w:id="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Edward Hightower, certify that:</w:t>
      </w:r>
    </w:p>
    <w:p>
      <w:pPr>
        <w:spacing w:after="0" w:line="117" w:lineRule="exact"/>
        <w:rPr>
          <w:sz w:val="20"/>
          <w:szCs w:val="20"/>
          <w:color w:val="auto"/>
        </w:rPr>
      </w:pPr>
    </w:p>
    <w:p>
      <w:pPr>
        <w:ind w:left="700" w:hanging="656"/>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40"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11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u w:val="single" w:color="auto"/>
          <w:color w:val="auto"/>
        </w:rPr>
        <w:t>/s/ Edward T. Hightower</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Adam Kroll, certify that:</w:t>
      </w:r>
    </w:p>
    <w:p>
      <w:pPr>
        <w:spacing w:after="0" w:line="117" w:lineRule="exact"/>
        <w:rPr>
          <w:sz w:val="20"/>
          <w:szCs w:val="20"/>
          <w:color w:val="auto"/>
        </w:rPr>
      </w:pPr>
    </w:p>
    <w:p>
      <w:pPr>
        <w:ind w:left="700" w:hanging="656"/>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58"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6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58"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117" w:lineRule="exact"/>
        <w:rPr>
          <w:sz w:val="20"/>
          <w:szCs w:val="20"/>
          <w:color w:val="auto"/>
        </w:rPr>
      </w:pPr>
    </w:p>
    <w:p>
      <w:pPr>
        <w:ind w:left="4580"/>
        <w:spacing w:after="0"/>
        <w:tabs>
          <w:tab w:leader="none" w:pos="5860" w:val="left"/>
        </w:tabs>
        <w:rPr>
          <w:sz w:val="20"/>
          <w:szCs w:val="20"/>
          <w:color w:val="auto"/>
        </w:rPr>
      </w:pPr>
      <w:r>
        <w:rPr>
          <w:rFonts w:ascii="Times New Roman" w:cs="Times New Roman" w:eastAsia="Times New Roman" w:hAnsi="Times New Roman"/>
          <w:sz w:val="18"/>
          <w:szCs w:val="18"/>
          <w:color w:val="auto"/>
        </w:rPr>
        <w:t>/s/ Adam Kroll</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3734435</wp:posOffset>
            </wp:positionH>
            <wp:positionV relativeFrom="paragraph">
              <wp:posOffset>-7620</wp:posOffset>
            </wp:positionV>
            <wp:extent cx="407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Adam Kroll</w:t>
      </w: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348615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June 30, 2022, as filed with the Securities and Exchange Commission on the date hereof (the “Report”), I, Edward Hightower, Chief Executive Officer and President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Edward T. Hightower​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-7620</wp:posOffset>
            </wp:positionV>
            <wp:extent cx="7213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1360" cy="8890"/>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Edward T. Hightower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Lordstown Motors Corp. (the “Company”) on Form 10-Q for the period ended June 30, 2022, as filed with the Securities and Exchange Commission on the date hereof (the “Report”), I, Adam Kroll, Chief Financial Officer of the Company, certify,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8"/>
        <w:spacing w:after="0" w:line="282" w:lineRule="auto"/>
        <w:tabs>
          <w:tab w:leader="none" w:pos="6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2022</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u w:val="single" w:color="auto"/>
          <w:color w:val="auto"/>
        </w:rPr>
        <w:t>/s/Adam Kroll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-7620</wp:posOffset>
            </wp:positionV>
            <wp:extent cx="9791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Adam Kroll</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lowerRoman"/>
      <w:start w:val="1"/>
    </w:lvl>
  </w:abstractNum>
  <w:abstractNum w:abstractNumId="7">
    <w:nsid w:val="419AC241"/>
    <w:multiLevelType w:val="hybridMultilevel"/>
    <w:lvl w:ilvl="0">
      <w:lvlJc w:val="left"/>
      <w:lvlText w:val="1"/>
      <w:numFmt w:val="bullet"/>
      <w:start w:val="1"/>
    </w:lvl>
  </w:abstractNum>
  <w:abstractNum w:abstractNumId="8">
    <w:nsid w:val="5577F8E1"/>
    <w:multiLevelType w:val="hybridMultilevel"/>
    <w:lvl w:ilvl="0">
      <w:lvlJc w:val="left"/>
      <w:lvlText w:val="1"/>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Roman"/>
      <w:start w:val="1"/>
    </w:lvl>
  </w:abstractNum>
  <w:abstractNum w:abstractNumId="11">
    <w:nsid w:val="3804823E"/>
    <w:multiLevelType w:val="hybridMultilevel"/>
    <w:lvl w:ilvl="0">
      <w:lvlJc w:val="left"/>
      <w:lvlText w:val="(%1)"/>
      <w:numFmt w:val="lowerRoman"/>
      <w:start w:val="3"/>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lvl w:ilvl="1">
      <w:lvlJc w:val="left"/>
      <w:lvlText w:val="(%2)"/>
      <w:numFmt w:val="lowerLetter"/>
      <w:start w:val="1"/>
    </w:lvl>
  </w:abstractNum>
  <w:abstractNum w:abstractNumId="14">
    <w:nsid w:val="5C482A97"/>
    <w:multiLevelType w:val="hybridMultilevel"/>
    <w:lvl w:ilvl="0">
      <w:lvlJc w:val="left"/>
      <w:lvlText w:val="(%1)"/>
      <w:numFmt w:val="lowerLetter"/>
      <w:start w:val="2"/>
    </w:lvl>
  </w:abstractNum>
  <w:abstractNum w:abstractNumId="15">
    <w:nsid w:val="2463B9EA"/>
    <w:multiLevelType w:val="hybridMultilevel"/>
    <w:lvl w:ilvl="0">
      <w:lvlJc w:val="left"/>
      <w:lvlText w:val="%1."/>
      <w:numFmt w:val="decimal"/>
      <w:start w:val="4"/>
    </w:lvl>
    <w:lvl w:ilvl="1">
      <w:lvlJc w:val="left"/>
      <w:lvlText w:val="(%2)"/>
      <w:numFmt w:val="lowerLetter"/>
      <w:start w:val="1"/>
    </w:lvl>
  </w:abstractNum>
  <w:abstractNum w:abstractNumId="16">
    <w:nsid w:val="5E884ADC"/>
    <w:multiLevelType w:val="hybridMultilevel"/>
    <w:lvl w:ilvl="0">
      <w:lvlJc w:val="left"/>
      <w:lvlText w:val="(%1)"/>
      <w:numFmt w:val="lowerRoman"/>
      <w:start w:val="1"/>
    </w:lvl>
  </w:abstractNum>
  <w:abstractNum w:abstractNumId="17">
    <w:nsid w:val="51EAD36B"/>
    <w:multiLevelType w:val="hybridMultilevel"/>
    <w:lvl w:ilvl="0">
      <w:lvlJc w:val="left"/>
      <w:lvlText w:val="(%1)"/>
      <w:numFmt w:val="lowerLetter"/>
      <w:start w:val="3"/>
    </w:lvl>
  </w:abstractNum>
  <w:abstractNum w:abstractNumId="18">
    <w:nsid w:val="2D517796"/>
    <w:multiLevelType w:val="hybridMultilevel"/>
    <w:lvl w:ilvl="0">
      <w:lvlJc w:val="left"/>
      <w:lvlText w:val="(%1)"/>
      <w:numFmt w:val="lowerRoman"/>
      <w:start w:val="1"/>
    </w:lvl>
  </w:abstractNum>
  <w:abstractNum w:abstractNumId="19">
    <w:nsid w:val="580BD78F"/>
    <w:multiLevelType w:val="hybridMultilevel"/>
    <w:lvl w:ilvl="0">
      <w:lvlJc w:val="left"/>
      <w:lvlText w:val="(%1)"/>
      <w:numFmt w:val="lowerRoman"/>
      <w:start w:val="2"/>
    </w:lvl>
  </w:abstractNum>
  <w:abstractNum w:abstractNumId="20">
    <w:nsid w:val="153EA438"/>
    <w:multiLevelType w:val="hybridMultilevel"/>
    <w:lvl w:ilvl="0">
      <w:lvlJc w:val="left"/>
      <w:lvlText w:val="%1"/>
      <w:numFmt w:val="decimal"/>
      <w:start w:val="1"/>
    </w:lvl>
    <w:lvl w:ilvl="1">
      <w:lvlJc w:val="left"/>
      <w:lvlText w:val="(%2)"/>
      <w:numFmt w:val="lowerLetter"/>
      <w:start w:val="5"/>
    </w:lvl>
  </w:abstractNum>
  <w:abstractNum w:abstractNumId="21">
    <w:nsid w:val="3855585C"/>
    <w:multiLevelType w:val="hybridMultilevel"/>
    <w:lvl w:ilvl="0">
      <w:lvlJc w:val="left"/>
      <w:lvlText w:val="%1."/>
      <w:numFmt w:val="decimal"/>
      <w:start w:val="5"/>
    </w:lvl>
    <w:lvl w:ilvl="1">
      <w:lvlJc w:val="left"/>
      <w:lvlText w:val="(%2)"/>
      <w:numFmt w:val="lowerLetter"/>
      <w:start w:val="1"/>
    </w:lvl>
  </w:abstractNum>
  <w:abstractNum w:abstractNumId="22">
    <w:nsid w:val="70A64E2A"/>
    <w:multiLevelType w:val="hybridMultilevel"/>
    <w:lvl w:ilvl="0">
      <w:lvlJc w:val="left"/>
      <w:lvlText w:val="(%1)"/>
      <w:numFmt w:val="lowerLetter"/>
      <w:start w:val="2"/>
    </w:lvl>
  </w:abstractNum>
  <w:abstractNum w:abstractNumId="23">
    <w:nsid w:val="6A2342EC"/>
    <w:multiLevelType w:val="hybridMultilevel"/>
    <w:lvl w:ilvl="0">
      <w:lvlJc w:val="left"/>
      <w:lvlText w:val="%1"/>
      <w:numFmt w:val="decimal"/>
      <w:start w:val="1"/>
    </w:lvl>
    <w:lvl w:ilvl="1">
      <w:lvlJc w:val="left"/>
      <w:lvlText w:val="(%2)"/>
      <w:numFmt w:val="lowerLetter"/>
      <w:start w:val="4"/>
    </w:lvl>
  </w:abstractNum>
  <w:abstractNum w:abstractNumId="24">
    <w:nsid w:val="2A487CB0"/>
    <w:multiLevelType w:val="hybridMultilevel"/>
    <w:lvl w:ilvl="0">
      <w:lvlJc w:val="left"/>
      <w:lvlText w:val="%1."/>
      <w:numFmt w:val="decimal"/>
      <w:start w:val="6"/>
    </w:lvl>
    <w:lvl w:ilvl="1">
      <w:lvlJc w:val="left"/>
      <w:lvlText w:val="%2"/>
      <w:numFmt w:val="lowerLetter"/>
      <w:start w:val="1"/>
    </w:lvl>
  </w:abstractNum>
  <w:abstractNum w:abstractNumId="25">
    <w:nsid w:val="1D4ED43B"/>
    <w:multiLevelType w:val="hybridMultilevel"/>
    <w:lvl w:ilvl="0">
      <w:lvlJc w:val="left"/>
      <w:lvlText w:val="(%1)"/>
      <w:numFmt w:val="lowerRoman"/>
      <w:start w:val="1"/>
    </w:lvl>
  </w:abstractNum>
  <w:abstractNum w:abstractNumId="26">
    <w:nsid w:val="725A06FB"/>
    <w:multiLevelType w:val="hybridMultilevel"/>
    <w:lvl w:ilvl="0">
      <w:lvlJc w:val="left"/>
      <w:lvlText w:val="(%1)"/>
      <w:numFmt w:val="lowerRoman"/>
      <w:start w:val="1"/>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decimal"/>
      <w:start w:val="1"/>
    </w:lvl>
    <w:lvl w:ilvl="1">
      <w:lvlJc w:val="left"/>
      <w:lvlText w:val="(%2)"/>
      <w:numFmt w:val="lowerRoman"/>
      <w:start w:val="1"/>
    </w:lvl>
  </w:abstractNum>
  <w:abstractNum w:abstractNumId="29">
    <w:nsid w:val="7A6D8D3C"/>
    <w:multiLevelType w:val="hybridMultilevel"/>
    <w:lvl w:ilvl="0">
      <w:lvlJc w:val="left"/>
      <w:lvlText w:val="%1."/>
      <w:numFmt w:val="decimal"/>
      <w:start w:val="8"/>
    </w:lvl>
    <w:lvl w:ilvl="1">
      <w:lvlJc w:val="left"/>
      <w:lvlText w:val="%2"/>
      <w:numFmt w:val="lowerRoman"/>
      <w:start w:val="1"/>
    </w:lvl>
  </w:abstractNum>
  <w:abstractNum w:abstractNumId="30">
    <w:nsid w:val="4B588F54"/>
    <w:multiLevelType w:val="hybridMultilevel"/>
    <w:lvl w:ilvl="0">
      <w:lvlJc w:val="left"/>
      <w:lvlText w:val="%1."/>
      <w:numFmt w:val="decimal"/>
      <w:start w:val="9"/>
    </w:lvl>
  </w:abstractNum>
  <w:abstractNum w:abstractNumId="31">
    <w:nsid w:val="542289EC"/>
    <w:multiLevelType w:val="hybridMultilevel"/>
    <w:lvl w:ilvl="0">
      <w:lvlJc w:val="left"/>
      <w:lvlText w:val="%1."/>
      <w:numFmt w:val="decimal"/>
      <w:start w:val="11"/>
    </w:lvl>
  </w:abstractNum>
  <w:abstractNum w:abstractNumId="32">
    <w:nsid w:val="6DE91B18"/>
    <w:multiLevelType w:val="hybridMultilevel"/>
    <w:lvl w:ilvl="0">
      <w:lvlJc w:val="left"/>
      <w:lvlText w:val="%1."/>
      <w:numFmt w:val="decimal"/>
      <w:start w:val="19"/>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5">
    <w:nsid w:val="32FFF90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36">
    <w:nsid w:val="684A481A"/>
    <w:multiLevelType w:val="hybridMultilevel"/>
    <w:lvl w:ilvl="0">
      <w:lvlJc w:val="left"/>
      <w:lvlText w:val="%1"/>
      <w:numFmt w:val="decimal"/>
      <w:start w:val="1"/>
    </w:lvl>
    <w:lvl w:ilvl="1">
      <w:lvlJc w:val="left"/>
      <w:lvlText w:val="(%2)"/>
      <w:numFmt w:val="lowerLetter"/>
      <w:start w:val="3"/>
    </w:lvl>
  </w:abstractNum>
  <w:abstractNum w:abstractNumId="37">
    <w:nsid w:val="579478FE"/>
    <w:multiLevelType w:val="hybridMultilevel"/>
    <w:lvl w:ilvl="0">
      <w:lvlJc w:val="left"/>
      <w:lvlText w:val="%1."/>
      <w:numFmt w:val="decimal"/>
      <w:start w:val="4"/>
    </w:lvl>
    <w:lvl w:ilvl="1">
      <w:lvlJc w:val="left"/>
      <w:lvlText w:val="(%2)"/>
      <w:numFmt w:val="lowerLetter"/>
      <w:start w:val="1"/>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Roman"/>
      <w:start w:val="2"/>
    </w:lvl>
  </w:abstractNum>
  <w:abstractNum w:abstractNumId="40">
    <w:nsid w:val="1BA026FA"/>
    <w:multiLevelType w:val="hybridMultilevel"/>
    <w:lvl w:ilvl="0">
      <w:lvlJc w:val="left"/>
      <w:lvlText w:val="(%1)"/>
      <w:numFmt w:val="lowerLetter"/>
      <w:start w:val="3"/>
    </w:lvl>
  </w:abstractNum>
  <w:abstractNum w:abstractNumId="41">
    <w:nsid w:val="79A1DEAA"/>
    <w:multiLevelType w:val="hybridMultilevel"/>
    <w:lvl w:ilvl="0">
      <w:lvlJc w:val="left"/>
      <w:lvlText w:val="%1"/>
      <w:numFmt w:val="decimal"/>
      <w:start w:val="1"/>
    </w:lvl>
    <w:lvl w:ilvl="1">
      <w:lvlJc w:val="left"/>
      <w:lvlText w:val="(%2)"/>
      <w:numFmt w:val="lowerRoman"/>
      <w:start w:val="1"/>
    </w:lvl>
  </w:abstractNum>
  <w:abstractNum w:abstractNumId="42">
    <w:nsid w:val="75C6C33A"/>
    <w:multiLevelType w:val="hybridMultilevel"/>
    <w:lvl w:ilvl="0">
      <w:lvlJc w:val="left"/>
      <w:lvlText w:val="(%1)"/>
      <w:numFmt w:val="decimal"/>
      <w:start w:val="8"/>
    </w:lvl>
    <w:lvl w:ilvl="1">
      <w:lvlJc w:val="left"/>
      <w:lvlText w:val="%2"/>
      <w:numFmt w:val="lowerRoman"/>
      <w:start w:val="1"/>
    </w:lvl>
  </w:abstractNum>
  <w:abstractNum w:abstractNumId="43">
    <w:nsid w:val="12E685FB"/>
    <w:multiLevelType w:val="hybridMultilevel"/>
    <w:lvl w:ilvl="0">
      <w:lvlJc w:val="left"/>
      <w:lvlText w:val="(%1)"/>
      <w:numFmt w:val="lowerRoman"/>
      <w:start w:val="2"/>
    </w:lvl>
  </w:abstractNum>
  <w:abstractNum w:abstractNumId="44">
    <w:nsid w:val="70C6A529"/>
    <w:multiLevelType w:val="hybridMultilevel"/>
    <w:lvl w:ilvl="0">
      <w:lvlJc w:val="left"/>
      <w:lvlText w:val="(%1)"/>
      <w:numFmt w:val="lowerLetter"/>
      <w:start w:val="5"/>
    </w:lvl>
  </w:abstractNum>
  <w:abstractNum w:abstractNumId="45">
    <w:nsid w:val="520EEDD1"/>
    <w:multiLevelType w:val="hybridMultilevel"/>
    <w:lvl w:ilvl="0">
      <w:lvlJc w:val="left"/>
      <w:lvlText w:val="%1."/>
      <w:numFmt w:val="decimal"/>
      <w:start w:val="5"/>
    </w:lvl>
    <w:lvl w:ilvl="1">
      <w:lvlJc w:val="left"/>
      <w:lvlText w:val="(%2)"/>
      <w:numFmt w:val="lowerLetter"/>
      <w:start w:val="1"/>
    </w:lvl>
  </w:abstractNum>
  <w:abstractNum w:abstractNumId="46">
    <w:nsid w:val="374A3FE6"/>
    <w:multiLevelType w:val="hybridMultilevel"/>
    <w:lvl w:ilvl="0">
      <w:lvlJc w:val="left"/>
      <w:lvlText w:val="(%1)"/>
      <w:numFmt w:val="decimal"/>
      <w:start w:val="3"/>
    </w:lvl>
    <w:lvl w:ilvl="1">
      <w:lvlJc w:val="left"/>
      <w:lvlText w:val="(%2)"/>
      <w:numFmt w:val="lowerLetter"/>
      <w:start w:val="2"/>
    </w:lvl>
  </w:abstractNum>
  <w:abstractNum w:abstractNumId="47">
    <w:nsid w:val="4F4EF005"/>
    <w:multiLevelType w:val="hybridMultilevel"/>
    <w:lvl w:ilvl="0">
      <w:lvlJc w:val="left"/>
      <w:lvlText w:val="%1"/>
      <w:numFmt w:val="decimal"/>
      <w:start w:val="1"/>
    </w:lvl>
    <w:lvl w:ilvl="1">
      <w:lvlJc w:val="left"/>
      <w:lvlText w:val="(%2)"/>
      <w:numFmt w:val="lowerLetter"/>
      <w:start w:val="5"/>
    </w:lvl>
  </w:abstractNum>
  <w:abstractNum w:abstractNumId="48">
    <w:nsid w:val="23F9C13C"/>
    <w:multiLevelType w:val="hybridMultilevel"/>
    <w:lvl w:ilvl="0">
      <w:lvlJc w:val="left"/>
      <w:lvlText w:val="%1."/>
      <w:numFmt w:val="decimal"/>
      <w:start w:val="6"/>
    </w:lvl>
    <w:lvl w:ilvl="1">
      <w:lvlJc w:val="left"/>
      <w:lvlText w:val="%2"/>
      <w:numFmt w:val="lowerLetter"/>
      <w:start w:val="1"/>
    </w:lvl>
  </w:abstractNum>
  <w:abstractNum w:abstractNumId="49">
    <w:nsid w:val="649BB77C"/>
    <w:multiLevelType w:val="hybridMultilevel"/>
    <w:lvl w:ilvl="0">
      <w:lvlJc w:val="left"/>
      <w:lvlText w:val="(%1)"/>
      <w:numFmt w:val="lowerRoman"/>
      <w:start w:val="1"/>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1)"/>
      <w:numFmt w:val="lowerRoman"/>
      <w:start w:val="2"/>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1)"/>
      <w:numFmt w:val="lowerRoman"/>
      <w:start w:val="3"/>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15"/>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50" Type="http://schemas.openxmlformats.org/officeDocument/2006/relationships/hyperlink" Target="https://www.sec.gov/Archives/edgar/data/1759546/000110465922066913/tm2217412d1_ex3-1.htm" TargetMode="External"/><Relationship Id="rId51" Type="http://schemas.openxmlformats.org/officeDocument/2006/relationships/hyperlink" Target="https://www.sec.gov/Archives/edgar/data/1759546/000110465922058868/tm2215185d1_ex10-1.htm" TargetMode="External"/><Relationship Id="rId52" Type="http://schemas.openxmlformats.org/officeDocument/2006/relationships/hyperlink" Target="https://www.sec.gov/Archives/edgar/data/1759546/000110465922058953/tm2214981d3_ex10-2.htm" TargetMode="External"/><Relationship Id="rId53" Type="http://schemas.openxmlformats.org/officeDocument/2006/relationships/hyperlink" Target="https://www.sec.gov/Archives/edgar/data/1759546/000110465922058868/tm2215185d1_ex10-3.htm" TargetMode="External"/><Relationship Id="rId54" Type="http://schemas.openxmlformats.org/officeDocument/2006/relationships/hyperlink" Target="https://www.sec.gov/Archives/edgar/data/0001759546/000155837022010648/ride-20220711xex10d1.htm" TargetMode="External"/><Relationship Id="rId55" Type="http://schemas.openxmlformats.org/officeDocument/2006/relationships/hyperlink" Target="https://www.sec.gov/Archives/edgar/data/0001759546/000155837022010648/ride-20220711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2022-08-04T07:08:37Z</dcterms:created>
  <dcterms:modified xsi:type="dcterms:W3CDTF">2022-08-04T07:08:37Z</dcterms:modified>
</cp:coreProperties>
</file>