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165100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300" w:right="79" w:hanging="250"/>
        <w:spacing w:after="0" w:line="247" w:lineRule="auto"/>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ind w:left="3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March 31, 2021</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00" w:right="79" w:hanging="250"/>
        <w:spacing w:after="0" w:line="255" w:lineRule="auto"/>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9019"/>
          </w:cols>
          <w:pgMar w:left="1440" w:top="665" w:right="1440" w:bottom="1440" w:gutter="0" w:footer="0" w:header="0"/>
        </w:sectPr>
      </w:pPr>
    </w:p>
    <w:p>
      <w:pPr>
        <w:ind w:left="300"/>
        <w:spacing w:after="0" w:line="236" w:lineRule="auto"/>
        <w:tabs>
          <w:tab w:leader="none" w:pos="3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9019"/>
          </w:cols>
          <w:pgMar w:left="1440" w:top="665" w:right="1440" w:bottom="1440" w:gutter="0" w:footer="0" w:header="0"/>
          <w:type w:val="continuous"/>
        </w:sectPr>
      </w:pPr>
    </w:p>
    <w:p>
      <w:pPr>
        <w:spacing w:after="0" w:line="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019"/>
          </w:cols>
          <w:pgMar w:left="1440" w:top="665" w:right="1440" w:bottom="1440" w:gutter="0" w:footer="0" w:header="0"/>
          <w:type w:val="continuous"/>
        </w:sectPr>
      </w:pP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019"/>
          </w:cols>
          <w:pgMar w:left="1440" w:top="665" w:right="1440" w:bottom="1440" w:gutter="0" w:footer="0" w:header="0"/>
          <w:type w:val="continuous"/>
        </w:sectPr>
      </w:pPr>
    </w:p>
    <w:p>
      <w:pPr>
        <w:spacing w:after="0" w:line="10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(State or Other Jurisdiction of</w:t>
      </w:r>
    </w:p>
    <w:p>
      <w:pPr>
        <w:ind w:left="1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83-2533239</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No.)</w:t>
      </w:r>
    </w:p>
    <w:p>
      <w:pPr>
        <w:spacing w:after="0" w:line="3" w:lineRule="exact"/>
        <w:rPr>
          <w:sz w:val="24"/>
          <w:szCs w:val="24"/>
          <w:color w:val="auto"/>
        </w:rPr>
      </w:pPr>
    </w:p>
    <w:p>
      <w:pPr>
        <w:sectPr>
          <w:pgSz w:w="11900" w:h="16838" w:orient="portrait"/>
          <w:cols w:equalWidth="0" w:num="2">
            <w:col w:w="6100" w:space="720"/>
            <w:col w:w="2199"/>
          </w:cols>
          <w:pgMar w:left="1440" w:top="665"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2300 Hallock Young Road</w:t>
      </w:r>
    </w:p>
    <w:p>
      <w:pPr>
        <w:jc w:val="center"/>
        <w:ind w:right="1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019"/>
          </w:cols>
          <w:pgMar w:left="1440" w:top="665" w:right="1440" w:bottom="1440" w:gutter="0" w:footer="0" w:header="0"/>
          <w:type w:val="continuous"/>
        </w:sectPr>
      </w:pP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1"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98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400" w:type="dxa"/>
            <w:vAlign w:val="bottom"/>
            <w:vMerge w:val="restart"/>
          </w:tcPr>
          <w:p>
            <w:pPr>
              <w:spacing w:after="0"/>
              <w:rPr>
                <w:sz w:val="18"/>
                <w:szCs w:val="18"/>
                <w:color w:val="auto"/>
              </w:rPr>
            </w:pPr>
          </w:p>
        </w:tc>
        <w:tc>
          <w:tcPr>
            <w:tcW w:w="332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jc w:val="center"/>
              <w:ind w:right="1000"/>
              <w:spacing w:after="0" w:line="182" w:lineRule="exact"/>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40" w:type="dxa"/>
            <w:vAlign w:val="bottom"/>
            <w:gridSpan w:val="3"/>
          </w:tcPr>
          <w:p>
            <w:pPr>
              <w:jc w:val="center"/>
              <w:ind w:right="360"/>
              <w:spacing w:after="0" w:line="187" w:lineRule="exact"/>
              <w:rPr>
                <w:sz w:val="20"/>
                <w:szCs w:val="20"/>
                <w:color w:val="auto"/>
              </w:rPr>
            </w:pPr>
            <w:r>
              <w:rPr>
                <w:rFonts w:ascii="Arial" w:cs="Arial" w:eastAsia="Arial" w:hAnsi="Arial"/>
                <w:sz w:val="18"/>
                <w:szCs w:val="18"/>
                <w:b w:val="1"/>
                <w:bCs w:val="1"/>
                <w:color w:val="auto"/>
                <w:w w:val="99"/>
              </w:rPr>
              <w:t>Class A Common Stock, $0.0001</w:t>
            </w:r>
          </w:p>
        </w:tc>
        <w:tc>
          <w:tcPr>
            <w:tcW w:w="380" w:type="dxa"/>
            <w:vAlign w:val="bottom"/>
          </w:tcPr>
          <w:p>
            <w:pPr>
              <w:spacing w:after="0"/>
              <w:rPr>
                <w:sz w:val="16"/>
                <w:szCs w:val="16"/>
                <w:color w:val="auto"/>
              </w:rPr>
            </w:pPr>
          </w:p>
        </w:tc>
        <w:tc>
          <w:tcPr>
            <w:tcW w:w="1740" w:type="dxa"/>
            <w:vAlign w:val="bottom"/>
            <w:gridSpan w:val="2"/>
          </w:tcPr>
          <w:p>
            <w:pPr>
              <w:jc w:val="center"/>
              <w:ind w:right="400"/>
              <w:spacing w:after="0" w:line="187" w:lineRule="exact"/>
              <w:rPr>
                <w:sz w:val="20"/>
                <w:szCs w:val="20"/>
                <w:color w:val="auto"/>
              </w:rPr>
            </w:pPr>
            <w:r>
              <w:rPr>
                <w:rFonts w:ascii="Arial" w:cs="Arial" w:eastAsia="Arial" w:hAnsi="Arial"/>
                <w:sz w:val="18"/>
                <w:szCs w:val="18"/>
                <w:b w:val="1"/>
                <w:bCs w:val="1"/>
                <w:color w:val="auto"/>
                <w:w w:val="97"/>
              </w:rPr>
              <w:t>RIDE</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00" w:type="dxa"/>
            <w:vAlign w:val="bottom"/>
          </w:tcPr>
          <w:p>
            <w:pPr>
              <w:spacing w:after="0"/>
              <w:rPr>
                <w:sz w:val="20"/>
                <w:szCs w:val="20"/>
                <w:color w:val="auto"/>
              </w:rPr>
            </w:pPr>
          </w:p>
        </w:tc>
        <w:tc>
          <w:tcPr>
            <w:tcW w:w="2540" w:type="dxa"/>
            <w:vAlign w:val="bottom"/>
            <w:gridSpan w:val="2"/>
          </w:tcPr>
          <w:p>
            <w:pPr>
              <w:ind w:left="440"/>
              <w:spacing w:after="0"/>
              <w:rPr>
                <w:sz w:val="20"/>
                <w:szCs w:val="20"/>
                <w:color w:val="auto"/>
              </w:rPr>
            </w:pPr>
            <w:r>
              <w:rPr>
                <w:rFonts w:ascii="Arial" w:cs="Arial" w:eastAsia="Arial" w:hAnsi="Arial"/>
                <w:sz w:val="18"/>
                <w:szCs w:val="18"/>
                <w:b w:val="1"/>
                <w:bCs w:val="1"/>
                <w:color w:val="auto"/>
              </w:rPr>
              <w:t>Par Value</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9"/>
              </w:rPr>
              <w:t>NASDAQ</w:t>
            </w:r>
          </w:p>
        </w:tc>
        <w:tc>
          <w:tcPr>
            <w:tcW w:w="0" w:type="dxa"/>
            <w:vAlign w:val="bottom"/>
          </w:tcPr>
          <w:p>
            <w:pPr>
              <w:spacing w:after="0"/>
              <w:rPr>
                <w:sz w:val="1"/>
                <w:szCs w:val="1"/>
                <w:color w:val="auto"/>
              </w:rPr>
            </w:pPr>
          </w:p>
        </w:tc>
      </w:tr>
    </w:tbl>
    <w:p>
      <w:pPr>
        <w:spacing w:after="0" w:line="194" w:lineRule="exact"/>
        <w:rPr>
          <w:sz w:val="24"/>
          <w:szCs w:val="24"/>
          <w:color w:val="auto"/>
        </w:rPr>
      </w:pPr>
    </w:p>
    <w:p>
      <w:pPr>
        <w:ind w:left="60" w:right="199" w:firstLine="324"/>
        <w:spacing w:after="0" w:line="171"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60" w:right="479"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60" w:right="339" w:firstLine="324"/>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218"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highlight w:val="black"/>
        </w:rPr>
        <w:t>☒</w:t>
      </w:r>
    </w:p>
    <w:p>
      <w:pPr>
        <w:spacing w:after="0" w:line="65" w:lineRule="exact"/>
        <w:rPr>
          <w:sz w:val="24"/>
          <w:szCs w:val="24"/>
          <w:color w:val="auto"/>
        </w:rPr>
      </w:pPr>
    </w:p>
    <w:p>
      <w:pPr>
        <w:sectPr>
          <w:pgSz w:w="11900" w:h="16838" w:orient="portrait"/>
          <w:cols w:equalWidth="0" w:num="3">
            <w:col w:w="3060" w:space="720"/>
            <w:col w:w="2180" w:space="720"/>
            <w:col w:w="2339"/>
          </w:cols>
          <w:pgMar w:left="1440" w:top="665" w:right="1440" w:bottom="1440" w:gutter="0" w:footer="0" w:header="0"/>
          <w:type w:val="continuous"/>
        </w:sectPr>
      </w:pPr>
    </w:p>
    <w:p>
      <w:pPr>
        <w:ind w:left="13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p>
      <w:pPr>
        <w:spacing w:after="0" w:line="200" w:lineRule="exact"/>
        <w:rPr>
          <w:sz w:val="24"/>
          <w:szCs w:val="24"/>
          <w:color w:val="auto"/>
        </w:rPr>
      </w:pPr>
    </w:p>
    <w:p>
      <w:pPr>
        <w:sectPr>
          <w:pgSz w:w="11900" w:h="16838" w:orient="portrait"/>
          <w:cols w:equalWidth="0" w:num="2">
            <w:col w:w="5140" w:space="720"/>
            <w:col w:w="3159"/>
          </w:cols>
          <w:pgMar w:left="1440" w:top="665" w:right="1440" w:bottom="1440" w:gutter="0" w:footer="0" w:header="0"/>
          <w:type w:val="continuous"/>
        </w:sectPr>
      </w:pPr>
    </w:p>
    <w:p>
      <w:pPr>
        <w:spacing w:after="0" w:line="4" w:lineRule="exact"/>
        <w:rPr>
          <w:sz w:val="24"/>
          <w:szCs w:val="24"/>
          <w:color w:val="auto"/>
        </w:rPr>
      </w:pPr>
    </w:p>
    <w:p>
      <w:pPr>
        <w:ind w:left="60" w:right="519" w:firstLine="324"/>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380" w:right="619"/>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June 4, 2021, 176,579,376 shares of the registrant’s Class A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676910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67945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111125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gridSpan w:val="12"/>
          </w:tcPr>
          <w:p>
            <w:pPr>
              <w:jc w:val="center"/>
              <w:ind w:right="1960"/>
              <w:spacing w:after="0"/>
              <w:rPr>
                <w:sz w:val="20"/>
                <w:szCs w:val="20"/>
                <w:color w:val="auto"/>
              </w:rPr>
            </w:pPr>
            <w:r>
              <w:rPr>
                <w:rFonts w:ascii="Arial" w:cs="Arial" w:eastAsia="Arial" w:hAnsi="Arial"/>
                <w:sz w:val="18"/>
                <w:szCs w:val="18"/>
                <w:b w:val="1"/>
                <w:bCs w:val="1"/>
                <w:color w:val="auto"/>
                <w:w w:val="98"/>
              </w:rPr>
              <w:t>LORDSTOWN MOTORS CORP.</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8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0" w:type="dxa"/>
            <w:vAlign w:val="bottom"/>
            <w:gridSpan w:val="2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0" w:type="dxa"/>
            <w:vAlign w:val="bottom"/>
            <w:gridSpan w:val="22"/>
            <w:vMerge w:val="continue"/>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68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Balance Sheets as of March 31, 2021 and December 31,</w:t>
              </w:r>
            </w:hyperlink>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40" w:type="dxa"/>
            <w:vAlign w:val="bottom"/>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 xml:space="preserve">2020 </w:t>
              </w:r>
              <w:r>
                <w:rPr>
                  <w:rFonts w:ascii="Arial" w:cs="Arial" w:eastAsia="Arial" w:hAnsi="Arial"/>
                  <w:sz w:val="18"/>
                  <w:szCs w:val="18"/>
                  <w:color w:val="000000"/>
                </w:rPr>
                <w:t>(Restated)</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Operations for the three months ended</w:t>
              </w:r>
            </w:hyperlink>
          </w:p>
        </w:tc>
        <w:tc>
          <w:tcPr>
            <w:tcW w:w="52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40" w:type="dxa"/>
            <w:vAlign w:val="bottom"/>
            <w:gridSpan w:val="1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March 31, 2021 and 2020</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60" w:type="dxa"/>
            <w:vAlign w:val="bottom"/>
            <w:tcBorders>
              <w:left w:val="single" w:sz="8" w:color="0000EE"/>
            </w:tcBorders>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Equity/(Deficit) for the three</w:t>
              </w:r>
            </w:hyperlink>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months ended March 31, 2021 and 2020</w:t>
              </w:r>
            </w:hyperlink>
          </w:p>
        </w:tc>
        <w:tc>
          <w:tcPr>
            <w:tcW w:w="3300" w:type="dxa"/>
            <w:vAlign w:val="bottom"/>
            <w:tcBorders>
              <w:top w:val="single" w:sz="8" w:color="0000EE"/>
            </w:tcBorders>
            <w:gridSpan w:val="7"/>
          </w:tcPr>
          <w:p>
            <w:pPr>
              <w:spacing w:after="0"/>
              <w:rPr>
                <w:sz w:val="15"/>
                <w:szCs w:val="15"/>
                <w:color w:val="auto"/>
              </w:rPr>
            </w:pPr>
          </w:p>
        </w:tc>
        <w:tc>
          <w:tcPr>
            <w:tcW w:w="300" w:type="dxa"/>
            <w:vAlign w:val="bottom"/>
            <w:gridSpan w:val="2"/>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Cash Flows for the three months ended</w:t>
              </w:r>
            </w:hyperlink>
          </w:p>
        </w:tc>
        <w:tc>
          <w:tcPr>
            <w:tcW w:w="4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40" w:type="dxa"/>
            <w:vAlign w:val="bottom"/>
            <w:gridSpan w:val="19"/>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March 31, 2021 and 2020</w:t>
              </w:r>
            </w:hyperlink>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8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684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w:t>
              </w:r>
            </w:hyperlink>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Operations</w:t>
              </w:r>
            </w:hyperlink>
          </w:p>
        </w:tc>
        <w:tc>
          <w:tcPr>
            <w:tcW w:w="5260" w:type="dxa"/>
            <w:vAlign w:val="bottom"/>
            <w:tcBorders>
              <w:top w:val="single" w:sz="8" w:color="0000EE"/>
            </w:tcBorders>
            <w:gridSpan w:val="11"/>
          </w:tcPr>
          <w:p>
            <w:pPr>
              <w:spacing w:after="0"/>
              <w:rPr>
                <w:sz w:val="15"/>
                <w:szCs w:val="15"/>
                <w:color w:val="auto"/>
              </w:rPr>
            </w:pPr>
          </w:p>
        </w:tc>
        <w:tc>
          <w:tcPr>
            <w:tcW w:w="700" w:type="dxa"/>
            <w:vAlign w:val="bottom"/>
            <w:gridSpan w:val="5"/>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68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684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800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 OTHER INFORMATION</w:t>
              </w:r>
            </w:hyperlink>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684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684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9"/>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500" w:type="dxa"/>
            <w:vAlign w:val="bottom"/>
          </w:tcPr>
          <w:p>
            <w:pPr>
              <w:spacing w:after="0"/>
              <w:rPr>
                <w:sz w:val="24"/>
                <w:szCs w:val="24"/>
                <w:color w:val="auto"/>
              </w:rPr>
            </w:pPr>
          </w:p>
        </w:tc>
        <w:tc>
          <w:tcPr>
            <w:tcW w:w="684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1"/>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684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4"/>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EE"/>
            </w:tcBorders>
            <w:gridSpan w:val="2"/>
          </w:tcPr>
          <w:p>
            <w:pPr>
              <w:spacing w:after="0"/>
              <w:rPr>
                <w:sz w:val="24"/>
                <w:szCs w:val="24"/>
                <w:color w:val="auto"/>
              </w:rPr>
            </w:pPr>
          </w:p>
        </w:tc>
        <w:tc>
          <w:tcPr>
            <w:tcW w:w="3840" w:type="dxa"/>
            <w:vAlign w:val="bottom"/>
            <w:gridSpan w:val="9"/>
          </w:tcPr>
          <w:p>
            <w:pPr>
              <w:jc w:val="center"/>
              <w:ind w:left="141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prospects, growth, strategies and the industry in which we operate, and any other statements that are not statements of current or historical facts.</w:t>
      </w:r>
    </w:p>
    <w:p>
      <w:pPr>
        <w:spacing w:after="0" w:line="211"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our Annual Report on Form 10-K/A for the year ended December 31, 2020, as filed with the SEC on June 8, 2021(the “Form 10-K/A”), and in subsequent reports that we file with the SEC, as well as the following:</w:t>
      </w:r>
    </w:p>
    <w:p>
      <w:pPr>
        <w:spacing w:after="0" w:line="200" w:lineRule="exact"/>
        <w:rPr>
          <w:sz w:val="20"/>
          <w:szCs w:val="20"/>
          <w:color w:val="auto"/>
        </w:rPr>
      </w:pPr>
    </w:p>
    <w:p>
      <w:pPr>
        <w:spacing w:after="0" w:line="205" w:lineRule="exact"/>
        <w:rPr>
          <w:sz w:val="20"/>
          <w:szCs w:val="20"/>
          <w:color w:val="auto"/>
        </w:rPr>
      </w:pPr>
    </w:p>
    <w:p>
      <w:pPr>
        <w:ind w:left="720" w:right="4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continue as a going concern, which requires us to manage costs and obtain additional funding to ramp up the production phase of our operations, including to begin commercial scale production, launch the sale of our vehicles and invest in research and development of additional products;</w:t>
      </w:r>
    </w:p>
    <w:p>
      <w:pPr>
        <w:spacing w:after="0" w:line="2"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future capital requirements and sources and uses of cash;</w:t>
      </w: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execute our business model, including market acceptance of our planned products;</w:t>
      </w:r>
    </w:p>
    <w:p>
      <w:pPr>
        <w:ind w:left="720" w:right="13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our all electric full-size pick-up truck, and retooling of our facility, to establish appropriate supplier relationships, to successfully complete testing and to start production of the Endurance, in accordance with our projected timeline and budget;</w:t>
      </w:r>
    </w:p>
    <w:p>
      <w:pPr>
        <w:spacing w:after="0" w:line="3" w:lineRule="exact"/>
        <w:rPr>
          <w:rFonts w:ascii="Arial" w:cs="Arial" w:eastAsia="Arial" w:hAnsi="Arial"/>
          <w:sz w:val="16"/>
          <w:szCs w:val="16"/>
          <w:color w:val="auto"/>
        </w:rPr>
      </w:pPr>
    </w:p>
    <w:p>
      <w:pPr>
        <w:ind w:left="720" w:right="299" w:hanging="319"/>
        <w:spacing w:after="0" w:line="248"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Arial" w:cs="Arial" w:eastAsia="Arial" w:hAnsi="Arial"/>
          <w:sz w:val="15"/>
          <w:szCs w:val="15"/>
          <w:color w:val="auto"/>
        </w:rPr>
      </w:pPr>
    </w:p>
    <w:p>
      <w:pPr>
        <w:ind w:left="720" w:right="279" w:hanging="319"/>
        <w:spacing w:after="0" w:line="248"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7"/>
          <w:szCs w:val="17"/>
          <w:color w:val="auto"/>
        </w:rPr>
        <w:t>our ability to deliver on the expectations of customers with respect to the quality, reliability, safety and efficiency of the Endurance and to provide the levels of service and support that they will require;</w:t>
      </w:r>
    </w:p>
    <w:p>
      <w:pPr>
        <w:spacing w:after="0" w:line="1" w:lineRule="exact"/>
        <w:rPr>
          <w:rFonts w:ascii="Arial" w:cs="Arial" w:eastAsia="Arial" w:hAnsi="Arial"/>
          <w:sz w:val="15"/>
          <w:szCs w:val="15"/>
          <w:color w:val="auto"/>
        </w:rPr>
      </w:pPr>
    </w:p>
    <w:p>
      <w:pPr>
        <w:ind w:left="720" w:right="159"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source suppliers for our critical components and the terms of such arrangements, and our ability to complete building out our supply chain;</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availability and cost of raw materials and components;</w:t>
      </w: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our business, expansion plans and opportunities;</w:t>
      </w:r>
    </w:p>
    <w:p>
      <w:pPr>
        <w:ind w:left="720" w:hanging="319"/>
        <w:spacing w:after="0" w:line="234"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effects on our future business of competition;</w:t>
      </w:r>
    </w:p>
    <w:p>
      <w:pPr>
        <w:ind w:left="720" w:hanging="319"/>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the pace and depth of electric vehicle adoption generally;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41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Arial" w:cs="Arial" w:eastAsia="Arial" w:hAnsi="Arial"/>
          <w:sz w:val="16"/>
          <w:szCs w:val="16"/>
          <w:color w:val="auto"/>
        </w:rPr>
      </w:pPr>
    </w:p>
    <w:p>
      <w:pPr>
        <w:ind w:left="720"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changes in laws, regulatory requirements, governmental incentives and fuel and energy prices;</w:t>
      </w:r>
    </w:p>
    <w:p>
      <w:pPr>
        <w:ind w:left="720" w:right="1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Arial" w:cs="Arial" w:eastAsia="Arial" w:hAnsi="Arial"/>
          <w:sz w:val="16"/>
          <w:szCs w:val="16"/>
          <w:color w:val="auto"/>
        </w:rPr>
      </w:pPr>
    </w:p>
    <w:p>
      <w:pPr>
        <w:ind w:left="720" w:right="4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litigation, regulatory proceedings, investigations, complaints, product liability claims and/or adverse publicity;</w:t>
      </w:r>
    </w:p>
    <w:p>
      <w:pPr>
        <w:spacing w:after="0" w:line="1" w:lineRule="exact"/>
        <w:rPr>
          <w:rFonts w:ascii="Arial" w:cs="Arial" w:eastAsia="Arial" w:hAnsi="Arial"/>
          <w:sz w:val="16"/>
          <w:szCs w:val="16"/>
          <w:color w:val="auto"/>
        </w:rPr>
      </w:pPr>
    </w:p>
    <w:p>
      <w:pPr>
        <w:ind w:left="720" w:right="259" w:hanging="319"/>
        <w:spacing w:after="0" w:line="23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1" w:lineRule="exact"/>
        <w:rPr>
          <w:rFonts w:ascii="Arial" w:cs="Arial" w:eastAsia="Arial" w:hAnsi="Arial"/>
          <w:sz w:val="16"/>
          <w:szCs w:val="16"/>
          <w:color w:val="auto"/>
        </w:rPr>
      </w:pPr>
    </w:p>
    <w:p>
      <w:pPr>
        <w:ind w:left="720" w:right="579" w:hanging="319"/>
        <w:spacing w:after="0" w:line="24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the possibility that we may be adversely affected by other economic, business and/or competitive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71"/>
              <w:spacing w:after="0"/>
              <w:rPr>
                <w:sz w:val="20"/>
                <w:szCs w:val="20"/>
                <w:color w:val="auto"/>
              </w:rPr>
            </w:pPr>
            <w:r>
              <w:rPr>
                <w:rFonts w:ascii="Arial" w:cs="Arial" w:eastAsia="Arial" w:hAnsi="Arial"/>
                <w:sz w:val="14"/>
                <w:szCs w:val="14"/>
                <w:b w:val="1"/>
                <w:bCs w:val="1"/>
                <w:color w:val="auto"/>
              </w:rPr>
              <w:t>Restated</w:t>
            </w:r>
          </w:p>
        </w:tc>
      </w:tr>
      <w:tr>
        <w:trPr>
          <w:trHeight w:val="175"/>
        </w:trPr>
        <w:tc>
          <w:tcPr>
            <w:tcW w:w="5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 2021</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940" w:type="dxa"/>
            <w:vAlign w:val="bottom"/>
            <w:tcBorders>
              <w:top w:val="single" w:sz="8" w:color="CCEEFF"/>
            </w:tcBorders>
            <w:shd w:val="clear" w:color="auto" w:fill="CCEEFF"/>
          </w:tcPr>
          <w:p>
            <w:pPr>
              <w:ind w:left="248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587,043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2"/>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25,989</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r>
      <w:tr>
        <w:trPr>
          <w:trHeight w:val="196"/>
        </w:trPr>
        <w:tc>
          <w:tcPr>
            <w:tcW w:w="594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613,037</w:t>
            </w:r>
          </w:p>
        </w:tc>
        <w:tc>
          <w:tcPr>
            <w:tcW w:w="200" w:type="dxa"/>
            <w:vAlign w:val="bottom"/>
          </w:tcPr>
          <w:p>
            <w:pPr>
              <w:spacing w:after="0"/>
              <w:rPr>
                <w:sz w:val="17"/>
                <w:szCs w:val="17"/>
                <w:color w:val="auto"/>
              </w:rPr>
            </w:pPr>
          </w:p>
        </w:tc>
        <w:tc>
          <w:tcPr>
            <w:tcW w:w="24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654,445</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154,934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101,663</w:t>
            </w:r>
          </w:p>
        </w:tc>
      </w:tr>
      <w:tr>
        <w:trPr>
          <w:trHeight w:val="203"/>
        </w:trPr>
        <w:tc>
          <w:tcPr>
            <w:tcW w:w="59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11,111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11,111</w:t>
            </w:r>
          </w:p>
        </w:tc>
      </w:tr>
      <w:tr>
        <w:trPr>
          <w:trHeight w:val="196"/>
        </w:trPr>
        <w:tc>
          <w:tcPr>
            <w:tcW w:w="59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779,082</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r>
        <w:trPr>
          <w:trHeight w:val="196"/>
        </w:trPr>
        <w:tc>
          <w:tcPr>
            <w:tcW w:w="5940" w:type="dxa"/>
            <w:vAlign w:val="bottom"/>
          </w:tcPr>
          <w:p>
            <w:pPr>
              <w:ind w:left="9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58,961</w:t>
            </w:r>
          </w:p>
        </w:tc>
        <w:tc>
          <w:tcPr>
            <w:tcW w:w="200" w:type="dxa"/>
            <w:vAlign w:val="bottom"/>
          </w:tcPr>
          <w:p>
            <w:pPr>
              <w:spacing w:after="0"/>
              <w:rPr>
                <w:sz w:val="17"/>
                <w:szCs w:val="17"/>
                <w:color w:val="auto"/>
              </w:rPr>
            </w:pP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32,536</w:t>
            </w: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and other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8,041</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1,538</w:t>
            </w:r>
          </w:p>
        </w:tc>
      </w:tr>
      <w:tr>
        <w:trPr>
          <w:trHeight w:val="196"/>
        </w:trPr>
        <w:tc>
          <w:tcPr>
            <w:tcW w:w="5940" w:type="dxa"/>
            <w:vAlign w:val="bottom"/>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67,002</w:t>
            </w:r>
          </w:p>
        </w:tc>
        <w:tc>
          <w:tcPr>
            <w:tcW w:w="200" w:type="dxa"/>
            <w:vAlign w:val="bottom"/>
          </w:tcPr>
          <w:p>
            <w:pPr>
              <w:spacing w:after="0"/>
              <w:rPr>
                <w:sz w:val="17"/>
                <w:szCs w:val="17"/>
                <w:color w:val="auto"/>
              </w:rPr>
            </w:pPr>
          </w:p>
        </w:tc>
        <w:tc>
          <w:tcPr>
            <w:tcW w:w="24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34,074</w:t>
            </w:r>
          </w:p>
        </w:tc>
      </w:tr>
      <w:tr>
        <w:trPr>
          <w:trHeight w:val="203"/>
        </w:trPr>
        <w:tc>
          <w:tcPr>
            <w:tcW w:w="5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Note payable</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r>
      <w:tr>
        <w:trPr>
          <w:trHeight w:val="203"/>
        </w:trPr>
        <w:tc>
          <w:tcPr>
            <w:tcW w:w="59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Warrant liability</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7,750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101,392</w:t>
            </w:r>
          </w:p>
        </w:tc>
      </w:tr>
      <w:tr>
        <w:trPr>
          <w:trHeight w:val="196"/>
        </w:trPr>
        <w:tc>
          <w:tcPr>
            <w:tcW w:w="59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75,767</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136,481</w:t>
            </w:r>
          </w:p>
        </w:tc>
      </w:tr>
      <w:tr>
        <w:trPr>
          <w:trHeight w:val="196"/>
        </w:trPr>
        <w:tc>
          <w:tcPr>
            <w:tcW w:w="5940" w:type="dxa"/>
            <w:vAlign w:val="bottom"/>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5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Class A common stock, $0.0001 par value, 300,000,000 shares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authorized; 176,579,376 and 168,007,960 shares issued and</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outstanding as of March 31, 2021 and December 31, 2020,</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59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r>
      <w:tr>
        <w:trPr>
          <w:trHeight w:val="203"/>
        </w:trPr>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962,949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765,162</w:t>
            </w:r>
          </w:p>
        </w:tc>
      </w:tr>
      <w:tr>
        <w:trPr>
          <w:trHeight w:val="203"/>
        </w:trPr>
        <w:tc>
          <w:tcPr>
            <w:tcW w:w="5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(259,652)</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(134,441)</w:t>
            </w:r>
          </w:p>
        </w:tc>
      </w:tr>
      <w:tr>
        <w:trPr>
          <w:trHeight w:val="196"/>
        </w:trPr>
        <w:tc>
          <w:tcPr>
            <w:tcW w:w="59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703,315</w:t>
            </w:r>
          </w:p>
        </w:tc>
        <w:tc>
          <w:tcPr>
            <w:tcW w:w="2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630,738</w:t>
            </w:r>
          </w:p>
        </w:tc>
      </w:tr>
      <w:tr>
        <w:trPr>
          <w:trHeight w:val="196"/>
        </w:trPr>
        <w:tc>
          <w:tcPr>
            <w:tcW w:w="59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779,082</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767,219</w:t>
            </w:r>
          </w:p>
        </w:tc>
      </w:tr>
      <w:tr>
        <w:trPr>
          <w:trHeight w:val="237"/>
        </w:trPr>
        <w:tc>
          <w:tcPr>
            <w:tcW w:w="7560" w:type="dxa"/>
            <w:vAlign w:val="bottom"/>
            <w:gridSpan w:val="4"/>
          </w:tcPr>
          <w:p>
            <w:pPr>
              <w:ind w:left="2040"/>
              <w:spacing w:after="0"/>
              <w:rPr>
                <w:sz w:val="20"/>
                <w:szCs w:val="20"/>
                <w:color w:val="auto"/>
              </w:rPr>
            </w:pPr>
            <w:r>
              <w:rPr>
                <w:rFonts w:ascii="Arial" w:cs="Arial" w:eastAsia="Arial" w:hAnsi="Arial"/>
                <w:sz w:val="18"/>
                <w:szCs w:val="18"/>
                <w:color w:val="auto"/>
              </w:rPr>
              <w:t>See Notes to Condensed Consolidated Financial Statements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5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8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and administrative expenses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14,394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3,522</w:t>
            </w:r>
          </w:p>
        </w:tc>
        <w:tc>
          <w:tcPr>
            <w:tcW w:w="20" w:type="dxa"/>
            <w:vAlign w:val="bottom"/>
          </w:tcPr>
          <w:p>
            <w:pPr>
              <w:spacing w:after="0"/>
              <w:rPr>
                <w:sz w:val="17"/>
                <w:szCs w:val="17"/>
                <w:color w:val="auto"/>
              </w:rPr>
            </w:pPr>
          </w:p>
        </w:tc>
      </w:tr>
      <w:tr>
        <w:trPr>
          <w:trHeight w:val="203"/>
        </w:trPr>
        <w:tc>
          <w:tcPr>
            <w:tcW w:w="58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91,812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8,468</w:t>
            </w:r>
          </w:p>
        </w:tc>
        <w:tc>
          <w:tcPr>
            <w:tcW w:w="20" w:type="dxa"/>
            <w:vAlign w:val="bottom"/>
          </w:tcPr>
          <w:p>
            <w:pPr>
              <w:spacing w:after="0"/>
              <w:rPr>
                <w:sz w:val="17"/>
                <w:szCs w:val="17"/>
                <w:color w:val="auto"/>
              </w:rPr>
            </w:pPr>
          </w:p>
        </w:tc>
      </w:tr>
      <w:tr>
        <w:trPr>
          <w:trHeight w:val="196"/>
        </w:trPr>
        <w:tc>
          <w:tcPr>
            <w:tcW w:w="58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106,206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11,990</w:t>
            </w:r>
          </w:p>
        </w:tc>
        <w:tc>
          <w:tcPr>
            <w:tcW w:w="20" w:type="dxa"/>
            <w:vAlign w:val="bottom"/>
          </w:tcPr>
          <w:p>
            <w:pPr>
              <w:spacing w:after="0"/>
              <w:rPr>
                <w:sz w:val="17"/>
                <w:szCs w:val="17"/>
                <w:color w:val="auto"/>
              </w:rPr>
            </w:pPr>
          </w:p>
        </w:tc>
      </w:tr>
      <w:tr>
        <w:trPr>
          <w:trHeight w:val="196"/>
        </w:trPr>
        <w:tc>
          <w:tcPr>
            <w:tcW w:w="588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(106,206)</w:t>
            </w:r>
          </w:p>
        </w:tc>
        <w:tc>
          <w:tcPr>
            <w:tcW w:w="1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(11,990)</w:t>
            </w:r>
          </w:p>
        </w:tc>
        <w:tc>
          <w:tcPr>
            <w:tcW w:w="20" w:type="dxa"/>
            <w:vAlign w:val="bottom"/>
          </w:tcPr>
          <w:p>
            <w:pPr>
              <w:spacing w:after="0"/>
              <w:rPr>
                <w:sz w:val="17"/>
                <w:szCs w:val="17"/>
                <w:color w:val="auto"/>
              </w:rPr>
            </w:pPr>
          </w:p>
        </w:tc>
      </w:tr>
      <w:tr>
        <w:trPr>
          <w:trHeight w:val="203"/>
        </w:trPr>
        <w:tc>
          <w:tcPr>
            <w:tcW w:w="5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80" w:type="dxa"/>
            <w:vAlign w:val="bottom"/>
          </w:tcPr>
          <w:p>
            <w:pPr>
              <w:ind w:left="220"/>
              <w:spacing w:after="0" w:line="202" w:lineRule="exact"/>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(19,132)</w:t>
            </w: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20" w:type="dxa"/>
            <w:vAlign w:val="bottom"/>
          </w:tcPr>
          <w:p>
            <w:pPr>
              <w:spacing w:after="0"/>
              <w:rPr>
                <w:sz w:val="17"/>
                <w:szCs w:val="17"/>
                <w:color w:val="auto"/>
              </w:rPr>
            </w:pPr>
          </w:p>
        </w:tc>
      </w:tr>
      <w:tr>
        <w:trPr>
          <w:trHeight w:val="203"/>
        </w:trPr>
        <w:tc>
          <w:tcPr>
            <w:tcW w:w="5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 (expense)</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r>
      <w:tr>
        <w:trPr>
          <w:trHeight w:val="196"/>
        </w:trPr>
        <w:tc>
          <w:tcPr>
            <w:tcW w:w="588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(125,211)</w:t>
            </w:r>
          </w:p>
        </w:tc>
        <w:tc>
          <w:tcPr>
            <w:tcW w:w="1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(11,865)</w:t>
            </w:r>
          </w:p>
        </w:tc>
        <w:tc>
          <w:tcPr>
            <w:tcW w:w="20" w:type="dxa"/>
            <w:vAlign w:val="bottom"/>
          </w:tcPr>
          <w:p>
            <w:pPr>
              <w:spacing w:after="0"/>
              <w:rPr>
                <w:sz w:val="17"/>
                <w:szCs w:val="17"/>
                <w:color w:val="auto"/>
              </w:rPr>
            </w:pPr>
          </w:p>
        </w:tc>
      </w:tr>
      <w:tr>
        <w:trPr>
          <w:trHeight w:val="203"/>
        </w:trPr>
        <w:tc>
          <w:tcPr>
            <w:tcW w:w="5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6"/>
        </w:trPr>
        <w:tc>
          <w:tcPr>
            <w:tcW w:w="5880" w:type="dxa"/>
            <w:vAlign w:val="bottom"/>
            <w:tcBorders>
              <w:bottom w:val="single" w:sz="8" w:color="CCEEFF"/>
            </w:tcBorders>
          </w:tcPr>
          <w:p>
            <w:pPr>
              <w:ind w:left="56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(125,211)</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(11,865)</w:t>
            </w:r>
          </w:p>
        </w:tc>
        <w:tc>
          <w:tcPr>
            <w:tcW w:w="20" w:type="dxa"/>
            <w:vAlign w:val="bottom"/>
          </w:tcPr>
          <w:p>
            <w:pPr>
              <w:spacing w:after="0"/>
              <w:rPr>
                <w:sz w:val="20"/>
                <w:szCs w:val="20"/>
                <w:color w:val="auto"/>
              </w:rPr>
            </w:pPr>
          </w:p>
        </w:tc>
      </w:tr>
      <w:tr>
        <w:trPr>
          <w:trHeight w:val="183"/>
        </w:trPr>
        <w:tc>
          <w:tcPr>
            <w:tcW w:w="58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Loss per share attributable to common shareholders</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880" w:type="dxa"/>
            <w:vAlign w:val="bottom"/>
          </w:tcPr>
          <w:p>
            <w:pPr>
              <w:ind w:left="340"/>
              <w:spacing w:after="0" w:line="202" w:lineRule="exact"/>
              <w:rPr>
                <w:sz w:val="20"/>
                <w:szCs w:val="20"/>
                <w:color w:val="auto"/>
              </w:rPr>
            </w:pPr>
            <w:r>
              <w:rPr>
                <w:rFonts w:ascii="Arial" w:cs="Arial" w:eastAsia="Arial" w:hAnsi="Arial"/>
                <w:sz w:val="18"/>
                <w:szCs w:val="18"/>
                <w:color w:val="auto"/>
              </w:rPr>
              <w:t>Basic &amp; Diluted</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(0.72)</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c>
          <w:tcPr>
            <w:tcW w:w="20" w:type="dxa"/>
            <w:vAlign w:val="bottom"/>
          </w:tcPr>
          <w:p>
            <w:pPr>
              <w:spacing w:after="0"/>
              <w:rPr>
                <w:sz w:val="17"/>
                <w:szCs w:val="17"/>
                <w:color w:val="auto"/>
              </w:rPr>
            </w:pPr>
          </w:p>
        </w:tc>
      </w:tr>
      <w:tr>
        <w:trPr>
          <w:trHeight w:val="203"/>
        </w:trPr>
        <w:tc>
          <w:tcPr>
            <w:tcW w:w="5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Weighted-average number of common shares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880" w:type="dxa"/>
            <w:vAlign w:val="bottom"/>
          </w:tcPr>
          <w:p>
            <w:pPr>
              <w:ind w:left="340"/>
              <w:spacing w:after="0" w:line="196" w:lineRule="exact"/>
              <w:rPr>
                <w:sz w:val="20"/>
                <w:szCs w:val="20"/>
                <w:color w:val="auto"/>
              </w:rPr>
            </w:pPr>
            <w:r>
              <w:rPr>
                <w:rFonts w:ascii="Arial" w:cs="Arial" w:eastAsia="Arial" w:hAnsi="Arial"/>
                <w:sz w:val="18"/>
                <w:szCs w:val="18"/>
                <w:color w:val="auto"/>
              </w:rPr>
              <w:t>Basic &amp; Diluted</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174,325</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71,911</w:t>
            </w:r>
          </w:p>
        </w:tc>
        <w:tc>
          <w:tcPr>
            <w:tcW w:w="20" w:type="dxa"/>
            <w:vAlign w:val="bottom"/>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480" w:type="dxa"/>
            <w:vAlign w:val="bottom"/>
            <w:gridSpan w:val="4"/>
          </w:tcPr>
          <w:p>
            <w:pPr>
              <w:ind w:left="2200"/>
              <w:spacing w:after="0"/>
              <w:rPr>
                <w:sz w:val="20"/>
                <w:szCs w:val="20"/>
                <w:color w:val="auto"/>
              </w:rPr>
            </w:pPr>
            <w:r>
              <w:rPr>
                <w:rFonts w:ascii="Arial" w:cs="Arial" w:eastAsia="Arial" w:hAnsi="Arial"/>
                <w:sz w:val="18"/>
                <w:szCs w:val="18"/>
                <w:color w:val="auto"/>
              </w:rPr>
              <w:t>See Notes to Condensed Consolidated Financial Statements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50"/>
        </w:trPr>
        <w:tc>
          <w:tcPr>
            <w:tcW w:w="5880" w:type="dxa"/>
            <w:vAlign w:val="bottom"/>
          </w:tcPr>
          <w:p>
            <w:pPr>
              <w:ind w:left="44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5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75"/>
        </w:trPr>
        <w:tc>
          <w:tcPr>
            <w:tcW w:w="3320" w:type="dxa"/>
            <w:vAlign w:val="bottom"/>
          </w:tcPr>
          <w:p>
            <w:pPr>
              <w:spacing w:after="0"/>
              <w:rPr>
                <w:sz w:val="15"/>
                <w:szCs w:val="15"/>
                <w:color w:val="auto"/>
              </w:rPr>
            </w:pPr>
          </w:p>
        </w:tc>
        <w:tc>
          <w:tcPr>
            <w:tcW w:w="2360" w:type="dxa"/>
            <w:vAlign w:val="bottom"/>
            <w:gridSpan w:val="5"/>
          </w:tcPr>
          <w:p>
            <w:pPr>
              <w:ind w:left="6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320" w:type="dxa"/>
            <w:vAlign w:val="bottom"/>
          </w:tcPr>
          <w:p>
            <w:pPr>
              <w:spacing w:after="0"/>
              <w:rPr>
                <w:sz w:val="13"/>
                <w:szCs w:val="13"/>
                <w:color w:val="auto"/>
              </w:rPr>
            </w:pPr>
          </w:p>
        </w:tc>
        <w:tc>
          <w:tcPr>
            <w:tcW w:w="1180" w:type="dxa"/>
            <w:vAlign w:val="bottom"/>
            <w:tcBorders>
              <w:top w:val="single" w:sz="8" w:color="auto"/>
            </w:tcBorders>
            <w:gridSpan w:val="2"/>
          </w:tcPr>
          <w:p>
            <w:pPr>
              <w:ind w:left="34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Capital</w:t>
            </w: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2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3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68,279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18,940</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8,556</w:t>
            </w:r>
          </w:p>
        </w:tc>
      </w:tr>
      <w:tr>
        <w:trPr>
          <w:trHeight w:val="203"/>
        </w:trPr>
        <w:tc>
          <w:tcPr>
            <w:tcW w:w="332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4,701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6,403</w:t>
            </w:r>
          </w:p>
        </w:tc>
        <w:tc>
          <w:tcPr>
            <w:tcW w:w="1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6,404</w:t>
            </w:r>
          </w:p>
        </w:tc>
      </w:tr>
      <w:tr>
        <w:trPr>
          <w:trHeight w:val="203"/>
        </w:trPr>
        <w:tc>
          <w:tcPr>
            <w:tcW w:w="3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03"/>
        </w:trPr>
        <w:tc>
          <w:tcPr>
            <w:tcW w:w="33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(11,865)</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(11,865)</w:t>
            </w:r>
          </w:p>
        </w:tc>
      </w:tr>
      <w:tr>
        <w:trPr>
          <w:trHeight w:val="196"/>
        </w:trPr>
        <w:tc>
          <w:tcPr>
            <w:tcW w:w="33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March 31, 2020</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72,980</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25,473</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(22,256)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3,225</w:t>
            </w:r>
          </w:p>
        </w:tc>
      </w:tr>
      <w:tr>
        <w:trPr>
          <w:trHeight w:val="203"/>
        </w:trPr>
        <w:tc>
          <w:tcPr>
            <w:tcW w:w="3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2"/>
        </w:trPr>
        <w:tc>
          <w:tcPr>
            <w:tcW w:w="33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Balance at December 31, 2020 -</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Restated</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168,008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765,162</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 (134,441)</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630,738</w:t>
            </w:r>
          </w:p>
        </w:tc>
      </w:tr>
      <w:tr>
        <w:trPr>
          <w:trHeight w:val="203"/>
        </w:trPr>
        <w:tc>
          <w:tcPr>
            <w:tcW w:w="3320" w:type="dxa"/>
            <w:vAlign w:val="bottom"/>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1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r>
      <w:tr>
        <w:trPr>
          <w:trHeight w:val="202"/>
        </w:trPr>
        <w:tc>
          <w:tcPr>
            <w:tcW w:w="3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Common stock issued for exercise of</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3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warrants</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7,984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194,797</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194,798</w:t>
            </w:r>
          </w:p>
        </w:tc>
      </w:tr>
      <w:tr>
        <w:trPr>
          <w:trHeight w:val="203"/>
        </w:trPr>
        <w:tc>
          <w:tcPr>
            <w:tcW w:w="3320" w:type="dxa"/>
            <w:vAlign w:val="bottom"/>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1,940</w:t>
            </w:r>
          </w:p>
        </w:tc>
        <w:tc>
          <w:tcPr>
            <w:tcW w:w="16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1,940</w:t>
            </w:r>
          </w:p>
        </w:tc>
      </w:tr>
      <w:tr>
        <w:trPr>
          <w:trHeight w:val="203"/>
        </w:trPr>
        <w:tc>
          <w:tcPr>
            <w:tcW w:w="3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(125,211)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(125,211)</w:t>
            </w:r>
          </w:p>
        </w:tc>
      </w:tr>
      <w:tr>
        <w:trPr>
          <w:trHeight w:val="196"/>
        </w:trPr>
        <w:tc>
          <w:tcPr>
            <w:tcW w:w="3320" w:type="dxa"/>
            <w:vAlign w:val="bottom"/>
          </w:tcPr>
          <w:p>
            <w:pPr>
              <w:ind w:left="20"/>
              <w:spacing w:after="0" w:line="196" w:lineRule="exact"/>
              <w:rPr>
                <w:sz w:val="20"/>
                <w:szCs w:val="20"/>
                <w:color w:val="auto"/>
              </w:rPr>
            </w:pPr>
            <w:r>
              <w:rPr>
                <w:rFonts w:ascii="Arial" w:cs="Arial" w:eastAsia="Arial" w:hAnsi="Arial"/>
                <w:sz w:val="18"/>
                <w:szCs w:val="18"/>
                <w:color w:val="auto"/>
              </w:rPr>
              <w:t>Balance at March 31, 2021</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176,579</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962,949</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(259,652)</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703,315</w:t>
            </w:r>
          </w:p>
        </w:tc>
      </w:tr>
      <w:tr>
        <w:trPr>
          <w:trHeight w:val="20"/>
        </w:trPr>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(125,211)</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(11,865)</w:t>
            </w:r>
          </w:p>
        </w:tc>
        <w:tc>
          <w:tcPr>
            <w:tcW w:w="20" w:type="dxa"/>
            <w:vAlign w:val="bottom"/>
          </w:tcPr>
          <w:p>
            <w:pPr>
              <w:spacing w:after="0"/>
              <w:rPr>
                <w:sz w:val="17"/>
                <w:szCs w:val="17"/>
                <w:color w:val="auto"/>
              </w:rPr>
            </w:pPr>
          </w:p>
        </w:tc>
      </w:tr>
      <w:tr>
        <w:trPr>
          <w:trHeight w:val="202"/>
        </w:trPr>
        <w:tc>
          <w:tcPr>
            <w:tcW w:w="5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Adjustments to reconcile net loss to cash used by operating</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1,940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7"/>
                <w:szCs w:val="17"/>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Non-cash charge related to change in fair value of warrants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19,138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7"/>
                <w:szCs w:val="17"/>
                <w:color w:val="auto"/>
              </w:rPr>
            </w:pPr>
          </w:p>
        </w:tc>
        <w:tc>
          <w:tcPr>
            <w:tcW w:w="1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(1,325)</w:t>
            </w: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3,944</w:t>
            </w:r>
          </w:p>
        </w:tc>
        <w:tc>
          <w:tcPr>
            <w:tcW w:w="20" w:type="dxa"/>
            <w:vAlign w:val="bottom"/>
          </w:tcPr>
          <w:p>
            <w:pPr>
              <w:spacing w:after="0"/>
              <w:rPr>
                <w:sz w:val="17"/>
                <w:szCs w:val="17"/>
                <w:color w:val="auto"/>
              </w:rPr>
            </w:pPr>
          </w:p>
        </w:tc>
      </w:tr>
      <w:tr>
        <w:trPr>
          <w:trHeight w:val="203"/>
        </w:trPr>
        <w:tc>
          <w:tcPr>
            <w:tcW w:w="5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Accrued expenses and due to related party</w:t>
            </w: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6,504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r>
      <w:tr>
        <w:trPr>
          <w:trHeight w:val="196"/>
        </w:trPr>
        <w:tc>
          <w:tcPr>
            <w:tcW w:w="54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Cash used by operating activities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(71,520)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(7,855)</w:t>
            </w:r>
          </w:p>
        </w:tc>
        <w:tc>
          <w:tcPr>
            <w:tcW w:w="20" w:type="dxa"/>
            <w:vAlign w:val="bottom"/>
          </w:tcPr>
          <w:p>
            <w:pPr>
              <w:spacing w:after="0"/>
              <w:rPr>
                <w:sz w:val="17"/>
                <w:szCs w:val="17"/>
                <w:color w:val="auto"/>
              </w:rPr>
            </w:pPr>
          </w:p>
        </w:tc>
      </w:tr>
      <w:tr>
        <w:trPr>
          <w:trHeight w:val="196"/>
        </w:trPr>
        <w:tc>
          <w:tcPr>
            <w:tcW w:w="5400" w:type="dxa"/>
            <w:vAlign w:val="bottom"/>
          </w:tcPr>
          <w:p>
            <w:pPr>
              <w:ind w:left="20"/>
              <w:spacing w:after="0" w:line="196" w:lineRule="exact"/>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Purchases of capital assets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(54,264)</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540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Cash used by investing activities</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(54,264)</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Cash proceeds from exercise of warrants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82,016</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6,125</w:t>
            </w:r>
          </w:p>
        </w:tc>
        <w:tc>
          <w:tcPr>
            <w:tcW w:w="20" w:type="dxa"/>
            <w:vAlign w:val="bottom"/>
          </w:tcPr>
          <w:p>
            <w:pPr>
              <w:spacing w:after="0"/>
              <w:rPr>
                <w:sz w:val="17"/>
                <w:szCs w:val="17"/>
                <w:color w:val="auto"/>
              </w:rPr>
            </w:pPr>
          </w:p>
        </w:tc>
      </w:tr>
      <w:tr>
        <w:trPr>
          <w:trHeight w:val="196"/>
        </w:trPr>
        <w:tc>
          <w:tcPr>
            <w:tcW w:w="540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Cash provided by financing activities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83,066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6,125</w:t>
            </w:r>
          </w:p>
        </w:tc>
        <w:tc>
          <w:tcPr>
            <w:tcW w:w="20" w:type="dxa"/>
            <w:vAlign w:val="bottom"/>
          </w:tcPr>
          <w:p>
            <w:pPr>
              <w:spacing w:after="0"/>
              <w:rPr>
                <w:sz w:val="17"/>
                <w:szCs w:val="17"/>
                <w:color w:val="auto"/>
              </w:rPr>
            </w:pPr>
          </w:p>
        </w:tc>
      </w:tr>
      <w:tr>
        <w:trPr>
          <w:trHeight w:val="196"/>
        </w:trPr>
        <w:tc>
          <w:tcPr>
            <w:tcW w:w="5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Decrease in cash and cash equivalents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(1,730)</w:t>
            </w:r>
          </w:p>
        </w:tc>
        <w:tc>
          <w:tcPr>
            <w:tcW w:w="20" w:type="dxa"/>
            <w:vAlign w:val="bottom"/>
          </w:tcPr>
          <w:p>
            <w:pPr>
              <w:spacing w:after="0"/>
              <w:rPr>
                <w:sz w:val="17"/>
                <w:szCs w:val="17"/>
                <w:color w:val="auto"/>
              </w:rPr>
            </w:pPr>
          </w:p>
        </w:tc>
      </w:tr>
      <w:tr>
        <w:trPr>
          <w:trHeight w:val="203"/>
        </w:trPr>
        <w:tc>
          <w:tcPr>
            <w:tcW w:w="54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629,761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2,159</w:t>
            </w:r>
          </w:p>
        </w:tc>
        <w:tc>
          <w:tcPr>
            <w:tcW w:w="20" w:type="dxa"/>
            <w:vAlign w:val="bottom"/>
          </w:tcPr>
          <w:p>
            <w:pPr>
              <w:spacing w:after="0"/>
              <w:rPr>
                <w:sz w:val="17"/>
                <w:szCs w:val="17"/>
                <w:color w:val="auto"/>
              </w:rPr>
            </w:pPr>
          </w:p>
        </w:tc>
      </w:tr>
      <w:tr>
        <w:trPr>
          <w:trHeight w:val="196"/>
        </w:trPr>
        <w:tc>
          <w:tcPr>
            <w:tcW w:w="5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 ending balance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587,043</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w:t>
            </w:r>
          </w:p>
        </w:tc>
        <w:tc>
          <w:tcPr>
            <w:tcW w:w="2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 cash items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00" w:type="dxa"/>
            <w:vAlign w:val="bottom"/>
          </w:tcPr>
          <w:p>
            <w:pPr>
              <w:ind w:left="340"/>
              <w:spacing w:after="0" w:line="202" w:lineRule="exact"/>
              <w:rPr>
                <w:sz w:val="20"/>
                <w:szCs w:val="20"/>
                <w:color w:val="auto"/>
              </w:rPr>
            </w:pPr>
            <w:r>
              <w:rPr>
                <w:rFonts w:ascii="Arial" w:cs="Arial" w:eastAsia="Arial" w:hAnsi="Arial"/>
                <w:sz w:val="18"/>
                <w:szCs w:val="18"/>
                <w:color w:val="auto"/>
              </w:rPr>
              <w:t>Capital assets acquired with payables</w:t>
            </w: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DESCRIPTION OF BUSINESS AND BASIS OF PRESENTATION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Lordstown Description of Business</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Lordstown Motors Corp., a Delaware corporation (“Lordstown” or the “Company”), is an automotive company with the goal of becoming an original equipment manufacturer (OEM) of electrically powered pickup trucks and vehicles for fleet customers in pursuit of accelerating the sustainable future and setting new standards in the industry. The Company is in its initial design and testing phase related to its production of the Endurance pickup truck and has yet to bring a completed product to market.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34"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The unaudited condensed consolidated interim financial statements of Lordstown have been prepared in accordance with U.S. generally accepted accounting principles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10-K/A.</w:t>
      </w:r>
    </w:p>
    <w:p>
      <w:pPr>
        <w:spacing w:after="0" w:line="203"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from those estimates.</w:t>
      </w:r>
    </w:p>
    <w:p>
      <w:pPr>
        <w:spacing w:after="0" w:line="207"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condensed consolidated financial statements include the accounts and operations of the Company and its wholly owned subsidiaries. All intercompany accounts and transactions are eliminated upon consolidation. Certain amounts in the prior years’ balance sheet, consolidated statements of changes in stockholders’ equity and statements of cash flows and have been reclassified to conform to the current year presentation.</w:t>
      </w:r>
    </w:p>
    <w:p>
      <w:pPr>
        <w:spacing w:after="0" w:line="20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the Company.</w:t>
      </w:r>
    </w:p>
    <w:p>
      <w:pPr>
        <w:spacing w:after="0" w:line="199" w:lineRule="exact"/>
        <w:rPr>
          <w:sz w:val="20"/>
          <w:szCs w:val="20"/>
          <w:color w:val="auto"/>
        </w:rPr>
      </w:pPr>
    </w:p>
    <w:p>
      <w:pPr>
        <w:jc w:val="both"/>
        <w:ind w:left="60" w:right="519"/>
        <w:spacing w:after="0" w:line="261"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$ 0.0001 per share, of Legacy LMC (“Legacy LMC Common Stock”) was converted into 55.8817 shares (the “Exchange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48" w:lineRule="auto"/>
        <w:rPr>
          <w:sz w:val="20"/>
          <w:szCs w:val="20"/>
          <w:color w:val="auto"/>
        </w:rPr>
      </w:pPr>
      <w:r>
        <w:rPr>
          <w:rFonts w:ascii="Arial" w:cs="Arial" w:eastAsia="Arial" w:hAnsi="Arial"/>
          <w:sz w:val="17"/>
          <w:szCs w:val="17"/>
          <w:color w:val="auto"/>
        </w:rPr>
        <w:t>Ratio”) of Class A common stock, par value $0.0001 per share, of the Company (“Class A common stock”), resulting in an aggregate of 75,918,063 shares of Class A common stock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w:t>
      </w:r>
    </w:p>
    <w:p>
      <w:pPr>
        <w:spacing w:after="0" w:line="3" w:lineRule="exact"/>
        <w:rPr>
          <w:sz w:val="20"/>
          <w:szCs w:val="20"/>
          <w:color w:val="auto"/>
        </w:rPr>
      </w:pPr>
    </w:p>
    <w:p>
      <w:pPr>
        <w:ind w:left="60" w:right="219" w:hanging="10"/>
        <w:spacing w:after="0" w:line="246" w:lineRule="auto"/>
        <w:tabs>
          <w:tab w:leader="none" w:pos="3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exercise price per share of Legacy LMC Common Stock of such Legacy LMC Option immediately prior to the Effective Time divided by (B) the Exchange Ratio.</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$0.0001 per share, was automatically converted into one share of the Company’s Class A common stock at the Closing, resulting in an issuance of 7 million shares of Class A common stock in the aggregate.</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connection with the Closing, the Company (a) issued and sold an aggregate of 50 million shares of Class A</w:t>
      </w:r>
    </w:p>
    <w:p>
      <w:pPr>
        <w:ind w:left="60"/>
        <w:spacing w:after="0" w:line="234" w:lineRule="auto"/>
        <w:rPr>
          <w:sz w:val="20"/>
          <w:szCs w:val="20"/>
          <w:color w:val="auto"/>
        </w:rPr>
      </w:pPr>
      <w:r>
        <w:rPr>
          <w:rFonts w:ascii="Arial" w:cs="Arial" w:eastAsia="Arial" w:hAnsi="Arial"/>
          <w:sz w:val="18"/>
          <w:szCs w:val="18"/>
          <w:color w:val="auto"/>
        </w:rPr>
        <w:t>common stock for $10.00 per share at an aggregate purchase price of $500 million pursuant to previously</w:t>
      </w:r>
    </w:p>
    <w:p>
      <w:pPr>
        <w:ind w:left="60"/>
        <w:spacing w:after="0" w:line="235" w:lineRule="auto"/>
        <w:rPr>
          <w:sz w:val="20"/>
          <w:szCs w:val="20"/>
          <w:color w:val="auto"/>
        </w:rPr>
      </w:pPr>
      <w:r>
        <w:rPr>
          <w:rFonts w:ascii="Arial" w:cs="Arial" w:eastAsia="Arial" w:hAnsi="Arial"/>
          <w:sz w:val="18"/>
          <w:szCs w:val="18"/>
          <w:color w:val="auto"/>
        </w:rPr>
        <w:t>announced subscription agreements with certain investors (the “PIPE Investors”), (b) issued an aggregate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approximately 4 million shares of Class A common stock to holders of $40 million in aggregate principal amount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plus accrued interest, of Legacy LMC convertible promissory notes at a conversion price of $10.00 per share</w:t>
      </w:r>
    </w:p>
    <w:p>
      <w:pPr>
        <w:ind w:left="60"/>
        <w:spacing w:after="0" w:line="234" w:lineRule="auto"/>
        <w:rPr>
          <w:sz w:val="20"/>
          <w:szCs w:val="20"/>
          <w:color w:val="auto"/>
        </w:rPr>
      </w:pPr>
      <w:r>
        <w:rPr>
          <w:rFonts w:ascii="Arial" w:cs="Arial" w:eastAsia="Arial" w:hAnsi="Arial"/>
          <w:sz w:val="18"/>
          <w:szCs w:val="18"/>
          <w:color w:val="auto"/>
        </w:rPr>
        <w:t>upon automatic conversion of such notes (the “Note Conversions”), and (c) issued warrants to purchase 1.6</w:t>
      </w:r>
    </w:p>
    <w:p>
      <w:pPr>
        <w:ind w:left="60"/>
        <w:spacing w:after="0" w:line="235" w:lineRule="auto"/>
        <w:rPr>
          <w:sz w:val="20"/>
          <w:szCs w:val="20"/>
          <w:color w:val="auto"/>
        </w:rPr>
      </w:pPr>
      <w:r>
        <w:rPr>
          <w:rFonts w:ascii="Arial" w:cs="Arial" w:eastAsia="Arial" w:hAnsi="Arial"/>
          <w:sz w:val="18"/>
          <w:szCs w:val="18"/>
          <w:color w:val="auto"/>
        </w:rPr>
        <w:t>million shares of Class A common stock (“BGL Warrants”) a purchase price of $10.00 per share to a third party.</w:t>
      </w:r>
    </w:p>
    <w:p>
      <w:pPr>
        <w:ind w:left="60"/>
        <w:spacing w:after="0" w:line="235" w:lineRule="auto"/>
        <w:rPr>
          <w:sz w:val="20"/>
          <w:szCs w:val="20"/>
          <w:color w:val="auto"/>
        </w:rPr>
      </w:pPr>
      <w:r>
        <w:rPr>
          <w:rFonts w:ascii="Arial" w:cs="Arial" w:eastAsia="Arial" w:hAnsi="Arial"/>
          <w:sz w:val="18"/>
          <w:szCs w:val="18"/>
          <w:color w:val="auto"/>
        </w:rPr>
        <w:t>Additionally, the Company assumed 9.3 million Public Warrants (as defined below) and 5.1 million Private</w:t>
      </w:r>
    </w:p>
    <w:p>
      <w:pPr>
        <w:ind w:left="60"/>
        <w:spacing w:after="0" w:line="235" w:lineRule="auto"/>
        <w:rPr>
          <w:sz w:val="20"/>
          <w:szCs w:val="20"/>
          <w:color w:val="auto"/>
        </w:rPr>
      </w:pPr>
      <w:r>
        <w:rPr>
          <w:rFonts w:ascii="Arial" w:cs="Arial" w:eastAsia="Arial" w:hAnsi="Arial"/>
          <w:sz w:val="18"/>
          <w:szCs w:val="18"/>
          <w:color w:val="auto"/>
        </w:rPr>
        <w:t>Warrants (as defined below) both of which were originally issued by DiamondPeak with an exercise price of</w:t>
      </w:r>
    </w:p>
    <w:p>
      <w:pPr>
        <w:ind w:left="60"/>
        <w:spacing w:after="0" w:line="235" w:lineRule="auto"/>
        <w:rPr>
          <w:sz w:val="20"/>
          <w:szCs w:val="20"/>
          <w:color w:val="auto"/>
        </w:rPr>
      </w:pPr>
      <w:r>
        <w:rPr>
          <w:rFonts w:ascii="Arial" w:cs="Arial" w:eastAsia="Arial" w:hAnsi="Arial"/>
          <w:sz w:val="18"/>
          <w:szCs w:val="18"/>
          <w:color w:val="auto"/>
        </w:rPr>
        <w:t>$11.50. In December 2020, 2.7 million of the Public Warrants were exercised which resulted in $30.7 million in</w:t>
      </w:r>
    </w:p>
    <w:p>
      <w:pPr>
        <w:ind w:left="60"/>
        <w:spacing w:after="0" w:line="234" w:lineRule="auto"/>
        <w:rPr>
          <w:sz w:val="20"/>
          <w:szCs w:val="20"/>
          <w:color w:val="auto"/>
        </w:rPr>
      </w:pPr>
      <w:r>
        <w:rPr>
          <w:rFonts w:ascii="Arial" w:cs="Arial" w:eastAsia="Arial" w:hAnsi="Arial"/>
          <w:sz w:val="18"/>
          <w:szCs w:val="18"/>
          <w:color w:val="auto"/>
        </w:rPr>
        <w:t>proceeds. In January 2021, a significant portion of the remaining Public Warrants and 0.6 million of the Private</w:t>
      </w:r>
    </w:p>
    <w:p>
      <w:pPr>
        <w:ind w:left="60"/>
        <w:spacing w:after="0" w:line="235" w:lineRule="auto"/>
        <w:rPr>
          <w:sz w:val="20"/>
          <w:szCs w:val="20"/>
          <w:color w:val="auto"/>
        </w:rPr>
      </w:pPr>
      <w:r>
        <w:rPr>
          <w:rFonts w:ascii="Arial" w:cs="Arial" w:eastAsia="Arial" w:hAnsi="Arial"/>
          <w:sz w:val="18"/>
          <w:szCs w:val="18"/>
          <w:color w:val="auto"/>
        </w:rPr>
        <w:t>Warrants were exercised upon payment of the cash exercise price, which resulted in cash proceeds of $82.0</w:t>
      </w:r>
    </w:p>
    <w:p>
      <w:pPr>
        <w:ind w:left="60"/>
        <w:spacing w:after="0" w:line="235" w:lineRule="auto"/>
        <w:rPr>
          <w:sz w:val="20"/>
          <w:szCs w:val="20"/>
          <w:color w:val="auto"/>
        </w:rPr>
      </w:pPr>
      <w:r>
        <w:rPr>
          <w:rFonts w:ascii="Arial" w:cs="Arial" w:eastAsia="Arial" w:hAnsi="Arial"/>
          <w:sz w:val="18"/>
          <w:szCs w:val="18"/>
          <w:color w:val="auto"/>
        </w:rPr>
        <w:t>million. As of March 31, 2021, there were 2.3 million Private Warrants, 1.6 million BGL Warrants and no Public</w:t>
      </w:r>
    </w:p>
    <w:p>
      <w:pPr>
        <w:ind w:left="60"/>
        <w:spacing w:after="0" w:line="235" w:lineRule="auto"/>
        <w:rPr>
          <w:sz w:val="20"/>
          <w:szCs w:val="20"/>
          <w:color w:val="auto"/>
        </w:rPr>
      </w:pPr>
      <w:r>
        <w:rPr>
          <w:rFonts w:ascii="Arial" w:cs="Arial" w:eastAsia="Arial" w:hAnsi="Arial"/>
          <w:sz w:val="18"/>
          <w:szCs w:val="18"/>
          <w:color w:val="auto"/>
        </w:rPr>
        <w:t>Warrants outstanding. See further discussion related to the accounting of the Public Warrants and Private</w:t>
      </w:r>
    </w:p>
    <w:p>
      <w:pPr>
        <w:ind w:left="60"/>
        <w:spacing w:after="0"/>
        <w:rPr>
          <w:sz w:val="20"/>
          <w:szCs w:val="20"/>
          <w:color w:val="auto"/>
        </w:rPr>
      </w:pPr>
      <w:r>
        <w:rPr>
          <w:rFonts w:ascii="Arial" w:cs="Arial" w:eastAsia="Arial" w:hAnsi="Arial"/>
          <w:sz w:val="18"/>
          <w:szCs w:val="18"/>
          <w:color w:val="auto"/>
        </w:rPr>
        <w:t>Warrants in Note 3.</w:t>
      </w:r>
    </w:p>
    <w:p>
      <w:pPr>
        <w:spacing w:after="0" w:line="198"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w:t>
      </w:r>
    </w:p>
    <w:p>
      <w:pPr>
        <w:spacing w:after="0" w:line="2" w:lineRule="exact"/>
        <w:rPr>
          <w:sz w:val="20"/>
          <w:szCs w:val="20"/>
          <w:color w:val="auto"/>
        </w:rPr>
      </w:pPr>
    </w:p>
    <w:p>
      <w:pPr>
        <w:ind w:left="60" w:right="399"/>
        <w:spacing w:after="0" w:line="23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LMC issuing stock for the net assets of DiamondPeak, accompanied by a recapitalization. The net assets of DiamondPeak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 part of the Business Combination, we recorded $644.6 million in equity for the recapitalization, net of transaction costs and $100.9 million in liabilities related to the Public and Private Warrants described in Note 3. The Company received cash proceeds of $701.5 million as a result of the Business Combination which was net of the settlement of the $20.8 million Related party note payable and $23.2 million in property purchased through equity both as described in Note 4. Additionally, a $5 million Convertible Note and the $5.9 million amount in Due to related party as described in Note 7 were also settled in conjunction with the Business Combination.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26" w:lineRule="exact"/>
        <w:rPr>
          <w:sz w:val="20"/>
          <w:szCs w:val="20"/>
          <w:color w:val="auto"/>
        </w:rPr>
      </w:pPr>
    </w:p>
    <w:p>
      <w:pPr>
        <w:ind w:left="60" w:right="259"/>
        <w:spacing w:after="0" w:line="261"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assuming the Company will continue as a going concern and in accordance with generally accepted accounting principles in the United States of America. The going concern basis of presentation assumes that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Company will continue in operation one year after the date these financial statements are issued and will be able to realize its assets and discharge its liabilities and commitments in the normal course of business.</w:t>
      </w:r>
    </w:p>
    <w:p>
      <w:pPr>
        <w:spacing w:after="0" w:line="19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financial statements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w:t>
      </w:r>
    </w:p>
    <w:p>
      <w:pPr>
        <w:spacing w:after="0" w:line="203"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The Company had cash and cash equivalents of approximately $ 587.0 million and an accumulated deficit of $259.7 million at March 31, 2021 and a net loss of $125.2 million for the quarter ended March 31, 2021. Since inception, the Company has been developing its flagship vehicle, the Endurance, an electric full-size pickup truck. The Company’s ability to continue as a going concern is dependent on its ability to complete the development of its electric vehicles, obtain regulatory approval, begin commercial scale production and launch the sale of such vehicles. The Company believes that its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these unaudited condensed consolidated financial statements.</w:t>
      </w:r>
    </w:p>
    <w:p>
      <w:pPr>
        <w:spacing w:after="0" w:line="20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To alleviate these conditions, management is currently evaluating various funding alternatives and may seek to raise additional funds 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ind w:left="60" w:right="59"/>
        <w:spacing w:after="0" w:line="261"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7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34"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Intangible assets include patents, copyrights, trade secrets, know-how, software, and all other intellectual property and proprietary rights connected with the electric pickup truck and other electric vehicle technology owned by Workhorse and contributed in exchange for equity in the Company. Determination of useful lives will be over the period of economic benefit and the related amortization will begin once the intangible assets are placed in use.</w:t>
      </w:r>
    </w:p>
    <w:p>
      <w:pPr>
        <w:spacing w:after="0" w:line="202"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The intangible assets are reviewed for impairment whenever events or changes in circumstances indicate the carrying amount may not be recoverable. Upon indications of impairment, assets and liabilities are grouped at the lowest level for which identifiable cash flows are largely independent of the cash flows of other assets and liabilities. The asset group would be considered impaired when the estimated future net undiscounted cash flows generated by the asset group are less than its carrying value. Impairment losses are measured by comparing the estimated fair value of the asset group to its carrying value.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34" w:lineRule="exact"/>
        <w:rPr>
          <w:sz w:val="20"/>
          <w:szCs w:val="20"/>
          <w:color w:val="auto"/>
        </w:rPr>
      </w:pPr>
    </w:p>
    <w:p>
      <w:pPr>
        <w:jc w:val="both"/>
        <w:ind w:left="60" w:right="419"/>
        <w:spacing w:after="0"/>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718), which establishes a fair value-based method of accounting for stock-based compensation plans. In accordance with ASC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20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The Company accounts for its Public and Private Warrants as described in Note 3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jc w:val="both"/>
        <w:ind w:left="60" w:right="239"/>
        <w:spacing w:after="0" w:line="255"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Deferred tax assets and liabilities are determined based on the difference between the financial statement and tax bases of assets and liabilities using enacted tax rates in effect for the year in which the differences are expected to reverse.</w:t>
      </w:r>
    </w:p>
    <w:p>
      <w:pPr>
        <w:spacing w:after="0" w:line="2" w:lineRule="exact"/>
        <w:rPr>
          <w:sz w:val="20"/>
          <w:szCs w:val="20"/>
          <w:color w:val="auto"/>
        </w:rPr>
      </w:pPr>
    </w:p>
    <w:p>
      <w:pPr>
        <w:jc w:val="both"/>
        <w:ind w:left="60" w:right="99"/>
        <w:spacing w:after="0"/>
        <w:rPr>
          <w:sz w:val="20"/>
          <w:szCs w:val="20"/>
          <w:color w:val="auto"/>
        </w:rPr>
      </w:pPr>
      <w:r>
        <w:rPr>
          <w:rFonts w:ascii="Arial" w:cs="Arial" w:eastAsia="Arial" w:hAnsi="Arial"/>
          <w:sz w:val="18"/>
          <w:szCs w:val="18"/>
          <w:color w:val="auto"/>
        </w:rPr>
        <w:t>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20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left="60" w:right="179"/>
        <w:spacing w:after="0" w:line="258"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and has subsequently issued several supplemental and/or clarifying ASUs (collectively ASC 842) to increase transparency and comparability among organizations by recognizing lease assets and lease liabilities on the balance sheet and disclosing key information about leasing arrangements. ASC 842 is effective for the Company beginning after December 2021 and interim periods within fiscal years beginning after December 15, 2022, with early adoption permitted. The Company is currently evaluating the effect of the adoption of this guidance on the consolidated financial statements.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Public and Private Warrants are classified as a liability with any changes in the fair value recognized immediately in our condensed consolidated statements of operations. The following table summarizes the net (loss) gain on changes in fair value (in thousands) related to the Public and Private Warrants:</w:t>
      </w:r>
    </w:p>
    <w:p>
      <w:pPr>
        <w:spacing w:after="0" w:line="204"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tcPr>
          <w:p>
            <w:pPr>
              <w:jc w:val="right"/>
              <w:ind w:right="477"/>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March 31, 2021</w:t>
            </w: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Public Warrants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(27,180)</w:t>
            </w:r>
          </w:p>
        </w:tc>
      </w:tr>
      <w:tr>
        <w:trPr>
          <w:trHeight w:val="203"/>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Private Warrants</w:t>
            </w:r>
          </w:p>
        </w:tc>
        <w:tc>
          <w:tcPr>
            <w:tcW w:w="3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8,042</w:t>
            </w: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on changes in fair value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(19,138)</w:t>
            </w: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Observed prices for the Public Warrants are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20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20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At each measurement date, we use a stock price volatility input of 50%. This assumption considers observed historical stock price volatility of other companies operating in the same or similar industry as the Company over a period similar to the remaining term of the Private Warrants, as well as the volatility implied by the traded options of the Company. The risk-free rates utilized were 0.886% and 0.413% for the valuations as of March 31, 2021 and December 31, 2020, respectively.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Quoted prices in</w:t>
            </w:r>
          </w:p>
        </w:tc>
        <w:tc>
          <w:tcPr>
            <w:tcW w:w="340" w:type="dxa"/>
            <w:vAlign w:val="bottom"/>
          </w:tcPr>
          <w:p>
            <w:pPr>
              <w:spacing w:after="0"/>
              <w:rPr>
                <w:sz w:val="14"/>
                <w:szCs w:val="14"/>
                <w:color w:val="auto"/>
              </w:rPr>
            </w:pPr>
          </w:p>
        </w:tc>
        <w:tc>
          <w:tcPr>
            <w:tcW w:w="116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Prices with</w:t>
            </w:r>
          </w:p>
        </w:tc>
        <w:tc>
          <w:tcPr>
            <w:tcW w:w="26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2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5"/>
                <w:szCs w:val="15"/>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March 31, 2021</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587,043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587,043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7,750</w:t>
            </w:r>
          </w:p>
        </w:tc>
        <w:tc>
          <w:tcPr>
            <w:tcW w:w="3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Quoted prices in</w:t>
            </w:r>
          </w:p>
        </w:tc>
        <w:tc>
          <w:tcPr>
            <w:tcW w:w="340" w:type="dxa"/>
            <w:vAlign w:val="bottom"/>
          </w:tcPr>
          <w:p>
            <w:pPr>
              <w:spacing w:after="0"/>
              <w:rPr>
                <w:sz w:val="24"/>
                <w:szCs w:val="24"/>
                <w:color w:val="auto"/>
              </w:rPr>
            </w:pPr>
          </w:p>
        </w:tc>
        <w:tc>
          <w:tcPr>
            <w:tcW w:w="116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Prices with</w:t>
            </w:r>
          </w:p>
        </w:tc>
        <w:tc>
          <w:tcPr>
            <w:tcW w:w="26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2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Pr>
          <w:p>
            <w:pPr>
              <w:spacing w:after="0"/>
              <w:rPr>
                <w:sz w:val="15"/>
                <w:szCs w:val="15"/>
                <w:color w:val="auto"/>
              </w:rPr>
            </w:pPr>
          </w:p>
        </w:tc>
        <w:tc>
          <w:tcPr>
            <w:tcW w:w="1160" w:type="dxa"/>
            <w:vAlign w:val="bottom"/>
          </w:tcPr>
          <w:p>
            <w:pPr>
              <w:jc w:val="center"/>
              <w:ind w:right="177"/>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5"/>
                <w:szCs w:val="15"/>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2"/>
        </w:trPr>
        <w:tc>
          <w:tcPr>
            <w:tcW w:w="270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2020</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629,761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629,761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57,515</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57,515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43,877</w:t>
            </w:r>
          </w:p>
        </w:tc>
        <w:tc>
          <w:tcPr>
            <w:tcW w:w="3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Loss / (Gain) on fair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 at</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rPr>
              <w:t>Balance at</w:t>
            </w:r>
          </w:p>
        </w:tc>
      </w:tr>
      <w:tr>
        <w:trPr>
          <w:trHeight w:val="182"/>
        </w:trPr>
        <w:tc>
          <w:tcPr>
            <w:tcW w:w="18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Additions</w:t>
            </w:r>
          </w:p>
        </w:tc>
        <w:tc>
          <w:tcPr>
            <w:tcW w:w="1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2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2021</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43,877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line="216" w:lineRule="exact"/>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(28,085)</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(8,042)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7,750</w:t>
            </w: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&amp; Equipment</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80" w:type="dxa"/>
            <w:vAlign w:val="bottom"/>
          </w:tcPr>
          <w:p>
            <w:pPr>
              <w:spacing w:after="0"/>
              <w:rPr>
                <w:sz w:val="17"/>
                <w:szCs w:val="17"/>
                <w:color w:val="auto"/>
              </w:rPr>
            </w:pPr>
          </w:p>
        </w:tc>
        <w:tc>
          <w:tcPr>
            <w:tcW w:w="420" w:type="dxa"/>
            <w:vAlign w:val="bottom"/>
          </w:tcPr>
          <w:p>
            <w:pPr>
              <w:jc w:val="right"/>
              <w:ind w:right="235"/>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r>
      <w:tr>
        <w:trPr>
          <w:trHeight w:val="203"/>
        </w:trPr>
        <w:tc>
          <w:tcPr>
            <w:tcW w:w="5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38,443</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38,443</w:t>
            </w:r>
          </w:p>
        </w:tc>
      </w:tr>
      <w:tr>
        <w:trPr>
          <w:trHeight w:val="203"/>
        </w:trPr>
        <w:tc>
          <w:tcPr>
            <w:tcW w:w="5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Vehicles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r>
      <w:tr>
        <w:trPr>
          <w:trHeight w:val="203"/>
        </w:trPr>
        <w:tc>
          <w:tcPr>
            <w:tcW w:w="58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109,800</w:t>
            </w:r>
          </w:p>
        </w:tc>
        <w:tc>
          <w:tcPr>
            <w:tcW w:w="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56,529</w:t>
            </w:r>
          </w:p>
        </w:tc>
      </w:tr>
      <w:tr>
        <w:trPr>
          <w:trHeight w:val="196"/>
        </w:trPr>
        <w:tc>
          <w:tcPr>
            <w:tcW w:w="58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154,934</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8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154,934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101,663</w:t>
            </w: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Construction in progress is primarily comprised of retooling and construction at the Company's facility in Lordstown, Ohio to ready the plant to begin the manufacturing of electric vehicles. The Company is currently reengineering its production process, bringing acquired assets up to the level needed for production and evaluating assets that will be necessary in the production of the Endurance pickup truck. Completed assets will be transferred to their respective asset classes and depreciation will begin when an asset is ready for its intended use. As of March 31, 2021, manufacturing has not begun and thus no depreciation was recognized in 2021 or 2020.</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Property, plant and equipment consist of an idle assembly and manufacturing plant in Lordstown, Ohio. The facility is equipped with the tooling necessary to begin production of the Endurance pickup truck along with all personal property, purchased from GM in November 2019 for $20 million, recorded as a Note Payable.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w:t>
      </w:r>
    </w:p>
    <w:p>
      <w:pPr>
        <w:spacing w:after="0" w:line="20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cost of property, plant and equipment includes the value of the $20.0 million Note Payable, along with any directly attributable costs of bringing the asset to its working condition and location for intended use, including direct acquisition costs and capitalized interest. The Company recorded $0.1 million of capitalized during 2019 and $0.3 million during the quarter ended March 31, 2021 as the facility assets underwent activities necessary to bring them to their intended use. Beginning April 1, 2020, activity on the facility stopped due to the shutdown caused by the COVID-19 pandemic. As these activities were no longer ongoing, interest capitalization on the Note Payable was suspended. Therefore, interest from April 1, 2020 through the date of the Business Combination which totaled $0.4 million was expensed as incurred. As of the date of the Business Combination, our Note Payable totaled $20.8 million and was settled as part of the Business Combination.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During the quarter ended March 31, 2020, the Company also purchased property from GM for $1.2 million which was recorded to construction in progress. The corresponding Due to related party balance was satisfied with equity at the consummation of the Business Combination as described in Note 1. See Note 7 for further details on the Due to related party balance.</w:t>
      </w:r>
    </w:p>
    <w:p>
      <w:pPr>
        <w:spacing w:after="0" w:line="20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During the fourth quarter of 2020, we also recognized an additional $23.2 million of property that was exchanged for common stock as part of the Business Combination. See Note 7 for further details regarding this exchange.</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NOTE PAYABLE</w:t>
      </w:r>
    </w:p>
    <w:p>
      <w:pPr>
        <w:spacing w:after="0" w:line="23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April 17, 2020, LMC entered into a Promissory Note with The Huntington National Bank, which provides for a loan in the amount of $1 million (the “PPP Loan”) pursuant to the Paycheck Protection Program under the Coronavirus Aid, Relief, and Economic Security Act (the “CARES Act”). The PPP Loan has a two-year term and bears interest at a rate of 1.0% per annum. Monthly principal and interest payments are deferred for six months after the date of disbursement. The PPP Loan may be prepaid at any time prior to maturity with no prepayment penalties. The Paycheck Protection Program provides that the PPP Loan may be partially or wholly forgiven if the funds are used for certain qualifying expenses as described in the CARES Act.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has entered into supply agreements with Samsung and LG Energy Solution to purchase lithium-ion cylindrical battery cells. The agreements generally have initial four- to five-year terms, subject to earlier termination rights. The agreements also provide for certain pricing and minimum quantity parameters, including our obligation to purchase such minimum amounts which total approximately $16.3 million, $139.4 million and $273.6 million in 2021, 2022, and 2023, respectively, subject to change for increases in raw material pricing.</w:t>
      </w:r>
    </w:p>
    <w:p>
      <w:pPr>
        <w:spacing w:after="0" w:line="1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w:t>
      </w:r>
    </w:p>
    <w:p>
      <w:pPr>
        <w:spacing w:after="0" w:line="20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On October 30, 2020, the Company, together with executive officers Mr. Burns, Mr. LaFleur, Mr. Post and Mr. Schmidt, and certain of our employees, were named as defendants in a lawsuit filed by Karma Automotive LLC (“Karma”) in the United States District Court for the Central District of California (“District Court”). On November 6, 2020, the District Court denied Karma’s request for a temporary restraining order. The parties engaged in discovery in anticipation of Karma seeking a preliminary injunction. To date, Karma has not moved for a preliminary injunction. Karma retained new counsel in March 2021.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The Company is continuing to evaluate the matters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19"/>
        <w:spacing w:after="0" w:line="238" w:lineRule="auto"/>
        <w:rPr>
          <w:sz w:val="20"/>
          <w:szCs w:val="20"/>
          <w:color w:val="auto"/>
        </w:rPr>
      </w:pPr>
      <w:r>
        <w:rPr>
          <w:rFonts w:ascii="Arial" w:cs="Arial" w:eastAsia="Arial" w:hAnsi="Arial"/>
          <w:sz w:val="18"/>
          <w:szCs w:val="18"/>
          <w:color w:val="auto"/>
        </w:rPr>
        <w:t>asserted in the lawsuit, but intends to vigorously defend against these claims and believes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19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 xml:space="preserve">Between March 18 and April 8, 2021, four related putative class action lawsuits were filed against us and certain of our officers in the U.S. District Court for the Northern District of Ohio (“N.D. Ohio”) (Case Nos. 21-cv-616, 21-cv-633, 21-cv-720 and 21-cv-760), asserting violations of federal securities laws under Section 10(b) and Section 20(a) of the Exchange Act. The complaints generally allege that the Company and individual defendants made materially false and misleading statements relating to the vehicle pre-orders and production timeline. On May 13, 2021, a fifth putative class action was filed against us and certain current and former officers and directors in the N.D. Ohio (Case no. 21-cv-994), asserting similar securities laws violations as the first four class actions and that the defendants violated Section 14(a) of the Exchange Act by making materially false and misleading statements relating to the Merger. On May 14, 2021, a sixth putative class action was filed against us and certain officers in the N.D. Ohio (Case no. 21-cv-1021), asserting similar securities laws violations as the first four class actions and that certain individual defendants violated Section 20A of the Exchange Act through insider sales while in possession of nonpublic information relating to the Company. The court has issued orders consolidating these six class actions under the case caption </w:t>
      </w:r>
      <w:r>
        <w:rPr>
          <w:rFonts w:ascii="Arial" w:cs="Arial" w:eastAsia="Arial" w:hAnsi="Arial"/>
          <w:sz w:val="18"/>
          <w:szCs w:val="18"/>
          <w:i w:val="1"/>
          <w:iCs w:val="1"/>
          <w:color w:val="auto"/>
        </w:rPr>
        <w:t>Rico v. Lordstown Motors</w:t>
      </w:r>
      <w:r>
        <w:rPr>
          <w:rFonts w:ascii="Arial" w:cs="Arial" w:eastAsia="Arial" w:hAnsi="Arial"/>
          <w:sz w:val="18"/>
          <w:szCs w:val="18"/>
          <w:color w:val="auto"/>
        </w:rPr>
        <w:t xml:space="preserve"> </w:t>
      </w:r>
      <w:r>
        <w:rPr>
          <w:rFonts w:ascii="Arial" w:cs="Arial" w:eastAsia="Arial" w:hAnsi="Arial"/>
          <w:sz w:val="18"/>
          <w:szCs w:val="18"/>
          <w:i w:val="1"/>
          <w:iCs w:val="1"/>
          <w:color w:val="auto"/>
        </w:rPr>
        <w:t>Corp. et al.</w:t>
      </w:r>
      <w:r>
        <w:rPr>
          <w:rFonts w:ascii="Arial" w:cs="Arial" w:eastAsia="Arial" w:hAnsi="Arial"/>
          <w:sz w:val="18"/>
          <w:szCs w:val="18"/>
          <w:color w:val="auto"/>
        </w:rPr>
        <w:t>, 21-cv-616 (N.D. Ohio). Lead Plaintiff motions are also currently pending before the court. On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28, 2021 and May 21, 2021, two stockholder derivative complaints were also filed against certain current and former officers and directors of the Company and DiamondPeak in the U.S. District Court for the District of Delaware (Case Nos. 21-cv-604 and 21-cv-724). These derivative complaints purport to bring claims on behalf of the Company against certain defendants for violations of the Exchange Act, breach of fiduciary duty, unjust enrichment, and insider trading, relating to the vehicle pre -orders, production timeline or Merger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intend to vigorously defend against these claims. The proceedings are subject to uncertainties inherent in the litigation process. We cannot predict the outcome of these matters or estimate the possible loss or range of possible loss, if any.</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The Company has also received two subpoenas from the SEC for the production of documents and information, including relating to the merger between DiamondPeak and Legacy Lordstown and pre-orders of vehicles. The Company is responding to the SEC’s requests and is cooperating with its inquiry.</w:t>
      </w:r>
    </w:p>
    <w:p>
      <w:pPr>
        <w:spacing w:after="0" w:line="203"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RELATED PARTY TRANSACTIONS</w:t>
      </w:r>
    </w:p>
    <w:p>
      <w:pPr>
        <w:spacing w:after="0" w:line="23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On November 7, 2019, the Company entered into an Asset Transfer Agreement, Operating Agreement and separate Mortgage Agreement (collectively, the “Agreements”) with GM. Pursuant to the Agreements, the Company incurred debt to GM recorded as a Note Payable in the principal amount of $ 20.0 million, secured by the real property described in Note 4. The Company had imputed interest of 5% on the Note Payable until February 1, 2020 when the stated interest rate of 7% began per the terms of the Agreement. Interest for the three months ended March 31, 2020 totaled $0.3 million which was capitalized as part of PP&amp;E as described in Note 4. This note which totaled $ 20.8 million as of the date of the Closing, was converted to equity during the Business Combination described in Note 1.</w:t>
      </w:r>
    </w:p>
    <w:p>
      <w:pPr>
        <w:spacing w:after="0" w:line="208"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In conjunction with the Operating Agreement described above, the Company was also required to reimburse GM for expenditures related to general plant maintenance and compliance associated with the Lordstown facility. The Company recorded expenses of $2.1 million during the three months ended March 31, 2020 on the Statement of Operations. Additionally, during the quarter ended March 31, 2020, the Company purchased property from GM for $ 1.2 million which was recorded to CIP. As of the date of the Closing described in Note 1, we had accrued a total of $5.9 million as a Due to Related Party liability which was converted to equity as part of the Business Combination.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May 28, 2020, the Company entered into a Convertible Promissory Note (the “Convertible Note”) with GM that provided financing to the Company of up to $ 10.0 million secured by the Company’s property, plant and equipment and intangible assets. Pursuant to the terms of the Convertible Note, the Company had the ability to periodically draw down on the Convertible Note to meet its working capital needs. The balance of this note was converted to equity at closing of the Business Combination described in Note 1.</w:t>
      </w:r>
    </w:p>
    <w:p>
      <w:pPr>
        <w:spacing w:after="0" w:line="20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plan for our first three annual production/model years for the purpose of this agreement to be 2022, 2023 and 2024, it is possible that this agreement could extend beyond these model years if we do not achieve ten or more months of production during those annual production/model years.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212" w:lineRule="exact"/>
        <w:rPr>
          <w:sz w:val="20"/>
          <w:szCs w:val="20"/>
          <w:color w:val="auto"/>
        </w:rPr>
      </w:pPr>
    </w:p>
    <w:p>
      <w:pPr>
        <w:ind w:left="60" w:right="139"/>
        <w:spacing w:after="0" w:line="252" w:lineRule="auto"/>
        <w:rPr>
          <w:sz w:val="20"/>
          <w:szCs w:val="20"/>
          <w:color w:val="auto"/>
        </w:rPr>
      </w:pPr>
      <w:r>
        <w:rPr>
          <w:rFonts w:ascii="Arial" w:cs="Arial" w:eastAsia="Arial" w:hAnsi="Arial"/>
          <w:sz w:val="17"/>
          <w:szCs w:val="17"/>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$ 4.75 million. The upfront royalty payment represents an advance on royalties due on 1% of the gross sales price of the first 200,000 vehicles sold, but only to the extent that the aggregate amount of such royalty fees exceeds the amount paid upfront. As of March 31, 2021 and December 31, 2020, the royalties are recorded as prepaid expenses. These amounts will be amortized as a percent of each vehicle sold.</w:t>
      </w: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CAPITAL STOCK AND EARNINGS PER SHARE</w:t>
      </w:r>
    </w:p>
    <w:p>
      <w:pPr>
        <w:spacing w:after="0" w:line="234"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231F20"/>
        </w:rPr>
        <w:t xml:space="preserve">Our Charter provides for 312 million authorized shares of capital stock, consisting of (i) 300 million shares of Class A common stock and (ii) 12 million shares of preferred stock each with a par value of $0.0001. We had </w:t>
      </w:r>
      <w:r>
        <w:rPr>
          <w:rFonts w:ascii="Arial" w:cs="Arial" w:eastAsia="Arial" w:hAnsi="Arial"/>
          <w:sz w:val="18"/>
          <w:szCs w:val="18"/>
          <w:color w:val="000000"/>
        </w:rPr>
        <w:t xml:space="preserve">176.6 million and 168.0 million shares of common stock issued and outstanding </w:t>
      </w:r>
      <w:r>
        <w:rPr>
          <w:rFonts w:ascii="Arial" w:cs="Arial" w:eastAsia="Arial" w:hAnsi="Arial"/>
          <w:sz w:val="18"/>
          <w:szCs w:val="18"/>
          <w:color w:val="231F20"/>
        </w:rPr>
        <w:t>a</w:t>
      </w:r>
      <w:r>
        <w:rPr>
          <w:rFonts w:ascii="Arial" w:cs="Arial" w:eastAsia="Arial" w:hAnsi="Arial"/>
          <w:sz w:val="18"/>
          <w:szCs w:val="18"/>
          <w:color w:val="000000"/>
        </w:rPr>
        <w:t>s of March 31, 2021 and December 31, 2020, respectively.</w:t>
      </w:r>
    </w:p>
    <w:p>
      <w:pPr>
        <w:spacing w:after="0" w:line="20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three months ended March 31, 2021, our share equivalent included 4.5 million options,1.6 million BGL Warrants, and 2.3 million Private Warrants outstanding. None of the stock options or warrants were included in the calculation of diluted EPS because we recorded a net loss for the quarters ended March 31, 2021 and March 31, 2020 as including these instruments would be anti-dilutive.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88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weighted average shares outstanding</w:t>
            </w:r>
          </w:p>
        </w:tc>
        <w:tc>
          <w:tcPr>
            <w:tcW w:w="1260" w:type="dxa"/>
            <w:vAlign w:val="bottom"/>
            <w:tcBorders>
              <w:top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174,325</w:t>
            </w:r>
          </w:p>
        </w:tc>
        <w:tc>
          <w:tcPr>
            <w:tcW w:w="3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71,911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above and Item 1A. Risk Factors in our Form 10-K/A for a discussion of these risks and uncertainties.</w:t>
      </w:r>
    </w:p>
    <w:p>
      <w:pPr>
        <w:spacing w:after="0" w:line="20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Our mission is to be a catalyst in the world’s transition to sustainable energy. We design, develop, and intend to manufacture the Endurance, the first electric full-size pickup truck targeted for sale to fleet customers</w:t>
      </w:r>
      <w:r>
        <w:rPr>
          <w:rFonts w:ascii="Arial" w:cs="Arial" w:eastAsia="Arial" w:hAnsi="Arial"/>
          <w:sz w:val="16"/>
          <w:szCs w:val="16"/>
          <w:color w:val="auto"/>
        </w:rPr>
        <w:t>.</w:t>
      </w:r>
      <w:r>
        <w:rPr>
          <w:rFonts w:ascii="Arial" w:cs="Arial" w:eastAsia="Arial" w:hAnsi="Arial"/>
          <w:sz w:val="18"/>
          <w:szCs w:val="18"/>
          <w:color w:val="auto"/>
        </w:rPr>
        <w:t xml:space="preserve"> In addition, we intend to leverage our technologies by investing in the development additional all-electric vehicles geared for the commercial market. Located in Lordstown, Ohio, the Lordstown Complex spans 6.2 million square feet and is in a near-production-ready state. We also intend to build company-owned service centers where we offer maintenance, repair, parts, and other services related to our products.</w:t>
      </w:r>
    </w:p>
    <w:p>
      <w:pPr>
        <w:spacing w:after="0" w:line="18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Since inception, we have been developing our flagship vehicle, the Endurance, an electric full-size pickup truck</w:t>
      </w:r>
      <w:r>
        <w:rPr>
          <w:rFonts w:ascii="Arial" w:cs="Arial" w:eastAsia="Arial" w:hAnsi="Arial"/>
          <w:sz w:val="18"/>
          <w:szCs w:val="18"/>
          <w:b w:val="1"/>
          <w:bCs w:val="1"/>
          <w:color w:val="auto"/>
        </w:rPr>
        <w:t>.</w:t>
      </w:r>
      <w:r>
        <w:rPr>
          <w:rFonts w:ascii="Arial" w:cs="Arial" w:eastAsia="Arial" w:hAnsi="Arial"/>
          <w:sz w:val="18"/>
          <w:szCs w:val="18"/>
          <w:color w:val="auto"/>
        </w:rPr>
        <w:t xml:space="preserve"> We introduced the Endurance in June 2020 and have been building beta vehicles during the first half of 2021. We are targeting commencement of limited production of the Endurance in late September 2021. As of result of cost increases due to challenges in the supply chain, among other factors, production will initially focus on a small number of vehicles for testing and certifications and to demonstrate the capabilities of the Endurance to customers and financing sources. We are seeking additional funding that will be necessary to scale up capacity and the further automation of manufacturing processes in order to complete our ramp up to full-scale commercial production and launch the sale of our vehicles.</w:t>
      </w:r>
    </w:p>
    <w:p>
      <w:pPr>
        <w:spacing w:after="0" w:line="202"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Our goal is to achieve a leadership position as an OEM vehicle supplier to the commercial fleet industry. We intend to do so by focusing on the following strengths:</w:t>
      </w:r>
    </w:p>
    <w:p>
      <w:pPr>
        <w:spacing w:after="0" w:line="197" w:lineRule="exact"/>
        <w:rPr>
          <w:sz w:val="20"/>
          <w:szCs w:val="20"/>
          <w:color w:val="auto"/>
        </w:rPr>
      </w:pPr>
    </w:p>
    <w:p>
      <w:pPr>
        <w:ind w:left="720" w:right="33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highly experienced and proven senior management team led by founder and CEO, Mr. Burns, with over 180 years of collective experience in the automotive and electric vehicle areas from prominent OEMs, including Workhorse, Tesla, Karma, Toyota, GM, Hyundai and Volkswagen;</w:t>
      </w:r>
    </w:p>
    <w:p>
      <w:pPr>
        <w:spacing w:after="0" w:line="94" w:lineRule="exact"/>
        <w:rPr>
          <w:rFonts w:ascii="Arial" w:cs="Arial" w:eastAsia="Arial" w:hAnsi="Arial"/>
          <w:sz w:val="18"/>
          <w:szCs w:val="18"/>
          <w:color w:val="auto"/>
        </w:rPr>
      </w:pPr>
    </w:p>
    <w:p>
      <w:pPr>
        <w:jc w:val="both"/>
        <w:ind w:left="720" w:right="39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near-production-ready, strategically located manufacturing Lordstown Complex, that we believe offers significant advantages in terms of the time and cost necessary to reach full-scale commercial production;</w:t>
      </w:r>
    </w:p>
    <w:p>
      <w:pPr>
        <w:spacing w:after="0" w:line="94" w:lineRule="exact"/>
        <w:rPr>
          <w:rFonts w:ascii="Arial" w:cs="Arial" w:eastAsia="Arial" w:hAnsi="Arial"/>
          <w:sz w:val="18"/>
          <w:szCs w:val="18"/>
          <w:color w:val="auto"/>
        </w:rPr>
      </w:pPr>
    </w:p>
    <w:p>
      <w:pPr>
        <w:ind w:left="720" w:right="59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800,000 square feet within the plant complex allocated for in-wheel hub motor and lithium-ion battery pack production and assembly, which together will account for our propulsion production;</w:t>
      </w:r>
    </w:p>
    <w:p>
      <w:pPr>
        <w:spacing w:after="0" w:line="94" w:lineRule="exact"/>
        <w:rPr>
          <w:rFonts w:ascii="Arial" w:cs="Arial" w:eastAsia="Arial" w:hAnsi="Arial"/>
          <w:sz w:val="18"/>
          <w:szCs w:val="18"/>
          <w:color w:val="auto"/>
        </w:rPr>
      </w:pPr>
    </w:p>
    <w:p>
      <w:pPr>
        <w:ind w:left="720" w:right="11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unique and efficient design of the Endurance incorporating advanced technology and engineering, including the use of in-wheel hub motors resulting in what we believe will be the fewest moving parts of any comparable vehicle currently available; and</w:t>
      </w:r>
    </w:p>
    <w:p>
      <w:pPr>
        <w:spacing w:after="0" w:line="94" w:lineRule="exact"/>
        <w:rPr>
          <w:rFonts w:ascii="Arial" w:cs="Arial" w:eastAsia="Arial" w:hAnsi="Arial"/>
          <w:sz w:val="18"/>
          <w:szCs w:val="18"/>
          <w:color w:val="auto"/>
        </w:rPr>
      </w:pPr>
    </w:p>
    <w:p>
      <w:pPr>
        <w:ind w:left="720" w:right="139"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safe, reliable and efficient vehicle, designed for and targeted to the needs of the fleet market, that we believe will offer a significantly reduced total cost of ownership and compelling value as compared to currently available alternatives.</w:t>
      </w:r>
    </w:p>
    <w:p>
      <w:pPr>
        <w:spacing w:after="0" w:line="135"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Within the broader trend of vehicle electrification, by targeting the sizable fleet market and focusing on its particular needs, we aim to obtain a “first mover” advantage, build strong customer relationships and capitalize on a significant market opportunity.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100" w:right="2579" w:hanging="4044"/>
        <w:spacing w:after="0" w:line="271" w:lineRule="auto"/>
        <w:rPr>
          <w:sz w:val="20"/>
          <w:szCs w:val="20"/>
          <w:color w:val="auto"/>
        </w:rPr>
      </w:pPr>
      <w:r>
        <w:rPr>
          <w:rFonts w:ascii="Arial" w:cs="Arial" w:eastAsia="Arial" w:hAnsi="Arial"/>
          <w:sz w:val="18"/>
          <w:szCs w:val="18"/>
          <w:b w:val="1"/>
          <w:bCs w:val="1"/>
          <w:color w:val="auto"/>
        </w:rPr>
        <w:t xml:space="preserve">Results of Operations for the three months ended March 31, 2021 and 2020 </w:t>
      </w: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112"/>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and administrative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r>
      <w:tr>
        <w:trPr>
          <w:trHeight w:val="196"/>
        </w:trPr>
        <w:tc>
          <w:tcPr>
            <w:tcW w:w="20" w:type="dxa"/>
            <w:vAlign w:val="bottom"/>
          </w:tcPr>
          <w:p>
            <w:pPr>
              <w:spacing w:after="0"/>
              <w:rPr>
                <w:sz w:val="17"/>
                <w:szCs w:val="17"/>
                <w:color w:val="auto"/>
              </w:rPr>
            </w:pPr>
          </w:p>
        </w:tc>
        <w:tc>
          <w:tcPr>
            <w:tcW w:w="35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106,206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11,990</w:t>
            </w:r>
          </w:p>
        </w:tc>
      </w:tr>
      <w:tr>
        <w:trPr>
          <w:trHeight w:val="196"/>
        </w:trPr>
        <w:tc>
          <w:tcPr>
            <w:tcW w:w="20" w:type="dxa"/>
            <w:vAlign w:val="bottom"/>
          </w:tcPr>
          <w:p>
            <w:pPr>
              <w:spacing w:after="0"/>
              <w:rPr>
                <w:sz w:val="17"/>
                <w:szCs w:val="17"/>
                <w:color w:val="auto"/>
              </w:rPr>
            </w:pPr>
          </w:p>
        </w:tc>
        <w:tc>
          <w:tcPr>
            <w:tcW w:w="3580" w:type="dxa"/>
            <w:vAlign w:val="bottom"/>
          </w:tcPr>
          <w:p>
            <w:pPr>
              <w:ind w:left="200"/>
              <w:spacing w:after="0" w:line="196" w:lineRule="exact"/>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(106,206)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(11,990)</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income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rPr>
              <w:t>Other (expense) income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3580" w:type="dxa"/>
            <w:vAlign w:val="bottom"/>
          </w:tcPr>
          <w:p>
            <w:pPr>
              <w:ind w:left="100"/>
              <w:spacing w:after="0" w:line="196" w:lineRule="exact"/>
              <w:rPr>
                <w:sz w:val="20"/>
                <w:szCs w:val="20"/>
                <w:color w:val="auto"/>
              </w:rPr>
            </w:pPr>
            <w:r>
              <w:rPr>
                <w:rFonts w:ascii="Arial" w:cs="Arial" w:eastAsia="Arial" w:hAnsi="Arial"/>
                <w:sz w:val="18"/>
                <w:szCs w:val="18"/>
                <w:color w:val="auto"/>
              </w:rPr>
              <w:t>Loss before income taxes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(125,211)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(11,865)</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580" w:type="dxa"/>
            <w:vAlign w:val="bottom"/>
          </w:tcPr>
          <w:p>
            <w:pPr>
              <w:ind w:left="520"/>
              <w:spacing w:after="0" w:line="196" w:lineRule="exact"/>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(125,211)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(11,865)</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and Administrative Expense</w:t>
      </w:r>
    </w:p>
    <w:p>
      <w:pPr>
        <w:spacing w:after="0" w:line="234"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Selling and administration expenses increased $11.1 million during the three months ended March 31, 2021 compared to 2020 as Lordstown ramped up development and organizational activities in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4"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Research and development expenses increased $ 82.0 million during the three months ended March 31, 2021 compared to 2020 as Lordstown continued design and development work on the Endurance.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On March 31, 2021, we had cash and cash equivalents of approximately $587.0 million. In January 2021, we received approximately $82.0 million in funding from Warrant exercises.</w:t>
      </w:r>
    </w:p>
    <w:p>
      <w:pPr>
        <w:spacing w:after="0" w:line="19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2021, our research and development expenses and capital expenditures have increased significantly over 2020 levels to build capacity and invest in additional products and technologies, and are higher than anticipated due to additional spending needed to (1) complete our beta program, (2) conduct vehicle validation tests, (3) secure necessary parts/equipment for production, and (4) utilize third-party engineering resources. This was due in part to the stress that the COVID-19 pandemic has put on the global automotive supply chain. As we have engaged potential third-party suppliers for certain components, the pricing and/or availability being offered was not consistent with our expectations and timing, so we made a strategic decision to bring development of certain components, such as the frame, in house. While this decision requires more upfront spending and the need for additional funding from future financing, we believe the return on our investments will allow us to control key components and the projected timelines that we establish.</w:t>
      </w:r>
    </w:p>
    <w:p>
      <w:pPr>
        <w:spacing w:after="0" w:line="206" w:lineRule="exact"/>
        <w:rPr>
          <w:sz w:val="20"/>
          <w:szCs w:val="20"/>
          <w:color w:val="auto"/>
        </w:rPr>
      </w:pPr>
    </w:p>
    <w:p>
      <w:pPr>
        <w:ind w:left="60" w:right="439"/>
        <w:spacing w:after="0" w:line="261" w:lineRule="auto"/>
        <w:rPr>
          <w:sz w:val="20"/>
          <w:szCs w:val="20"/>
          <w:color w:val="auto"/>
        </w:rPr>
      </w:pPr>
      <w:r>
        <w:rPr>
          <w:rFonts w:ascii="Arial" w:cs="Arial" w:eastAsia="Arial" w:hAnsi="Arial"/>
          <w:sz w:val="17"/>
          <w:szCs w:val="17"/>
          <w:color w:val="auto"/>
        </w:rPr>
        <w:t>In addition, in order to secure adequate supply of battery cells, we have agreements with certain suppliers which obligate us to purchase a minimum volume at approximately $16.3 million, $139.4 million and $273.6 million in 2021, 2022, and 2023, respectively, subject to change for increases in raw material pricing.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 condensed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20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had cash and cash equivalents of approximately $587.0 million and an accumulated deficit of $259.7 million at March 31, 2021 and a net loss of $125.2 million for the quarter ended March 31, 2021. Our ability to continue as a going concern is dependent on our ability to complete the development of our electric vehicles, obtain regulatory approval, begin commercial scale production and launch the sale of such vehicles. We believe that our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 unaudited condensed consolidated financial statements included in this report.</w:t>
      </w:r>
    </w:p>
    <w:p>
      <w:pPr>
        <w:spacing w:after="0" w:line="19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To alleviate these conditions, management is currently evaluating various funding alternatives and may seek to raise additional funds 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accepted an invitation from the U.S. Department of Energy to start the process toward securing an ATVM loan. If we are successful in completing this stage, we may receive a term sheet, but we cannot guarantee we will reach that stage or be approved for a loan or provide any assurance as to the amount or timing of any loan that we may receive. Broadly speaking, prior ATVM loans were offered at Treasury rates for interest expense, required that the proceeds be spent on plant retooling or R&amp;D activities and have imposed initial cash collateral requirements. We are currently in the due diligence phase and there can be no assurance when or if we will receive an ATVM loan. We are also pursuing tax credits and grants across multiple jurisdictions.</w:t>
      </w:r>
    </w:p>
    <w:p>
      <w:pPr>
        <w:spacing w:after="0" w:line="1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Unless and until we secure such additional funding, we have made adjustments to our production timeline and processes. Expected Endurance production in 2021 will be limited and we will need additional funding for 2022 production and to establish higher volume, sustained capacity and generally to reach full scale commercial production as contemplated by our business plan. In order to manage liquidity, expenditures will continue at a reduced pace and will relate primarily to retooling plans that will allow us to provide the limited capacity by the end of 2021 for testing and certifications and to demonstrate the capabilities of the Endurance to customers and financing sources.</w:t>
      </w:r>
    </w:p>
    <w:p>
      <w:pPr>
        <w:spacing w:after="0" w:line="203" w:lineRule="exact"/>
        <w:rPr>
          <w:sz w:val="20"/>
          <w:szCs w:val="20"/>
          <w:color w:val="auto"/>
        </w:rPr>
      </w:pPr>
    </w:p>
    <w:p>
      <w:pPr>
        <w:jc w:val="both"/>
        <w:ind w:left="60" w:right="259"/>
        <w:spacing w:after="0" w:line="261" w:lineRule="auto"/>
        <w:rPr>
          <w:sz w:val="20"/>
          <w:szCs w:val="20"/>
          <w:color w:val="auto"/>
        </w:rPr>
      </w:pPr>
      <w:r>
        <w:rPr>
          <w:rFonts w:ascii="Arial" w:cs="Arial" w:eastAsia="Arial" w:hAnsi="Arial"/>
          <w:sz w:val="17"/>
          <w:szCs w:val="17"/>
          <w:color w:val="231F20"/>
        </w:rPr>
        <w:t>If we are unable to raise additional capital in the near term, our operations and production plans will be scaled back or curtailed and, if any funds raised are insufficient to provide a bridge to full commercial production and generation of sufficient funds from operations, our successful operation and growth would be impeded.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Lordstown’s cash flow data for the period indicated:</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right"/>
              <w:ind w:right="197"/>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3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20" w:type="dxa"/>
            <w:vAlign w:val="bottom"/>
          </w:tcPr>
          <w:p>
            <w:pPr>
              <w:spacing w:after="0"/>
              <w:rPr>
                <w:sz w:val="17"/>
                <w:szCs w:val="17"/>
                <w:color w:val="auto"/>
              </w:rPr>
            </w:pPr>
          </w:p>
        </w:tc>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by operating activities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(71,520)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(7,855)</w:t>
            </w: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Net cash used by investing activities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(54,264)</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83,066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6,125</w:t>
            </w: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Operating Activities</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For the three months ended March 31, 2021 compared to 2020, net cash used by operating activities increased by $63.7 million. This increase was primarily due to a $94.2 million increase of net operating loss offset by changes in working capital, primarily a significant increase in accounts payable as we have ramped up our research and development and other spending.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Investing Activities</w:t>
      </w:r>
    </w:p>
    <w:p>
      <w:pPr>
        <w:spacing w:after="0" w:line="234"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For the three months ended March 31, 2021 compared to 2020, cash used by investing activities increased $54.3 million due to capital spending in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34"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For the three months ended March 31, 2021 compared to 2020, cash flows from financing activities increased $76.9 million due to $82 million of cash proceeds from exercise of warrants net of a $5.1 million decrease in proceeds from the issuance of stock.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auto"/>
        </w:rPr>
        <w:t>See Note 2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March 31, 2021, we had cash and cash equivalents of approximately $587.0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208"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and Chief Financial Officer carried out an evaluation of the effectiveness of the design and operation of our disclosure controls and procedures as of March 31, 2021.</w:t>
      </w:r>
    </w:p>
    <w:p>
      <w:pPr>
        <w:spacing w:after="0" w:line="204"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not effective due to the material weaknesses described below and discussed in our Form 10-K/A for the year ended December 31, 2020.</w:t>
      </w:r>
    </w:p>
    <w:p>
      <w:pPr>
        <w:spacing w:after="0" w:line="203"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In the course of preparing the Company’s financial statements for the Form 10-K/A, our management identified the following material weaknesses in internal control over financial reporting:</w:t>
      </w:r>
    </w:p>
    <w:p>
      <w:pPr>
        <w:spacing w:after="0" w:line="197" w:lineRule="exact"/>
        <w:rPr>
          <w:sz w:val="20"/>
          <w:szCs w:val="20"/>
          <w:color w:val="auto"/>
        </w:rPr>
      </w:pPr>
    </w:p>
    <w:p>
      <w:pPr>
        <w:ind w:left="720" w:right="379"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did not have a sufficient number of trained resources with the appropriate technical accounting skills and knowledge with assigned responsibilities and accountability for the design and operation of internal controls over financial reporting.</w:t>
      </w:r>
    </w:p>
    <w:p>
      <w:pPr>
        <w:spacing w:after="0" w:line="202" w:lineRule="exact"/>
        <w:rPr>
          <w:rFonts w:ascii="Arial" w:cs="Arial" w:eastAsia="Arial" w:hAnsi="Arial"/>
          <w:sz w:val="18"/>
          <w:szCs w:val="18"/>
          <w:color w:val="auto"/>
        </w:rPr>
      </w:pPr>
    </w:p>
    <w:p>
      <w:pPr>
        <w:ind w:left="720" w:right="79"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did not have an effective risk assessment process that successfully identified and assessed risks of material misstatement to ensure controls were designed and implemented to respond to those risks.</w:t>
      </w:r>
    </w:p>
    <w:p>
      <w:pPr>
        <w:spacing w:after="0" w:line="202" w:lineRule="exact"/>
        <w:rPr>
          <w:rFonts w:ascii="Arial" w:cs="Arial" w:eastAsia="Arial" w:hAnsi="Arial"/>
          <w:sz w:val="18"/>
          <w:szCs w:val="18"/>
          <w:color w:val="auto"/>
        </w:rPr>
      </w:pPr>
    </w:p>
    <w:p>
      <w:pPr>
        <w:ind w:left="720" w:right="619" w:hanging="319"/>
        <w:spacing w:after="0" w:line="246"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did not have an effective monitoring process to assess the consistent operation of internal control over financial reporting and to remediate known control deficiencies.</w:t>
      </w:r>
    </w:p>
    <w:p>
      <w:pPr>
        <w:spacing w:after="0" w:line="197"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As a consequence, we did not effectively design, implement and operate process-level control activities related to procure-to-pay (including operating expenses, prepaid expenses, accounts payable, and accrued liabilities), property, plant and equipment, warrant liability, and the financial reporting process (including the manual journal entries).</w:t>
      </w:r>
    </w:p>
    <w:p>
      <w:pPr>
        <w:spacing w:after="0" w:line="205" w:lineRule="exact"/>
        <w:rPr>
          <w:sz w:val="20"/>
          <w:szCs w:val="20"/>
          <w:color w:val="auto"/>
        </w:rPr>
      </w:pPr>
    </w:p>
    <w:p>
      <w:pPr>
        <w:ind w:left="60" w:right="519"/>
        <w:spacing w:after="0" w:line="261" w:lineRule="auto"/>
        <w:rPr>
          <w:sz w:val="20"/>
          <w:szCs w:val="20"/>
          <w:color w:val="auto"/>
        </w:rPr>
      </w:pPr>
      <w:r>
        <w:rPr>
          <w:rFonts w:ascii="Arial" w:cs="Arial" w:eastAsia="Arial" w:hAnsi="Arial"/>
          <w:sz w:val="17"/>
          <w:szCs w:val="17"/>
          <w:color w:val="auto"/>
        </w:rPr>
        <w:t>These control deficiencies resulted in the restatement of our December 31, 2020 financial statements as described in Note 2 to the Notes to Consolidated Financial Statements entitled “Restatement of Previously Issued Financial Statements” in the Form 10-K/A. These control deficiencies also caused other immaterial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misstatements, some of which were corrected, in our consolidated financial statements as of and for the year ended December 31, 2020. These control deficiencies create a reasonable possibility that a material misstatement to the consolidated financial statements will not be prevented or detected on a timely basis, and therefore we conclude that the deficiencies represent material weaknesses in internal control over financial reporting and our internal control over financial reporting is not effective as of December 31, 2020.</w:t>
      </w:r>
    </w:p>
    <w:p>
      <w:pPr>
        <w:spacing w:after="0" w:line="202"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misstatements to our financial statements that would be material and would not be prevented or detected on a timely basis.</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management is preparing a remediation plan to be instituted in 2021 under the oversight of the Audit Committee. The plan is expected to involve hiring and training additional qualified personnel, performing detailed risk assessments in key process areas to identify risks of material misstatement, further documentation and implementation of control procedures to address the identified risks of material misstatements in key process areas, and the implementation of monitoring activities over the components of our internal controls which would include holding personnel accountable to their responsibilities for the design and implementation of internal controls over financial reporting.</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is no assurance that we will be successful in remediating the material weaknesses.</w:t>
      </w:r>
    </w:p>
    <w:p>
      <w:pPr>
        <w:spacing w:after="0" w:line="212" w:lineRule="exact"/>
        <w:rPr>
          <w:sz w:val="20"/>
          <w:szCs w:val="20"/>
          <w:color w:val="auto"/>
        </w:rPr>
      </w:pPr>
    </w:p>
    <w:p>
      <w:pPr>
        <w:jc w:val="both"/>
        <w:ind w:left="60" w:right="359"/>
        <w:spacing w:after="0"/>
        <w:rPr>
          <w:sz w:val="20"/>
          <w:szCs w:val="20"/>
          <w:color w:val="auto"/>
        </w:rPr>
      </w:pPr>
      <w:r>
        <w:rPr>
          <w:rFonts w:ascii="Arial" w:cs="Arial" w:eastAsia="Arial" w:hAnsi="Arial"/>
          <w:sz w:val="18"/>
          <w:szCs w:val="18"/>
          <w:color w:val="auto"/>
        </w:rPr>
        <w:t>Notwithstanding the identified material weaknesses, management believes that the condensed consolidated financial statements included in this Quarterly Report on Form 10-Q present fairly in all material respects our consolidated financial position, results of operations and cash flows for the period presented.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0"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As discussed above, we are designing and implementing certain measures to remediate the material weaknesses identified in the design and operation of our internal control over financial reporting. There were no other changes in our internal control over financial reporting (as such term is defined in Rules 13a-15(f) and</w:t>
      </w:r>
    </w:p>
    <w:p>
      <w:pPr>
        <w:spacing w:after="0" w:line="2"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15d-15(f) of the Exchange Act)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20"/>
          <w:szCs w:val="20"/>
          <w:color w:val="auto"/>
        </w:rPr>
        <w:t xml:space="preserve">For a description of our legal proceedings, see Note 6 -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the condensed consolidated financial statements of this Quarterly Report on Form 10-Q.</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to the other information discussed in this report, please consider the factors described in Part I, Item 1A., “Risk Factors” in our Form 10-K/A that could materially affect our business, financial condition or future results. There have not been any material changes to the risk factors described in our Form 10-K/A, but these are not the only risks facing our Company. Additional risks and uncertainties not currently known to us or that we currently deem to be immaterial also may adversely affect our business, financial condition or operating results.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There were no sales of equity securities during the first quarter of 2021 that were not registered under the Securities Act of 1933.</w:t>
      </w:r>
    </w:p>
    <w:p>
      <w:pPr>
        <w:spacing w:after="0" w:line="18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December 16, 2020, we issued a notice of redemption of all of our outstanding Public Warrants on a cash basis. On January 21, 2021, we issued a notice extending the redemption period and completed the redemption on January 27, 2021. The 135,661 Public Warrants not exercised by the end of the redemption period were redeemed for a price of $0.01 per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286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960" w:type="dxa"/>
            <w:vAlign w:val="bottom"/>
          </w:tcPr>
          <w:p>
            <w:pPr>
              <w:ind w:left="20"/>
              <w:spacing w:after="0" w:line="155" w:lineRule="exact"/>
              <w:rPr>
                <w:sz w:val="20"/>
                <w:szCs w:val="20"/>
                <w:color w:val="auto"/>
              </w:rPr>
            </w:pPr>
            <w:r>
              <w:rPr>
                <w:rFonts w:ascii="Arial" w:cs="Arial" w:eastAsia="Arial" w:hAnsi="Arial"/>
                <w:sz w:val="16"/>
                <w:szCs w:val="16"/>
                <w:color w:val="auto"/>
              </w:rPr>
              <w:t>31.1*</w:t>
            </w:r>
          </w:p>
        </w:tc>
        <w:tc>
          <w:tcPr>
            <w:tcW w:w="6260" w:type="dxa"/>
            <w:vAlign w:val="bottom"/>
            <w:tcBorders>
              <w:bottom w:val="single" w:sz="8" w:color="0000EE"/>
            </w:tcBorders>
            <w:gridSpan w:val="3"/>
          </w:tcPr>
          <w:p>
            <w:pPr>
              <w:spacing w:after="0" w:line="155" w:lineRule="exact"/>
              <w:rPr>
                <w:rFonts w:ascii="Arial" w:cs="Arial" w:eastAsia="Arial" w:hAnsi="Arial"/>
                <w:sz w:val="16"/>
                <w:szCs w:val="16"/>
                <w:color w:val="0000EE"/>
              </w:rPr>
            </w:pPr>
            <w:hyperlink w:anchor="page27">
              <w:r>
                <w:rPr>
                  <w:rFonts w:ascii="Arial" w:cs="Arial" w:eastAsia="Arial" w:hAnsi="Arial"/>
                  <w:sz w:val="16"/>
                  <w:szCs w:val="16"/>
                  <w:color w:val="0000EE"/>
                </w:rPr>
                <w:t>Certification of Principal Executive Officer pursuant to Rule 13a-14(a) or Rule 15d-14(a)</w:t>
              </w:r>
            </w:hyperlink>
          </w:p>
        </w:tc>
        <w:tc>
          <w:tcPr>
            <w:tcW w:w="1420" w:type="dxa"/>
            <w:vAlign w:val="bottom"/>
          </w:tcPr>
          <w:p>
            <w:pPr>
              <w:spacing w:after="0"/>
              <w:rPr>
                <w:sz w:val="13"/>
                <w:szCs w:val="13"/>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7680" w:type="dxa"/>
            <w:vAlign w:val="bottom"/>
            <w:gridSpan w:val="4"/>
          </w:tcPr>
          <w:p>
            <w:pPr>
              <w:spacing w:after="0" w:line="169" w:lineRule="exact"/>
              <w:rPr>
                <w:rFonts w:ascii="Arial" w:cs="Arial" w:eastAsia="Arial" w:hAnsi="Arial"/>
                <w:sz w:val="16"/>
                <w:szCs w:val="16"/>
                <w:color w:val="0000EE"/>
              </w:rPr>
            </w:pPr>
            <w:hyperlink w:anchor="page28">
              <w:r>
                <w:rPr>
                  <w:rFonts w:ascii="Arial" w:cs="Arial" w:eastAsia="Arial" w:hAnsi="Arial"/>
                  <w:sz w:val="16"/>
                  <w:szCs w:val="16"/>
                  <w:color w:val="0000EE"/>
                </w:rPr>
                <w:t>Certification of Principal Financial Officer pursuant to Rule 13a-14(a) or Rule 15d-14(a)</w:t>
              </w:r>
            </w:hyperlink>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286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w:anchor="page29">
              <w:r>
                <w:rPr>
                  <w:rFonts w:ascii="Arial" w:cs="Arial" w:eastAsia="Arial" w:hAnsi="Arial"/>
                  <w:sz w:val="16"/>
                  <w:szCs w:val="16"/>
                  <w:color w:val="0000EE"/>
                </w:rPr>
                <w:t>Certification pursuant to 18 U.S.C. 1350</w:t>
              </w:r>
            </w:hyperlink>
          </w:p>
        </w:tc>
        <w:tc>
          <w:tcPr>
            <w:tcW w:w="3340" w:type="dxa"/>
            <w:vAlign w:val="bottom"/>
            <w:tcBorders>
              <w:top w:val="single" w:sz="8" w:color="0000EE"/>
            </w:tcBorders>
          </w:tcPr>
          <w:p>
            <w:pPr>
              <w:spacing w:after="0"/>
              <w:rPr>
                <w:sz w:val="14"/>
                <w:szCs w:val="14"/>
                <w:color w:val="auto"/>
              </w:rPr>
            </w:pPr>
          </w:p>
        </w:tc>
        <w:tc>
          <w:tcPr>
            <w:tcW w:w="1480" w:type="dxa"/>
            <w:vAlign w:val="bottom"/>
            <w:gridSpan w:val="2"/>
          </w:tcPr>
          <w:p>
            <w:pPr>
              <w:spacing w:after="0"/>
              <w:rPr>
                <w:sz w:val="14"/>
                <w:szCs w:val="14"/>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2860" w:type="dxa"/>
            <w:vAlign w:val="bottom"/>
            <w:tcBorders>
              <w:bottom w:val="single" w:sz="8" w:color="0000EE"/>
            </w:tcBorders>
          </w:tcPr>
          <w:p>
            <w:pPr>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Certification pursuant to 18 U.S.C. 1350</w:t>
              </w:r>
            </w:hyperlink>
          </w:p>
        </w:tc>
        <w:tc>
          <w:tcPr>
            <w:tcW w:w="4820" w:type="dxa"/>
            <w:vAlign w:val="bottom"/>
            <w:gridSpan w:val="3"/>
          </w:tcPr>
          <w:p>
            <w:pPr>
              <w:spacing w:after="0"/>
              <w:rPr>
                <w:sz w:val="14"/>
                <w:szCs w:val="14"/>
                <w:color w:val="auto"/>
              </w:rPr>
            </w:pPr>
          </w:p>
        </w:tc>
      </w:tr>
      <w:tr>
        <w:trPr>
          <w:trHeight w:val="198"/>
        </w:trPr>
        <w:tc>
          <w:tcPr>
            <w:tcW w:w="960" w:type="dxa"/>
            <w:vAlign w:val="bottom"/>
          </w:tcPr>
          <w:p>
            <w:pPr>
              <w:ind w:left="20"/>
              <w:spacing w:after="0"/>
              <w:rPr>
                <w:sz w:val="20"/>
                <w:szCs w:val="20"/>
                <w:color w:val="auto"/>
              </w:rPr>
            </w:pPr>
            <w:r>
              <w:rPr>
                <w:rFonts w:ascii="Arial" w:cs="Arial" w:eastAsia="Arial" w:hAnsi="Arial"/>
                <w:sz w:val="16"/>
                <w:szCs w:val="16"/>
                <w:color w:val="auto"/>
              </w:rPr>
              <w:t>101.INS*</w:t>
            </w:r>
          </w:p>
        </w:tc>
        <w:tc>
          <w:tcPr>
            <w:tcW w:w="7680" w:type="dxa"/>
            <w:vAlign w:val="bottom"/>
            <w:gridSpan w:val="4"/>
          </w:tcPr>
          <w:p>
            <w:pPr>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w:t>
            </w:r>
          </w:p>
        </w:tc>
      </w:tr>
      <w:tr>
        <w:trPr>
          <w:trHeight w:val="189"/>
        </w:trPr>
        <w:tc>
          <w:tcPr>
            <w:tcW w:w="960" w:type="dxa"/>
            <w:vAlign w:val="bottom"/>
          </w:tcPr>
          <w:p>
            <w:pPr>
              <w:spacing w:after="0"/>
              <w:rPr>
                <w:sz w:val="16"/>
                <w:szCs w:val="16"/>
                <w:color w:val="auto"/>
              </w:rPr>
            </w:pPr>
          </w:p>
        </w:tc>
        <w:tc>
          <w:tcPr>
            <w:tcW w:w="7680" w:type="dxa"/>
            <w:vAlign w:val="bottom"/>
            <w:gridSpan w:val="4"/>
          </w:tcPr>
          <w:p>
            <w:pPr>
              <w:spacing w:after="0"/>
              <w:rPr>
                <w:sz w:val="20"/>
                <w:szCs w:val="20"/>
                <w:color w:val="auto"/>
              </w:rPr>
            </w:pPr>
            <w:r>
              <w:rPr>
                <w:rFonts w:ascii="Arial" w:cs="Arial" w:eastAsia="Arial" w:hAnsi="Arial"/>
                <w:sz w:val="16"/>
                <w:szCs w:val="16"/>
                <w:color w:val="auto"/>
              </w:rPr>
              <w:t>XBRL tags are embedded within the Inline XBRL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101.SCH*</w:t>
            </w:r>
          </w:p>
        </w:tc>
        <w:tc>
          <w:tcPr>
            <w:tcW w:w="7680" w:type="dxa"/>
            <w:vAlign w:val="bottom"/>
            <w:gridSpan w:val="4"/>
          </w:tcPr>
          <w:p>
            <w:pPr>
              <w:spacing w:after="0"/>
              <w:rPr>
                <w:sz w:val="20"/>
                <w:szCs w:val="20"/>
                <w:color w:val="auto"/>
              </w:rPr>
            </w:pPr>
            <w:r>
              <w:rPr>
                <w:rFonts w:ascii="Arial" w:cs="Arial" w:eastAsia="Arial" w:hAnsi="Arial"/>
                <w:sz w:val="16"/>
                <w:szCs w:val="16"/>
                <w:color w:val="auto"/>
              </w:rPr>
              <w:t>XBRL Taxonomy Extension Schema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101.CAL*</w:t>
            </w:r>
          </w:p>
        </w:tc>
        <w:tc>
          <w:tcPr>
            <w:tcW w:w="768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101.DEF*</w:t>
            </w:r>
          </w:p>
        </w:tc>
        <w:tc>
          <w:tcPr>
            <w:tcW w:w="7680" w:type="dxa"/>
            <w:vAlign w:val="bottom"/>
            <w:gridSpan w:val="4"/>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101.LAB*</w:t>
            </w:r>
          </w:p>
        </w:tc>
        <w:tc>
          <w:tcPr>
            <w:tcW w:w="7680" w:type="dxa"/>
            <w:vAlign w:val="bottom"/>
            <w:gridSpan w:val="4"/>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7680" w:type="dxa"/>
            <w:vAlign w:val="bottom"/>
            <w:gridSpan w:val="4"/>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680" w:type="dxa"/>
            <w:vAlign w:val="bottom"/>
            <w:gridSpan w:val="4"/>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r>
      <w:tr>
        <w:trPr>
          <w:trHeight w:val="195"/>
        </w:trPr>
        <w:tc>
          <w:tcPr>
            <w:tcW w:w="960" w:type="dxa"/>
            <w:vAlign w:val="bottom"/>
          </w:tcPr>
          <w:p>
            <w:pPr>
              <w:spacing w:after="0"/>
              <w:rPr>
                <w:sz w:val="16"/>
                <w:szCs w:val="16"/>
                <w:color w:val="auto"/>
              </w:rPr>
            </w:pPr>
          </w:p>
        </w:tc>
        <w:tc>
          <w:tcPr>
            <w:tcW w:w="7680" w:type="dxa"/>
            <w:vAlign w:val="bottom"/>
            <w:gridSpan w:val="4"/>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0"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LORDSTOWN MOTORS CORP.</w:t>
            </w:r>
          </w:p>
        </w:tc>
      </w:tr>
      <w:tr>
        <w:trPr>
          <w:trHeight w:val="580"/>
        </w:trPr>
        <w:tc>
          <w:tcPr>
            <w:tcW w:w="3020" w:type="dxa"/>
            <w:vAlign w:val="bottom"/>
          </w:tcPr>
          <w:p>
            <w:pPr>
              <w:ind w:left="100"/>
              <w:spacing w:after="0"/>
              <w:rPr>
                <w:sz w:val="20"/>
                <w:szCs w:val="20"/>
                <w:color w:val="auto"/>
              </w:rPr>
            </w:pPr>
            <w:r>
              <w:rPr>
                <w:rFonts w:ascii="Arial" w:cs="Arial" w:eastAsia="Arial" w:hAnsi="Arial"/>
                <w:sz w:val="18"/>
                <w:szCs w:val="18"/>
                <w:color w:val="auto"/>
              </w:rPr>
              <w:t>Date: June 8, 2021</w:t>
            </w:r>
          </w:p>
        </w:tc>
        <w:tc>
          <w:tcPr>
            <w:tcW w:w="154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/s/ Stephen S. Burns</w:t>
            </w:r>
          </w:p>
        </w:tc>
        <w:tc>
          <w:tcPr>
            <w:tcW w:w="2700" w:type="dxa"/>
            <w:vAlign w:val="bottom"/>
          </w:tcPr>
          <w:p>
            <w:pPr>
              <w:spacing w:after="0"/>
              <w:rPr>
                <w:sz w:val="24"/>
                <w:szCs w:val="24"/>
                <w:color w:val="auto"/>
              </w:rPr>
            </w:pPr>
          </w:p>
        </w:tc>
      </w:tr>
      <w:tr>
        <w:trPr>
          <w:trHeight w:val="209"/>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Stephen S. Burns</w:t>
            </w:r>
          </w:p>
        </w:tc>
      </w:tr>
      <w:tr>
        <w:trPr>
          <w:trHeight w:val="203"/>
        </w:trPr>
        <w:tc>
          <w:tcPr>
            <w:tcW w:w="3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360" w:type="dxa"/>
            <w:vAlign w:val="bottom"/>
            <w:gridSpan w:val="3"/>
          </w:tcPr>
          <w:p>
            <w:pPr>
              <w:spacing w:after="0" w:line="202" w:lineRule="exact"/>
              <w:rPr>
                <w:sz w:val="20"/>
                <w:szCs w:val="20"/>
                <w:color w:val="auto"/>
              </w:rPr>
            </w:pPr>
            <w:r>
              <w:rPr>
                <w:rFonts w:ascii="Arial" w:cs="Arial" w:eastAsia="Arial" w:hAnsi="Arial"/>
                <w:sz w:val="18"/>
                <w:szCs w:val="18"/>
                <w:color w:val="auto"/>
              </w:rPr>
              <w:t>Chief Executive Officer</w:t>
            </w:r>
          </w:p>
        </w:tc>
      </w:tr>
      <w:tr>
        <w:trPr>
          <w:trHeight w:val="217"/>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4"/>
        </w:trPr>
        <w:tc>
          <w:tcPr>
            <w:tcW w:w="3020" w:type="dxa"/>
            <w:vAlign w:val="bottom"/>
          </w:tcPr>
          <w:p>
            <w:pPr>
              <w:ind w:left="100"/>
              <w:spacing w:after="0"/>
              <w:rPr>
                <w:sz w:val="20"/>
                <w:szCs w:val="20"/>
                <w:color w:val="auto"/>
              </w:rPr>
            </w:pPr>
            <w:r>
              <w:rPr>
                <w:rFonts w:ascii="Arial" w:cs="Arial" w:eastAsia="Arial" w:hAnsi="Arial"/>
                <w:sz w:val="18"/>
                <w:szCs w:val="18"/>
                <w:color w:val="auto"/>
              </w:rPr>
              <w:t>Date: June 8, 2021</w:t>
            </w:r>
          </w:p>
        </w:tc>
        <w:tc>
          <w:tcPr>
            <w:tcW w:w="154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/s/ Julio Rodriguez</w:t>
            </w:r>
          </w:p>
        </w:tc>
      </w:tr>
      <w:tr>
        <w:trPr>
          <w:trHeight w:val="209"/>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Julio Rodriguez</w:t>
            </w:r>
          </w:p>
        </w:tc>
        <w:tc>
          <w:tcPr>
            <w:tcW w:w="2880" w:type="dxa"/>
            <w:vAlign w:val="bottom"/>
            <w:gridSpan w:val="2"/>
          </w:tcPr>
          <w:p>
            <w:pPr>
              <w:spacing w:after="0"/>
              <w:rPr>
                <w:sz w:val="18"/>
                <w:szCs w:val="18"/>
                <w:color w:val="auto"/>
              </w:rPr>
            </w:pPr>
          </w:p>
        </w:tc>
      </w:tr>
      <w:tr>
        <w:trPr>
          <w:trHeight w:val="203"/>
        </w:trPr>
        <w:tc>
          <w:tcPr>
            <w:tcW w:w="3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360" w:type="dxa"/>
            <w:vAlign w:val="bottom"/>
            <w:gridSpan w:val="3"/>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17"/>
        </w:trPr>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50"/>
        </w:trPr>
        <w:tc>
          <w:tcPr>
            <w:tcW w:w="3020" w:type="dxa"/>
            <w:vAlign w:val="bottom"/>
          </w:tcPr>
          <w:p>
            <w:pPr>
              <w:spacing w:after="0"/>
              <w:rPr>
                <w:sz w:val="24"/>
                <w:szCs w:val="24"/>
                <w:color w:val="auto"/>
              </w:rPr>
            </w:pPr>
          </w:p>
        </w:tc>
        <w:tc>
          <w:tcPr>
            <w:tcW w:w="3020" w:type="dxa"/>
            <w:vAlign w:val="bottom"/>
            <w:gridSpan w:val="2"/>
          </w:tcPr>
          <w:p>
            <w:pPr>
              <w:jc w:val="right"/>
              <w:ind w:right="139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547"/>
        </w:trPr>
        <w:tc>
          <w:tcPr>
            <w:tcW w:w="3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6" w:name="page27"/>
    <w:bookmarkEnd w:id="2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Stephen S. Burns, certify that:</w:t>
      </w:r>
    </w:p>
    <w:p>
      <w:pPr>
        <w:spacing w:after="0" w:line="104" w:lineRule="exact"/>
        <w:rPr>
          <w:sz w:val="20"/>
          <w:szCs w:val="20"/>
          <w:color w:val="auto"/>
        </w:rPr>
      </w:pPr>
    </w:p>
    <w:p>
      <w:pPr>
        <w:ind w:left="700" w:hanging="6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0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40" w:right="59" w:firstLine="4"/>
        <w:spacing w:after="0" w:line="270" w:lineRule="auto"/>
        <w:tabs>
          <w:tab w:leader="none" w:pos="68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40" w:right="59" w:firstLine="652"/>
        <w:spacing w:after="0" w:line="243" w:lineRule="auto"/>
        <w:tabs>
          <w:tab w:leader="none" w:pos="133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40" w:right="59" w:firstLine="652"/>
        <w:spacing w:after="0" w:line="248" w:lineRule="auto"/>
        <w:tabs>
          <w:tab w:leader="none" w:pos="1336"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40" w:right="59" w:firstLine="4"/>
        <w:spacing w:after="0" w:line="324" w:lineRule="auto"/>
        <w:tabs>
          <w:tab w:leader="none" w:pos="68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 w:lineRule="exact"/>
        <w:rPr>
          <w:rFonts w:ascii="Arial" w:cs="Arial" w:eastAsia="Arial" w:hAnsi="Arial"/>
          <w:sz w:val="16"/>
          <w:szCs w:val="16"/>
          <w:color w:val="auto"/>
        </w:rPr>
      </w:pPr>
    </w:p>
    <w:p>
      <w:pPr>
        <w:jc w:val="both"/>
        <w:ind w:left="40" w:right="59" w:firstLine="652"/>
        <w:spacing w:after="0" w:line="248" w:lineRule="auto"/>
        <w:tabs>
          <w:tab w:leader="none" w:pos="1336"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0" w:right="59" w:firstLine="652"/>
        <w:spacing w:after="0" w:line="261" w:lineRule="auto"/>
        <w:tabs>
          <w:tab w:leader="none" w:pos="133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8, 2021</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 Stephen S. Burns</w:t>
      </w:r>
    </w:p>
    <w:p>
      <w:pPr>
        <w:spacing w:after="0" w:line="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Stephen S. Burns</w:t>
      </w:r>
    </w:p>
    <w:p>
      <w:pPr>
        <w:ind w:left="4580"/>
        <w:spacing w:after="0"/>
        <w:rPr>
          <w:sz w:val="20"/>
          <w:szCs w:val="20"/>
          <w:color w:val="auto"/>
        </w:rPr>
      </w:pPr>
      <w:r>
        <w:rPr>
          <w:rFonts w:ascii="Arial" w:cs="Arial" w:eastAsia="Arial" w:hAnsi="Arial"/>
          <w:sz w:val="18"/>
          <w:szCs w:val="18"/>
          <w:color w:val="auto"/>
        </w:rPr>
        <w:t>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Julio Rodriguez, certify that:</w:t>
      </w:r>
    </w:p>
    <w:p>
      <w:pPr>
        <w:spacing w:after="0" w:line="104" w:lineRule="exact"/>
        <w:rPr>
          <w:sz w:val="20"/>
          <w:szCs w:val="20"/>
          <w:color w:val="auto"/>
        </w:rPr>
      </w:pPr>
    </w:p>
    <w:p>
      <w:pPr>
        <w:ind w:left="700" w:hanging="6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Lordstown Motors Corp.;</w:t>
      </w:r>
    </w:p>
    <w:p>
      <w:pPr>
        <w:spacing w:after="0" w:line="10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40" w:right="59" w:firstLine="4"/>
        <w:spacing w:after="0" w:line="248" w:lineRule="auto"/>
        <w:tabs>
          <w:tab w:leader="none" w:pos="68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40" w:right="59" w:firstLine="4"/>
        <w:spacing w:after="0" w:line="270" w:lineRule="auto"/>
        <w:tabs>
          <w:tab w:leader="none" w:pos="68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jc w:val="both"/>
        <w:ind w:left="40" w:right="59" w:firstLine="652"/>
        <w:spacing w:after="0" w:line="243"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jc w:val="both"/>
        <w:ind w:left="40" w:right="59" w:firstLine="652"/>
        <w:spacing w:after="0" w:line="248"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40" w:right="59" w:firstLine="652"/>
        <w:spacing w:after="0" w:line="243"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8"/>
          <w:szCs w:val="18"/>
          <w:color w:val="auto"/>
        </w:rPr>
      </w:pPr>
    </w:p>
    <w:p>
      <w:pPr>
        <w:ind w:left="40" w:right="59" w:firstLine="4"/>
        <w:spacing w:after="0" w:line="324" w:lineRule="auto"/>
        <w:tabs>
          <w:tab w:leader="none" w:pos="68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6" w:lineRule="exact"/>
        <w:rPr>
          <w:rFonts w:ascii="Arial" w:cs="Arial" w:eastAsia="Arial" w:hAnsi="Arial"/>
          <w:sz w:val="16"/>
          <w:szCs w:val="16"/>
          <w:color w:val="auto"/>
        </w:rPr>
      </w:pPr>
    </w:p>
    <w:p>
      <w:pPr>
        <w:jc w:val="both"/>
        <w:ind w:left="40" w:right="59" w:firstLine="652"/>
        <w:spacing w:after="0" w:line="248"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40" w:right="59" w:firstLine="652"/>
        <w:spacing w:after="0" w:line="261" w:lineRule="auto"/>
        <w:tabs>
          <w:tab w:leader="none" w:pos="133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8, 2021</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2908300</wp:posOffset>
            </wp:positionH>
            <wp:positionV relativeFrom="paragraph">
              <wp:posOffset>-10160</wp:posOffset>
            </wp:positionV>
            <wp:extent cx="20510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1050"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8"/>
          <w:szCs w:val="18"/>
          <w:color w:val="auto"/>
        </w:rPr>
        <w:t>Julio Rodriguez</w:t>
      </w:r>
    </w:p>
    <w:p>
      <w:pPr>
        <w:ind w:left="45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In connection with the Quarterly Report of Lordstown Motors Corp. (the “Company”) on Form 10-Q for the period ended March 31, 2021, as filed with the Securities and Exchange Commission on the date hereof (the “Report”), I, Stephen S. Burns, Chief Executive Officer of the Company, certify, pursuant to 18 U.S.C. §1350, as added by §906 of the Sarbanes-Oxley Act of 2002, that:</w:t>
      </w:r>
    </w:p>
    <w:p>
      <w:pPr>
        <w:spacing w:after="0" w:line="14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8, 2021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Stephen 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-10160</wp:posOffset>
            </wp:positionV>
            <wp:extent cx="1445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589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Stephen S. Burns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In connection with the Quarterly Report of Lordstown Motors Corp. (the “Company”) on Form 10-Q for the period ended March 31, 2021, as filed with the Securities and Exchange Commission on the date hereof (the “Report”), I, Julio Rodriguez, Chief Financial Officer of the Company, certify, pursuant to 18 U.S.C. §1350, as added by §906 of the Sarbanes-Oxley Act of 2002, that:</w:t>
      </w:r>
    </w:p>
    <w:p>
      <w:pPr>
        <w:spacing w:after="0" w:line="14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240" w:firstLine="8"/>
        <w:spacing w:after="0" w:line="27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8, 2021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-10160</wp:posOffset>
            </wp:positionV>
            <wp:extent cx="2051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105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Julio Rodriguez</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upp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2021-06-08T14:40:38Z</dcterms:created>
  <dcterms:modified xsi:type="dcterms:W3CDTF">2021-06-08T14:40:38Z</dcterms:modified>
</cp:coreProperties>
</file>