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tLeast" w:line="142" w:before="0" w:after="0"/>
        <w:ind w:left="0" w:right="0" w:hanging="0"/>
        <w:jc w:val="center"/>
        <w:rPr/>
      </w:pPr>
      <w:bookmarkStart w:id="0" w:name="tmb-20240331x10q.htm"/>
      <w:bookmarkStart w:id="1" w:name="kstmb20240331x10q"/>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8"/>
        </w:rPr>
      </w:pPr>
      <w:bookmarkStart w:id="2" w:name="_0dfe4b67_5ede_41e2_aeed_ab9f9950ce7f"/>
      <w:bookmarkEnd w:id="2"/>
      <w:r>
        <w:rPr>
          <w:rFonts w:ascii="Arial;Helvetica;sans-serif" w:hAnsi="Arial;Helvetica;sans-serif"/>
          <w:b/>
          <w:sz w:val="28"/>
        </w:rPr>
        <w:t>UNITED STATES SECURITIES AND EXCHANGE COMMISSION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FORM 10-Q</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CzfK3SWYLEyAjGshk1Vuww_2_1"/>
      <w:bookmarkStart w:id="4" w:name="Tc_9Ds_6oG5nUmEEWu5HG89WA_1_1"/>
      <w:bookmarkStart w:id="5" w:name="_c8e6e9d3_93d2_4085_b709_0e522a1b55e6"/>
      <w:bookmarkStart w:id="6" w:name="Tc_CzfK3SWYLEyAjGshk1Vuww_2_1"/>
      <w:bookmarkStart w:id="7" w:name="Tc_9Ds_6oG5nUmEEWu5HG89WA_1_1"/>
      <w:bookmarkStart w:id="8" w:name="_c8e6e9d3_93d2_4085_b709_0e522a1b55e6"/>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QUARTERLY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both"/>
              <w:rPr/>
            </w:pPr>
            <w:r>
              <w:rPr/>
              <w:t>​</w:t>
            </w:r>
          </w:p>
        </w:tc>
        <w:tc>
          <w:tcPr>
            <w:tcW w:w="9874"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For the quarterly period ended March 31, 2024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OR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 w:name="Tc_M1GUUJ7ezE2PsDFxiH503A_2_1"/>
      <w:bookmarkStart w:id="10" w:name="Tc_FB3UdWM1g0OX7emKnebCDQ_1_1"/>
      <w:bookmarkStart w:id="11" w:name="_08da8af5_5af5_4ad4_9704_7a69b8d3d65e"/>
      <w:bookmarkStart w:id="12" w:name="Tc_M1GUUJ7ezE2PsDFxiH503A_2_1"/>
      <w:bookmarkStart w:id="13" w:name="Tc_FB3UdWM1g0OX7emKnebCDQ_1_1"/>
      <w:bookmarkStart w:id="14" w:name="_08da8af5_5af5_4ad4_9704_7a69b8d3d65e"/>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9874"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both"/>
              <w:rPr/>
            </w:pPr>
            <w:r>
              <w:rPr/>
              <w:t>​</w:t>
            </w:r>
          </w:p>
        </w:tc>
        <w:tc>
          <w:tcPr>
            <w:tcW w:w="9874"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For the transition period from                 to</w:t>
            </w:r>
          </w:p>
        </w:tc>
      </w:tr>
    </w:tbl>
    <w:p>
      <w:pPr>
        <w:pStyle w:val="TextBody"/>
        <w:bidi w:val="0"/>
        <w:spacing w:before="0" w:after="240"/>
        <w:ind w:left="0" w:right="0" w:hanging="0"/>
        <w:jc w:val="left"/>
        <w:rPr/>
      </w:pPr>
      <w:r>
        <w:rPr/>
        <w:t>​</w:t>
      </w:r>
    </w:p>
    <w:p>
      <w:pPr>
        <w:pStyle w:val="TextBody"/>
        <w:bidi w:val="0"/>
        <w:spacing w:before="0" w:after="120"/>
        <w:ind w:left="0" w:right="0" w:hanging="0"/>
        <w:jc w:val="center"/>
        <w:rPr>
          <w:rFonts w:ascii="Arial;Helvetica;sans-serif" w:hAnsi="Arial;Helvetica;sans-serif"/>
          <w:b/>
          <w:sz w:val="20"/>
        </w:rPr>
      </w:pPr>
      <w:r>
        <w:rPr>
          <w:rFonts w:ascii="Arial;Helvetica;sans-serif" w:hAnsi="Arial;Helvetica;sans-serif"/>
          <w:b/>
          <w:sz w:val="20"/>
        </w:rPr>
        <w:t>Commission File Number: 001-38821</w:t>
      </w:r>
    </w:p>
    <w:p>
      <w:pPr>
        <w:pStyle w:val="TextBody"/>
        <w:bidi w:val="0"/>
        <w:spacing w:before="0" w:after="0"/>
        <w:ind w:left="0" w:right="0" w:hanging="0"/>
        <w:jc w:val="center"/>
        <w:rPr>
          <w:rFonts w:ascii="Arial;Helvetica;sans-serif" w:hAnsi="Arial;Helvetica;sans-serif"/>
          <w:b/>
          <w:sz w:val="32"/>
        </w:rPr>
      </w:pPr>
      <w:r>
        <w:rPr>
          <w:rFonts w:ascii="Arial;Helvetica;sans-serif" w:hAnsi="Arial;Helvetica;sans-serif"/>
          <w:b/>
          <w:sz w:val="32"/>
        </w:rPr>
        <w:t>NU RIDE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(Exact name of registrant as specified in its charter)</w:t>
      </w:r>
    </w:p>
    <w:p>
      <w:pPr>
        <w:pStyle w:val="TextBody"/>
        <w:bidi w:val="0"/>
        <w:spacing w:before="0" w:after="240"/>
        <w:ind w:left="0" w:right="0" w:hanging="0"/>
        <w:jc w:val="left"/>
        <w:rPr/>
      </w:pPr>
      <w:r>
        <w:rPr/>
        <w:t>​</w:t>
      </w:r>
    </w:p>
    <w:tbl>
      <w:tblPr>
        <w:tblW w:w="8478" w:type="dxa"/>
        <w:jc w:val="left"/>
        <w:tblInd w:w="0" w:type="dxa"/>
        <w:tblLayout w:type="fixed"/>
        <w:tblCellMar>
          <w:top w:w="0" w:type="dxa"/>
          <w:left w:w="0" w:type="dxa"/>
          <w:bottom w:w="0" w:type="dxa"/>
          <w:right w:w="0" w:type="dxa"/>
        </w:tblCellMar>
      </w:tblPr>
      <w:tblGrid>
        <w:gridCol w:w="2956"/>
        <w:gridCol w:w="3721"/>
        <w:gridCol w:w="1801"/>
      </w:tblGrid>
      <w:tr>
        <w:trPr/>
        <w:tc>
          <w:tcPr>
            <w:tcW w:w="295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Arial;Helvetica;sans-serif" w:hAnsi="Arial;Helvetica;sans-serif"/>
                <w:b/>
                <w:sz w:val="20"/>
              </w:rPr>
              <w:t>Delaware</w:t>
            </w:r>
            <w:r>
              <w:rPr>
                <w:rFonts w:ascii="Times New Roman;Times;serif" w:hAnsi="Times New Roman;Times;serif"/>
                <w:sz w:val="24"/>
              </w:rPr>
              <w:t xml:space="preserve"> </w:t>
            </w:r>
            <w:r>
              <w:rPr>
                <w:rFonts w:ascii="Arial;Helvetica;sans-serif" w:hAnsi="Arial;Helvetica;sans-serif"/>
                <w:sz w:val="20"/>
              </w:rPr>
              <w:br/>
            </w:r>
            <w:r>
              <w:rPr>
                <w:rFonts w:ascii="Arial;Helvetica;sans-serif" w:hAnsi="Arial;Helvetica;sans-serif"/>
                <w:b/>
                <w:sz w:val="20"/>
              </w:rPr>
              <w:t>(State or Other Jurisdiction of</w:t>
            </w:r>
            <w:r>
              <w:rPr>
                <w:rFonts w:ascii="Times New Roman;Times;serif" w:hAnsi="Times New Roman;Times;serif"/>
                <w:sz w:val="24"/>
              </w:rPr>
              <w:t xml:space="preserve"> </w:t>
            </w:r>
            <w:r>
              <w:rPr>
                <w:rFonts w:ascii="Arial;Helvetica;sans-serif" w:hAnsi="Arial;Helvetica;sans-serif"/>
                <w:sz w:val="20"/>
              </w:rPr>
              <w:br/>
            </w:r>
            <w:r>
              <w:rPr>
                <w:rFonts w:ascii="Arial;Helvetica;sans-serif" w:hAnsi="Arial;Helvetica;sans-serif"/>
                <w:b/>
                <w:sz w:val="20"/>
              </w:rPr>
              <w:t>Incorporation or Organization)</w:t>
            </w:r>
          </w:p>
        </w:tc>
        <w:tc>
          <w:tcPr>
            <w:tcW w:w="3721"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Arial;Helvetica;sans-serif" w:hAnsi="Arial;Helvetica;sans-serif"/>
                <w:b/>
                <w:sz w:val="20"/>
              </w:rPr>
              <w:t>83-2533239</w:t>
            </w:r>
            <w:r>
              <w:rPr>
                <w:rFonts w:ascii="Times New Roman;Times;serif" w:hAnsi="Times New Roman;Times;serif"/>
                <w:sz w:val="24"/>
              </w:rPr>
              <w:t xml:space="preserve"> </w:t>
            </w:r>
            <w:r>
              <w:rPr>
                <w:rFonts w:ascii="Arial;Helvetica;sans-serif" w:hAnsi="Arial;Helvetica;sans-serif"/>
                <w:b/>
                <w:sz w:val="20"/>
              </w:rPr>
              <w:br/>
              <w:t xml:space="preserve">(I.R.S. Employer </w:t>
              <w:br/>
              <w:t>Identification No.)</w:t>
            </w:r>
          </w:p>
        </w:tc>
      </w:tr>
      <w:tr>
        <w:trPr/>
        <w:tc>
          <w:tcPr>
            <w:tcW w:w="2956" w:type="dxa"/>
            <w:tcBorders/>
            <w:vAlign w:val="center"/>
          </w:tcPr>
          <w:p>
            <w:pPr>
              <w:pStyle w:val="TableContents"/>
              <w:bidi w:val="0"/>
              <w:spacing w:before="0" w:after="0"/>
              <w:ind w:left="0" w:right="0" w:hanging="0"/>
              <w:jc w:val="left"/>
              <w:rPr/>
            </w:pPr>
            <w:r>
              <w:rPr/>
              <w:t>​</w:t>
            </w:r>
          </w:p>
        </w:tc>
        <w:tc>
          <w:tcPr>
            <w:tcW w:w="3721" w:type="dxa"/>
            <w:tcBorders/>
            <w:vAlign w:val="center"/>
          </w:tcPr>
          <w:p>
            <w:pPr>
              <w:pStyle w:val="TableContents"/>
              <w:bidi w:val="0"/>
              <w:spacing w:lineRule="auto" w:line="240" w:before="0" w:after="0"/>
              <w:ind w:left="0" w:right="0" w:hanging="0"/>
              <w:jc w:val="center"/>
              <w:rPr>
                <w:rFonts w:ascii="Times New Roman;Times;serif" w:hAnsi="Times New Roman;Times;serif"/>
                <w:sz w:val="24"/>
              </w:rPr>
            </w:pPr>
            <w:r>
              <w:rPr>
                <w:rFonts w:ascii="Arial;Helvetica;sans-serif" w:hAnsi="Arial;Helvetica;sans-serif"/>
                <w:b/>
                <w:sz w:val="20"/>
              </w:rPr>
              <w:t>1700 Broadway, 19</w:t>
            </w:r>
            <w:r>
              <w:rPr>
                <w:rFonts w:ascii="Arial;Helvetica;sans-serif" w:hAnsi="Arial;Helvetica;sans-serif"/>
                <w:b/>
                <w:sz w:val="15"/>
              </w:rPr>
              <w:t>th</w:t>
            </w:r>
            <w:r>
              <w:rPr>
                <w:rFonts w:ascii="Times New Roman;Times;serif" w:hAnsi="Times New Roman;Times;serif"/>
                <w:sz w:val="24"/>
              </w:rPr>
              <w:t xml:space="preserve"> </w:t>
            </w:r>
            <w:r>
              <w:rPr>
                <w:rFonts w:ascii="Arial;Helvetica;sans-serif" w:hAnsi="Arial;Helvetica;sans-serif"/>
                <w:b/>
                <w:sz w:val="20"/>
              </w:rPr>
              <w:t>Floor</w:t>
              <w:br/>
              <w:t>New York, New York</w:t>
            </w:r>
            <w:r>
              <w:rPr>
                <w:rFonts w:ascii="Times New Roman;Times;serif" w:hAnsi="Times New Roman;Times;serif"/>
                <w:sz w:val="24"/>
              </w:rPr>
              <w:t xml:space="preserve"> </w:t>
            </w:r>
            <w:r>
              <w:rPr>
                <w:rFonts w:ascii="Arial;Helvetica;sans-serif" w:hAnsi="Arial;Helvetica;sans-serif"/>
                <w:b/>
                <w:sz w:val="20"/>
              </w:rPr>
              <w:t>10019</w:t>
              <w:br/>
              <w:t>(Address of principal executive offices)</w:t>
            </w:r>
          </w:p>
        </w:tc>
        <w:tc>
          <w:tcPr>
            <w:tcW w:w="18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Arial;Helvetica;sans-serif" w:hAnsi="Arial;Helvetica;sans-serif"/>
          <w:b/>
          <w:sz w:val="16"/>
        </w:rPr>
      </w:pPr>
      <w:r>
        <w:rPr>
          <w:rFonts w:ascii="Arial;Helvetica;sans-serif" w:hAnsi="Arial;Helvetica;sans-serif"/>
          <w:b/>
          <w:sz w:val="16"/>
        </w:rPr>
        <w:t>Registrant’s telephone number, including area code: (212) 202-2200</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 w:name="Tc_YRZCRMrJz0G47qGWH_7y_g_4_0"/>
      <w:bookmarkStart w:id="16" w:name="Tc_5vefLKvF90KRhIDDdsdlxw_3_0"/>
      <w:bookmarkStart w:id="17" w:name="Tc_SvmNntFhVEW5AoXFdgfvbw_2_4"/>
      <w:bookmarkStart w:id="18" w:name="Tc_-PqcmKCo30yDNZwV7MDHOQ_2_2"/>
      <w:bookmarkStart w:id="19" w:name="Tc_-_Ftxpfiy023yGi1CimJTg_2_0"/>
      <w:bookmarkStart w:id="20" w:name="_201ccc82_0bd3_43c9_af87_21807187633d"/>
      <w:bookmarkStart w:id="21" w:name="Tc_YRZCRMrJz0G47qGWH_7y_g_4_0"/>
      <w:bookmarkStart w:id="22" w:name="Tc_5vefLKvF90KRhIDDdsdlxw_3_0"/>
      <w:bookmarkStart w:id="23" w:name="Tc_SvmNntFhVEW5AoXFdgfvbw_2_4"/>
      <w:bookmarkStart w:id="24" w:name="Tc_-PqcmKCo30yDNZwV7MDHOQ_2_2"/>
      <w:bookmarkStart w:id="25" w:name="Tc_-_Ftxpfiy023yGi1CimJTg_2_0"/>
      <w:bookmarkStart w:id="26" w:name="_201ccc82_0bd3_43c9_af87_21807187633d"/>
      <w:bookmarkEnd w:id="21"/>
      <w:bookmarkEnd w:id="22"/>
      <w:bookmarkEnd w:id="23"/>
      <w:bookmarkEnd w:id="24"/>
      <w:bookmarkEnd w:id="25"/>
      <w:bookmarkEnd w:id="26"/>
    </w:p>
    <w:tbl>
      <w:tblPr>
        <w:tblW w:w="9284" w:type="dxa"/>
        <w:jc w:val="left"/>
        <w:tblInd w:w="0" w:type="dxa"/>
        <w:tblLayout w:type="fixed"/>
        <w:tblCellMar>
          <w:top w:w="0" w:type="dxa"/>
          <w:left w:w="0" w:type="dxa"/>
          <w:bottom w:w="0" w:type="dxa"/>
          <w:right w:w="0" w:type="dxa"/>
        </w:tblCellMar>
      </w:tblPr>
      <w:tblGrid>
        <w:gridCol w:w="2686"/>
        <w:gridCol w:w="326"/>
        <w:gridCol w:w="1576"/>
        <w:gridCol w:w="326"/>
        <w:gridCol w:w="4216"/>
        <w:gridCol w:w="154"/>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tLeast" w:line="142" w:before="0" w:after="0"/>
              <w:ind w:left="0" w:right="0" w:hanging="0"/>
              <w:jc w:val="left"/>
              <w:rPr/>
            </w:pPr>
            <w:r>
              <w:rPr/>
              <w:t>​</w:t>
            </w:r>
          </w:p>
        </w:tc>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tLeast" w:line="142" w:before="0" w:after="0"/>
              <w:ind w:left="0" w:right="0" w:hanging="0"/>
              <w:jc w:val="left"/>
              <w:rPr/>
            </w:pPr>
            <w:r>
              <w:rPr/>
              <w:t>​</w:t>
            </w:r>
          </w:p>
        </w:tc>
        <w:tc>
          <w:tcPr>
            <w:tcW w:w="421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tLeast" w:line="142" w:before="0" w:after="0"/>
              <w:ind w:left="0" w:right="0" w:hanging="0"/>
              <w:jc w:val="left"/>
              <w:rPr/>
            </w:pPr>
            <w:r>
              <w:rPr/>
              <w:t>​</w:t>
            </w:r>
          </w:p>
        </w:tc>
      </w:tr>
      <w:tr>
        <w:trPr/>
        <w:tc>
          <w:tcPr>
            <w:tcW w:w="268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tLeast" w:line="142" w:before="0" w:after="0"/>
              <w:ind w:left="0" w:right="0" w:hanging="0"/>
              <w:jc w:val="left"/>
              <w:rPr/>
            </w:pPr>
            <w:r>
              <w:rPr/>
              <w:t>​</w:t>
            </w:r>
          </w:p>
        </w:tc>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lineRule="atLeast" w:line="142" w:before="0" w:after="0"/>
              <w:ind w:left="0" w:right="0" w:hanging="0"/>
              <w:jc w:val="left"/>
              <w:rPr/>
            </w:pPr>
            <w:r>
              <w:rPr/>
              <w:t>​</w:t>
            </w:r>
          </w:p>
        </w:tc>
        <w:tc>
          <w:tcPr>
            <w:tcW w:w="421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lineRule="atLeast" w:line="142" w:before="0" w:after="0"/>
              <w:ind w:left="0" w:right="0" w:hanging="0"/>
              <w:jc w:val="left"/>
              <w:rPr/>
            </w:pPr>
            <w:r>
              <w:rPr/>
              <w:t>​</w:t>
            </w:r>
          </w:p>
        </w:tc>
      </w:tr>
      <w:tr>
        <w:trPr/>
        <w:tc>
          <w:tcPr>
            <w:tcW w:w="2686" w:type="dxa"/>
            <w:tcBorders/>
            <w:vAlign w:val="center"/>
          </w:tcPr>
          <w:p>
            <w:pPr>
              <w:pStyle w:val="TableContents"/>
              <w:pBdr/>
              <w:bidi w:val="0"/>
              <w:spacing w:before="0" w:after="0"/>
              <w:ind w:left="0" w:right="0" w:hanging="0"/>
              <w:jc w:val="center"/>
              <w:rPr>
                <w:rFonts w:ascii="Arial;Helvetica;sans-serif" w:hAnsi="Arial;Helvetica;sans-serif"/>
                <w:b/>
                <w:sz w:val="20"/>
              </w:rPr>
            </w:pPr>
            <w:r>
              <w:rPr>
                <w:rFonts w:ascii="Arial;Helvetica;sans-serif" w:hAnsi="Arial;Helvetica;sans-serif"/>
                <w:b/>
                <w:sz w:val="20"/>
              </w:rPr>
              <w:t>Title of each class</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Trading symbol</w:t>
            </w:r>
          </w:p>
        </w:tc>
        <w:tc>
          <w:tcPr>
            <w:tcW w:w="326" w:type="dxa"/>
            <w:tcBorders/>
            <w:vAlign w:val="center"/>
          </w:tcPr>
          <w:p>
            <w:pPr>
              <w:pStyle w:val="TableContents"/>
              <w:bidi w:val="0"/>
              <w:spacing w:before="0" w:after="0"/>
              <w:ind w:left="0" w:right="0" w:hanging="0"/>
              <w:jc w:val="left"/>
              <w:rPr/>
            </w:pPr>
            <w:r>
              <w:rPr/>
              <w:t>    </w:t>
            </w:r>
          </w:p>
        </w:tc>
        <w:tc>
          <w:tcPr>
            <w:tcW w:w="421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Name of each exchange on which registered</w:t>
            </w:r>
          </w:p>
        </w:tc>
        <w:tc>
          <w:tcPr>
            <w:tcW w:w="154" w:type="dxa"/>
            <w:tcBorders/>
            <w:vAlign w:val="center"/>
          </w:tcPr>
          <w:p>
            <w:pPr>
              <w:pStyle w:val="TableContents"/>
              <w:bidi w:val="0"/>
              <w:spacing w:before="0" w:after="240"/>
              <w:ind w:left="0" w:right="0" w:hanging="0"/>
              <w:jc w:val="left"/>
              <w:rPr/>
            </w:pPr>
            <w:r>
              <w:rPr/>
              <w:t>​</w:t>
            </w:r>
          </w:p>
        </w:tc>
      </w:tr>
      <w:tr>
        <w:trPr/>
        <w:tc>
          <w:tcPr>
            <w:tcW w:w="2686" w:type="dxa"/>
            <w:tcBorders/>
            <w:vAlign w:val="center"/>
          </w:tcPr>
          <w:p>
            <w:pPr>
              <w:pStyle w:val="TableContents"/>
              <w:pBdr/>
              <w:bidi w:val="0"/>
              <w:spacing w:before="0" w:after="0"/>
              <w:ind w:left="0" w:right="0" w:hanging="0"/>
              <w:jc w:val="center"/>
              <w:rPr>
                <w:rFonts w:ascii="Arial;Helvetica;sans-serif" w:hAnsi="Arial;Helvetica;sans-serif"/>
                <w:b/>
                <w:sz w:val="20"/>
              </w:rPr>
            </w:pPr>
            <w:r>
              <w:rPr>
                <w:rFonts w:ascii="Arial;Helvetica;sans-serif" w:hAnsi="Arial;Helvetica;sans-serif"/>
                <w:b/>
                <w:sz w:val="20"/>
              </w:rPr>
              <w:t>Class A common stock, par</w:t>
            </w:r>
          </w:p>
        </w:tc>
        <w:tc>
          <w:tcPr>
            <w:tcW w:w="326" w:type="dxa"/>
            <w:tcBorders/>
            <w:vAlign w:val="center"/>
          </w:tcPr>
          <w:p>
            <w:pPr>
              <w:pStyle w:val="TableContents"/>
              <w:bidi w:val="0"/>
              <w:spacing w:before="0" w:after="240"/>
              <w:ind w:left="0" w:right="0" w:hanging="0"/>
              <w:jc w:val="left"/>
              <w:rPr/>
            </w:pPr>
            <w:r>
              <w:rPr/>
              <w:t>​</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NRDE</w:t>
            </w:r>
          </w:p>
        </w:tc>
        <w:tc>
          <w:tcPr>
            <w:tcW w:w="326" w:type="dxa"/>
            <w:tcBorders/>
            <w:vAlign w:val="center"/>
          </w:tcPr>
          <w:p>
            <w:pPr>
              <w:pStyle w:val="TableContents"/>
              <w:bidi w:val="0"/>
              <w:spacing w:before="0" w:after="240"/>
              <w:ind w:left="0" w:right="0" w:hanging="0"/>
              <w:jc w:val="left"/>
              <w:rPr/>
            </w:pPr>
            <w:r>
              <w:rPr/>
              <w:t>​</w:t>
            </w:r>
          </w:p>
        </w:tc>
        <w:tc>
          <w:tcPr>
            <w:tcW w:w="4216" w:type="dxa"/>
            <w:tcBorders/>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OTC Pink*</w:t>
            </w:r>
          </w:p>
        </w:tc>
        <w:tc>
          <w:tcPr>
            <w:tcW w:w="154" w:type="dxa"/>
            <w:tcBorders/>
            <w:vAlign w:val="center"/>
          </w:tcPr>
          <w:p>
            <w:pPr>
              <w:pStyle w:val="TableContents"/>
              <w:bidi w:val="0"/>
              <w:spacing w:before="0" w:after="240"/>
              <w:ind w:left="0" w:right="0" w:hanging="0"/>
              <w:jc w:val="left"/>
              <w:rPr/>
            </w:pPr>
            <w:r>
              <w:rPr/>
              <w:t>​</w:t>
            </w:r>
          </w:p>
        </w:tc>
      </w:tr>
      <w:tr>
        <w:trPr/>
        <w:tc>
          <w:tcPr>
            <w:tcW w:w="2686" w:type="dxa"/>
            <w:tcBorders/>
            <w:vAlign w:val="center"/>
          </w:tcPr>
          <w:p>
            <w:pPr>
              <w:pStyle w:val="TableContents"/>
              <w:pBdr/>
              <w:bidi w:val="0"/>
              <w:spacing w:before="0" w:after="0"/>
              <w:ind w:left="0" w:right="0" w:hanging="0"/>
              <w:jc w:val="center"/>
              <w:rPr>
                <w:rFonts w:ascii="Arial;Helvetica;sans-serif" w:hAnsi="Arial;Helvetica;sans-serif"/>
                <w:b/>
                <w:sz w:val="20"/>
              </w:rPr>
            </w:pPr>
            <w:r>
              <w:rPr>
                <w:rFonts w:ascii="Arial;Helvetica;sans-serif" w:hAnsi="Arial;Helvetica;sans-serif"/>
                <w:b/>
                <w:sz w:val="20"/>
              </w:rPr>
              <w:t>value $0.0001 per share</w:t>
            </w:r>
          </w:p>
        </w:tc>
        <w:tc>
          <w:tcPr>
            <w:tcW w:w="326" w:type="dxa"/>
            <w:tcBorders/>
            <w:vAlign w:val="center"/>
          </w:tcPr>
          <w:p>
            <w:pPr>
              <w:pStyle w:val="TableContents"/>
              <w:bidi w:val="0"/>
              <w:spacing w:before="0" w:after="240"/>
              <w:ind w:left="0" w:right="0" w:hanging="0"/>
              <w:jc w:val="left"/>
              <w:rPr/>
            </w:pPr>
            <w:r>
              <w:rPr/>
              <w:t>​</w:t>
            </w:r>
          </w:p>
        </w:tc>
        <w:tc>
          <w:tcPr>
            <w:tcW w:w="157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left"/>
              <w:rPr/>
            </w:pPr>
            <w:r>
              <w:rPr/>
              <w:t>​</w:t>
            </w:r>
          </w:p>
        </w:tc>
        <w:tc>
          <w:tcPr>
            <w:tcW w:w="4216" w:type="dxa"/>
            <w:tcBorders/>
            <w:vAlign w:val="center"/>
          </w:tcPr>
          <w:p>
            <w:pPr>
              <w:pStyle w:val="TableContents"/>
              <w:bidi w:val="0"/>
              <w:spacing w:before="0" w:after="240"/>
              <w:ind w:left="0" w:right="0" w:hanging="0"/>
              <w:jc w:val="left"/>
              <w:rPr/>
            </w:pPr>
            <w:r>
              <w:rPr/>
              <w:t>​</w:t>
            </w:r>
          </w:p>
        </w:tc>
        <w:tc>
          <w:tcPr>
            <w:tcW w:w="154"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Arial;Helvetica;sans-serif" w:hAnsi="Arial;Helvetica;sans-serif"/>
          <w:sz w:val="20"/>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w:t>
      </w:r>
      <w:r>
        <w:rPr>
          <w:rFonts w:ascii="Arial;Helvetica;sans-serif" w:hAnsi="Arial;Helvetica;sans-serif"/>
          <w:sz w:val="16"/>
        </w:rPr>
        <w:t>No </w:t>
      </w:r>
      <w:r>
        <w:rPr>
          <w:rFonts w:ascii="Arial;Helvetica;sans-serif" w:hAnsi="Arial;Helvetica;sans-serif"/>
          <w:sz w:val="20"/>
        </w:rPr>
        <w:t>☐</w:t>
      </w:r>
    </w:p>
    <w:p>
      <w:pPr>
        <w:pStyle w:val="TextBody"/>
        <w:bidi w:val="0"/>
        <w:spacing w:before="0" w:after="120"/>
        <w:ind w:left="0" w:right="0" w:firstLine="360"/>
        <w:jc w:val="left"/>
        <w:rPr>
          <w:rFonts w:ascii="Arial;Helvetica;sans-serif" w:hAnsi="Arial;Helvetica;sans-serif"/>
          <w:sz w:val="20"/>
        </w:rPr>
      </w:pPr>
      <w:r>
        <w:rPr>
          <w:rFonts w:ascii="Arial;Helvetica;sans-serif" w:hAnsi="Arial;Helvetica;san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Arial;Helvetica;sans-serif" w:hAnsi="Arial;Helvetica;sans-serif"/>
          <w:sz w:val="20"/>
        </w:rPr>
        <w:t> ☒ </w:t>
      </w:r>
      <w:r>
        <w:rPr>
          <w:rFonts w:ascii="Arial;Helvetica;sans-serif" w:hAnsi="Arial;Helvetica;sans-serif"/>
          <w:sz w:val="16"/>
        </w:rPr>
        <w:t>No </w:t>
      </w:r>
      <w:r>
        <w:rPr>
          <w:rFonts w:ascii="Arial;Helvetica;sans-serif" w:hAnsi="Arial;Helvetica;sans-serif"/>
          <w:sz w:val="20"/>
        </w:rPr>
        <w:t>☐</w:t>
      </w:r>
    </w:p>
    <w:p>
      <w:pPr>
        <w:pStyle w:val="TextBody"/>
        <w:bidi w:val="0"/>
        <w:spacing w:before="0" w:after="120"/>
        <w:ind w:left="0" w:right="0" w:firstLine="36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33" w:type="dxa"/>
        <w:jc w:val="left"/>
        <w:tblInd w:w="0" w:type="dxa"/>
        <w:tblLayout w:type="fixed"/>
        <w:tblCellMar>
          <w:top w:w="0" w:type="dxa"/>
          <w:left w:w="0" w:type="dxa"/>
          <w:bottom w:w="0" w:type="dxa"/>
          <w:right w:w="0" w:type="dxa"/>
        </w:tblCellMar>
      </w:tblPr>
      <w:tblGrid>
        <w:gridCol w:w="1861"/>
        <w:gridCol w:w="698"/>
        <w:gridCol w:w="698"/>
        <w:gridCol w:w="1876"/>
      </w:tblGrid>
      <w:tr>
        <w:trPr/>
        <w:tc>
          <w:tcPr>
            <w:tcW w:w="186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39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w:t>
            </w:r>
          </w:p>
        </w:tc>
        <w:tc>
          <w:tcPr>
            <w:tcW w:w="187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16"/>
              </w:rPr>
              <w:t>Non-accelerated filer</w:t>
            </w:r>
            <w:r>
              <w:rPr>
                <w:rFonts w:ascii="Times New Roman;Times;serif" w:hAnsi="Times New Roman;Times;serif"/>
                <w:sz w:val="24"/>
              </w:rPr>
              <w:t xml:space="preserve"> ☒</w:t>
            </w:r>
          </w:p>
        </w:tc>
      </w:tr>
      <w:tr>
        <w:trPr/>
        <w:tc>
          <w:tcPr>
            <w:tcW w:w="2559" w:type="dxa"/>
            <w:gridSpan w:val="2"/>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16"/>
              </w:rPr>
              <w:t xml:space="preserve">Smaller reporting company </w:t>
            </w:r>
            <w:r>
              <w:rPr>
                <w:rFonts w:ascii="Times New Roman;Times;serif" w:hAnsi="Times New Roman;Times;serif"/>
                <w:sz w:val="24"/>
              </w:rPr>
              <w:t>☒</w:t>
            </w:r>
          </w:p>
        </w:tc>
        <w:tc>
          <w:tcPr>
            <w:tcW w:w="2574" w:type="dxa"/>
            <w:gridSpan w:val="2"/>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16"/>
              </w:rPr>
              <w:t xml:space="preserve">Emerging growth company </w:t>
            </w: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Arial;Helvetica;sans-serif" w:hAnsi="Arial;Helvetica;sans-serif"/>
          <w:sz w:val="16"/>
        </w:rPr>
      </w:pPr>
      <w:r>
        <w:rPr>
          <w:rFonts w:ascii="Arial;Helvetica;sans-serif" w:hAnsi="Arial;Helvetica;san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firstLine="360"/>
        <w:jc w:val="left"/>
        <w:rPr>
          <w:rFonts w:ascii="Arial;Helvetica;sans-serif" w:hAnsi="Arial;Helvetica;sans-serif"/>
          <w:sz w:val="20"/>
        </w:rPr>
      </w:pPr>
      <w:r>
        <w:rPr>
          <w:rFonts w:ascii="Arial;Helvetica;sans-serif" w:hAnsi="Arial;Helvetica;sans-serif"/>
          <w:sz w:val="16"/>
        </w:rPr>
        <w:t>Indicate by check mark whether the registrant is a shell company (as defined in Rule 12b-2 of the Exchange Act). Yes </w:t>
      </w:r>
      <w:r>
        <w:rPr>
          <w:rFonts w:ascii="Arial;Helvetica;sans-serif" w:hAnsi="Arial;Helvetica;sans-serif"/>
          <w:sz w:val="20"/>
        </w:rPr>
        <w:t>☒ </w:t>
      </w:r>
      <w:r>
        <w:rPr>
          <w:rFonts w:ascii="Arial;Helvetica;sans-serif" w:hAnsi="Arial;Helvetica;sans-serif"/>
          <w:sz w:val="16"/>
        </w:rPr>
        <w:t xml:space="preserve">No </w:t>
      </w:r>
      <w:r>
        <w:rPr>
          <w:rFonts w:ascii="Arial;Helvetica;sans-serif" w:hAnsi="Arial;Helvetica;sans-serif"/>
          <w:sz w:val="20"/>
        </w:rPr>
        <w:t>☐</w:t>
      </w:r>
    </w:p>
    <w:p>
      <w:pPr>
        <w:pStyle w:val="TextBody"/>
        <w:bidi w:val="0"/>
        <w:spacing w:before="0" w:after="120"/>
        <w:ind w:left="0" w:right="0" w:firstLine="360"/>
        <w:jc w:val="left"/>
        <w:rPr>
          <w:rFonts w:ascii="Arial;Helvetica;sans-serif" w:hAnsi="Arial;Helvetica;sans-serif"/>
          <w:sz w:val="16"/>
        </w:rPr>
      </w:pPr>
      <w:r>
        <w:rPr>
          <w:rFonts w:ascii="Arial;Helvetica;sans-serif" w:hAnsi="Arial;Helvetica;sans-serif"/>
          <w:sz w:val="16"/>
        </w:rPr>
        <w:t>As of May 10, 2024, 16,096,296 shares of the registrant’s Class A common stock were outstanding.</w:t>
      </w:r>
    </w:p>
    <w:p>
      <w:pPr>
        <w:pStyle w:val="TextBody"/>
        <w:bidi w:val="0"/>
        <w:spacing w:before="0" w:after="0"/>
        <w:ind w:left="360" w:right="0" w:hanging="0"/>
        <w:jc w:val="left"/>
        <w:rPr>
          <w:rFonts w:ascii="Arial;Helvetica;sans-serif" w:hAnsi="Arial;Helvetica;sans-serif"/>
          <w:sz w:val="16"/>
        </w:rPr>
      </w:pPr>
      <w:r>
        <w:rPr>
          <w:rFonts w:ascii="Arial;Helvetica;sans-serif" w:hAnsi="Arial;Helvetica;sans-serif"/>
          <w:sz w:val="16"/>
        </w:rPr>
        <w:t>* The registrant’s Class A common stock began trading exclusively on the over-the-counter market on July 7, 2023 under the symbol “RIDEQ.” On March 14, 2024, upon the Registrants emergence from Chapter 11 bankruptcy proceedings, the ticker symbol changed to “NRDE”.</w:t>
      </w:r>
    </w:p>
    <w:p>
      <w:pPr>
        <w:pStyle w:val="TextBody"/>
        <w:bidi w:val="0"/>
        <w:spacing w:before="0" w:after="240"/>
        <w:ind w:left="0" w:right="0" w:firstLine="360"/>
        <w:jc w:val="center"/>
        <w:rPr/>
      </w:pPr>
      <w:r>
        <w:rPr/>
        <w:t>​</w:t>
      </w:r>
    </w:p>
    <w:p>
      <w:pPr>
        <w:pStyle w:val="TextBody"/>
        <w:pBdr>
          <w:top w:val="single" w:sz="8" w:space="1" w:color="000000"/>
          <w:bottom w:val="single" w:sz="24" w:space="1" w:color="000000"/>
        </w:pBdr>
        <w:bidi w:val="0"/>
        <w:spacing w:lineRule="atLeast" w:line="142"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7" w:name="_be1f219f_ab39_4c75_8299_ab914b622fdb"/>
      <w:bookmarkEnd w:id="27"/>
      <w:r>
        <w:rPr>
          <w:rFonts w:ascii="Arial;Helvetica;sans-serif" w:hAnsi="Arial;Helvetica;sans-serif"/>
          <w:b/>
          <w:sz w:val="20"/>
        </w:rPr>
        <w:t>Nu Ride Inc.</w:t>
      </w:r>
    </w:p>
    <w:p>
      <w:pPr>
        <w:pStyle w:val="TextBody"/>
        <w:bidi w:val="0"/>
        <w:spacing w:before="0" w:after="240"/>
        <w:ind w:left="0" w:right="0" w:hanging="0"/>
        <w:jc w:val="center"/>
        <w:rPr>
          <w:rFonts w:ascii="Arial;Helvetica;sans-serif" w:hAnsi="Arial;Helvetica;sans-serif"/>
          <w:b/>
          <w:sz w:val="20"/>
        </w:rPr>
      </w:pPr>
      <w:r>
        <w:rPr>
          <w:rFonts w:ascii="Arial;Helvetica;sans-serif" w:hAnsi="Arial;Helvetica;sans-serif"/>
          <w:b/>
          <w:sz w:val="20"/>
        </w:rPr>
        <w:t>f/k/a Lordstown Motors Corp.</w:t>
      </w:r>
    </w:p>
    <w:p>
      <w:pPr>
        <w:pStyle w:val="TextBody"/>
        <w:bidi w:val="0"/>
        <w:spacing w:before="0" w:after="240"/>
        <w:ind w:left="0" w:right="0" w:hanging="0"/>
        <w:jc w:val="center"/>
        <w:rPr>
          <w:rFonts w:ascii="Arial;Helvetica;sans-serif" w:hAnsi="Arial;Helvetica;sans-serif"/>
          <w:b/>
          <w:sz w:val="20"/>
        </w:rPr>
      </w:pPr>
      <w:bookmarkStart w:id="28" w:name="TOC"/>
      <w:bookmarkEnd w:id="28"/>
      <w:r>
        <w:rPr>
          <w:rFonts w:ascii="Arial;Helvetica;sans-serif" w:hAnsi="Arial;Helvetica;sans-serif"/>
          <w:b/>
          <w:sz w:val="20"/>
        </w:rPr>
        <w:t>INDEX</w:t>
      </w:r>
    </w:p>
    <w:tbl>
      <w:tblPr>
        <w:tblW w:w="10205" w:type="dxa"/>
        <w:jc w:val="left"/>
        <w:tblInd w:w="0" w:type="dxa"/>
        <w:tblLayout w:type="fixed"/>
        <w:tblCellMar>
          <w:top w:w="0" w:type="dxa"/>
          <w:left w:w="0" w:type="dxa"/>
          <w:bottom w:w="0" w:type="dxa"/>
          <w:right w:w="0" w:type="dxa"/>
        </w:tblCellMar>
      </w:tblPr>
      <w:tblGrid>
        <w:gridCol w:w="750"/>
        <w:gridCol w:w="326"/>
        <w:gridCol w:w="7665"/>
        <w:gridCol w:w="326"/>
        <w:gridCol w:w="850"/>
        <w:gridCol w:w="96"/>
        <w:gridCol w:w="24"/>
        <w:gridCol w:w="168"/>
      </w:tblGrid>
      <w:tr>
        <w:trPr/>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76250" cy="293370"/>
                      <wp:effectExtent l="0" t="0" r="0" b="0"/>
                      <wp:wrapNone/>
                      <wp:docPr id="1" name="Frame1"/>
                      <a:graphic xmlns:a="http://schemas.openxmlformats.org/drawingml/2006/main">
                        <a:graphicData uri="http://schemas.microsoft.com/office/word/2010/wordprocessingShape">
                          <wps:wsp>
                            <wps:cNvSpPr txBox="1"/>
                            <wps:spPr>
                              <a:xfrm>
                                <a:off x="0" y="0"/>
                                <a:ext cx="476250" cy="29337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2023</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867275" cy="175260"/>
                      <wp:effectExtent l="0" t="0" r="0" b="0"/>
                      <wp:wrapNone/>
                      <wp:docPr id="3" name="Frame3"/>
                      <a:graphic xmlns:a="http://schemas.openxmlformats.org/drawingml/2006/main">
                        <a:graphicData uri="http://schemas.microsoft.com/office/word/2010/wordprocessingShape">
                          <wps:wsp>
                            <wps:cNvSpPr txBox="1"/>
                            <wps:spPr>
                              <a:xfrm>
                                <a:off x="0" y="0"/>
                                <a:ext cx="4867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00710" cy="175260"/>
                      <wp:effectExtent l="0" t="0" r="0" b="0"/>
                      <wp:wrapNone/>
                      <wp:docPr id="5" name="Frame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1920" cy="175260"/>
                      <wp:effectExtent l="0" t="0" r="0" b="0"/>
                      <wp:wrapNone/>
                      <wp:docPr id="6" name="Frame6"/>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PAGE</w:t>
              <w:br/>
              <w:t>NUMBER</w:t>
            </w:r>
          </w:p>
        </w:tc>
        <w:tc>
          <w:tcPr>
            <w:tcW w:w="192"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8741" w:type="dxa"/>
            <w:gridSpan w:val="3"/>
            <w:tcBorders/>
            <w:vAlign w:val="center"/>
          </w:tcPr>
          <w:p>
            <w:pPr>
              <w:pStyle w:val="TableContents"/>
              <w:bidi w:val="0"/>
              <w:spacing w:before="0" w:after="0"/>
              <w:ind w:left="0" w:right="0" w:hanging="0"/>
              <w:jc w:val="left"/>
              <w:rPr/>
            </w:pPr>
            <w:hyperlink w:anchor="PARTI_151027">
              <w:r>
                <w:rPr>
                  <w:rStyle w:val="InternetLink"/>
                  <w:rFonts w:ascii="Arial;Helvetica;sans-serif" w:hAnsi="Arial;Helvetica;sans-serif"/>
                  <w:b w:val="false"/>
                  <w:i w:val="false"/>
                  <w:caps w:val="false"/>
                  <w:smallCaps w:val="false"/>
                  <w:sz w:val="20"/>
                </w:rPr>
                <w:t>PART I FINANCIAL INFORMATION</w:t>
              </w:r>
            </w:hyperlink>
          </w:p>
        </w:tc>
        <w:tc>
          <w:tcPr>
            <w:tcW w:w="326" w:type="dxa"/>
            <w:tcBorders/>
            <w:vAlign w:val="center"/>
          </w:tcPr>
          <w:p>
            <w:pPr>
              <w:pStyle w:val="TableContents"/>
              <w:bidi w:val="0"/>
              <w:spacing w:before="0" w:after="0"/>
              <w:ind w:left="0" w:right="0" w:hanging="0"/>
              <w:jc w:val="left"/>
              <w:rPr/>
            </w:pPr>
            <w:r>
              <w:rPr/>
              <w:t>​</w:t>
            </w:r>
          </w:p>
        </w:tc>
        <w:tc>
          <w:tcPr>
            <w:tcW w:w="85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20" w:type="dxa"/>
            <w:gridSpan w:val="2"/>
            <w:tcBorders/>
            <w:vAlign w:val="center"/>
          </w:tcPr>
          <w:p>
            <w:pPr>
              <w:pStyle w:val="TableContents"/>
              <w:bidi w:val="0"/>
              <w:spacing w:before="0" w:after="0"/>
              <w:ind w:left="0" w:right="0" w:hanging="0"/>
              <w:jc w:val="left"/>
              <w:rPr/>
            </w:pPr>
            <w:r>
              <w:rPr/>
              <w:t>​</w:t>
            </w:r>
          </w:p>
        </w:tc>
        <w:tc>
          <w:tcPr>
            <w:tcW w:w="16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hyperlink w:anchor="Item1FinancialStatements_765159">
              <w:r>
                <w:rPr>
                  <w:rStyle w:val="InternetLink"/>
                  <w:rFonts w:ascii="Arial;Helvetica;sans-serif" w:hAnsi="Arial;Helvetica;san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Item1FinancialStatements_765159">
              <w:r>
                <w:rPr>
                  <w:rStyle w:val="InternetLink"/>
                  <w:rFonts w:ascii="Arial;Helvetica;sans-serif" w:hAnsi="Arial;Helvetica;sans-serif"/>
                  <w:b w:val="false"/>
                  <w:i w:val="false"/>
                  <w:caps w:val="false"/>
                  <w:smallCaps w:val="false"/>
                  <w:sz w:val="20"/>
                </w:rPr>
                <w:t>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BalanceSheets_440563">
              <w:r>
                <w:rPr>
                  <w:rStyle w:val="InternetLink"/>
                  <w:rFonts w:ascii="Arial;Helvetica;sans-serif" w:hAnsi="Arial;Helvetica;sans-serif"/>
                  <w:b w:val="false"/>
                  <w:i w:val="false"/>
                  <w:caps w:val="false"/>
                  <w:smallCaps w:val="false"/>
                  <w:sz w:val="20"/>
                </w:rPr>
                <w:t xml:space="preserve">Condensed Consolidated Balance Sheets as of March 31, 2024 and December 31, 2023 </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StatementsofOperations_941764">
              <w:r>
                <w:rPr>
                  <w:rStyle w:val="InternetLink"/>
                  <w:rFonts w:ascii="Arial;Helvetica;sans-serif" w:hAnsi="Arial;Helvetica;sans-serif"/>
                  <w:b w:val="false"/>
                  <w:i w:val="false"/>
                  <w:caps w:val="false"/>
                  <w:smallCaps w:val="false"/>
                  <w:sz w:val="20"/>
                </w:rPr>
                <w:t>Condensed Consolidated Statements of Operations for the three months ended March 31, 2024 and 2023</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StatementsofStockholdersDeficitEquity_38">
              <w:r>
                <w:rPr>
                  <w:rStyle w:val="InternetLink"/>
                  <w:rFonts w:ascii="Arial;Helvetica;sans-serif" w:hAnsi="Arial;Helvetica;sans-serif"/>
                  <w:b w:val="false"/>
                  <w:i w:val="false"/>
                  <w:caps w:val="false"/>
                  <w:smallCaps w:val="false"/>
                  <w:sz w:val="20"/>
                </w:rPr>
                <w:t>Condensed Consolidated Statements of Stockholders’ Equity/(Deficit) for the three months ended March 31, 2024 and 2023</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StatementsofCashFlows_801693">
              <w:r>
                <w:rPr>
                  <w:rStyle w:val="InternetLink"/>
                  <w:rFonts w:ascii="Arial;Helvetica;sans-serif" w:hAnsi="Arial;Helvetica;sans-serif"/>
                  <w:b w:val="false"/>
                  <w:i w:val="false"/>
                  <w:caps w:val="false"/>
                  <w:smallCaps w:val="false"/>
                  <w:sz w:val="20"/>
                </w:rPr>
                <w:t>Condensed Consolidated Statements of Cash Flows for the three months ended March 31, 2024 and 2023</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NOTESTOCONDENSEDCONSOLIDATEDFINANCIALSTA">
              <w:r>
                <w:rPr>
                  <w:rStyle w:val="InternetLink"/>
                  <w:rFonts w:ascii="Arial;Helvetica;sans-serif" w:hAnsi="Arial;Helvetica;sans-serif"/>
                  <w:b w:val="false"/>
                  <w:i w:val="false"/>
                  <w:caps w:val="false"/>
                  <w:smallCaps w:val="false"/>
                  <w:sz w:val="20"/>
                </w:rPr>
                <w:t>Notes to Condensed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hyperlink w:anchor="MANAGEMENTSDISCUSSIONANDANALYSISOFFINANC">
              <w:r>
                <w:rPr>
                  <w:rStyle w:val="InternetLink"/>
                  <w:rFonts w:ascii="Arial;Helvetica;sans-serif" w:hAnsi="Arial;Helvetica;san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MANAGEMENTSDISCUSSIONANDANALYSISOFFINANC">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hyperlink w:anchor="Item4ControlsandProcedures_209713">
              <w:r>
                <w:rPr>
                  <w:rStyle w:val="InternetLink"/>
                  <w:rFonts w:ascii="Arial;Helvetica;sans-serif" w:hAnsi="Arial;Helvetica;san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Item4ControlsandProcedures_209713">
              <w:r>
                <w:rPr>
                  <w:rStyle w:val="InternetLink"/>
                  <w:rFonts w:ascii="Arial;Helvetica;sans-serif" w:hAnsi="Arial;Helvetica;san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8741" w:type="dxa"/>
            <w:gridSpan w:val="3"/>
            <w:tcBorders/>
            <w:vAlign w:val="center"/>
          </w:tcPr>
          <w:p>
            <w:pPr>
              <w:pStyle w:val="TableContents"/>
              <w:pBdr/>
              <w:bidi w:val="0"/>
              <w:spacing w:before="0" w:after="0"/>
              <w:ind w:left="0" w:right="0" w:hanging="0"/>
              <w:jc w:val="left"/>
              <w:rPr/>
            </w:pPr>
            <w:hyperlink w:anchor="PARTIIOTHERINFORMATION_483516">
              <w:r>
                <w:rPr>
                  <w:rStyle w:val="InternetLink"/>
                  <w:rFonts w:ascii="Arial;Helvetica;sans-serif" w:hAnsi="Arial;Helvetica;sans-serif"/>
                  <w:b w:val="false"/>
                  <w:i w:val="false"/>
                  <w:caps w:val="false"/>
                  <w:smallCaps w:val="false"/>
                  <w:sz w:val="20"/>
                </w:rPr>
                <w:t>PART II OTHER INFORMATION</w:t>
              </w:r>
            </w:hyperlink>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  </w:t>
            </w:r>
          </w:p>
        </w:tc>
        <w:tc>
          <w:tcPr>
            <w:tcW w:w="120" w:type="dxa"/>
            <w:gridSpan w:val="2"/>
            <w:tcBorders/>
            <w:vAlign w:val="center"/>
          </w:tcPr>
          <w:p>
            <w:pPr>
              <w:pStyle w:val="TableContents"/>
              <w:bidi w:val="0"/>
              <w:spacing w:before="0" w:after="0"/>
              <w:ind w:left="0" w:right="0" w:hanging="0"/>
              <w:jc w:val="left"/>
              <w:rPr/>
            </w:pPr>
            <w:r>
              <w:rPr/>
              <w:t>​</w:t>
            </w:r>
          </w:p>
        </w:tc>
        <w:tc>
          <w:tcPr>
            <w:tcW w:w="168"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hyperlink w:anchor="Item1LegalProceedings_551780">
              <w:r>
                <w:rPr>
                  <w:rStyle w:val="InternetLink"/>
                  <w:rFonts w:ascii="Arial;Helvetica;sans-serif" w:hAnsi="Arial;Helvetica;san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Item1LegalProceedings_551780">
              <w:r>
                <w:rPr>
                  <w:rStyle w:val="InternetLink"/>
                  <w:rFonts w:ascii="Arial;Helvetica;sans-serif" w:hAnsi="Arial;Helvetica;san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hyperlink w:anchor="Item1ARiskFactors_866399">
              <w:r>
                <w:rPr>
                  <w:rStyle w:val="InternetLink"/>
                  <w:rFonts w:ascii="Arial;Helvetica;sans-serif" w:hAnsi="Arial;Helvetica;san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Item1ARiskFactors_866399">
              <w:r>
                <w:rPr>
                  <w:rStyle w:val="InternetLink"/>
                  <w:rFonts w:ascii="Arial;Helvetica;sans-serif" w:hAnsi="Arial;Helvetica;san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pBdr/>
              <w:bidi w:val="0"/>
              <w:spacing w:before="0" w:after="0"/>
              <w:ind w:left="0" w:right="0" w:hanging="0"/>
              <w:jc w:val="left"/>
              <w:rPr/>
            </w:pPr>
            <w:hyperlink w:anchor="Item5otherinformation">
              <w:r>
                <w:rPr>
                  <w:rStyle w:val="InternetLink"/>
                  <w:rFonts w:ascii="Arial;Helvetica;sans-serif" w:hAnsi="Arial;Helvetica;sans-serif"/>
                  <w:b w:val="false"/>
                  <w:i w:val="false"/>
                  <w:caps w:val="false"/>
                  <w:smallCaps w:val="false"/>
                  <w:sz w:val="20"/>
                </w:rPr>
                <w:t>Item 5.</w:t>
              </w:r>
            </w:hyperlink>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Item5otherinformation">
              <w:r>
                <w:rPr>
                  <w:rStyle w:val="InternetLink"/>
                  <w:rFonts w:ascii="Arial;Helvetica;sans-serif" w:hAnsi="Arial;Helvetica;san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left"/>
              <w:rPr/>
            </w:pPr>
            <w:r>
              <w:rPr/>
              <w:t>​</w:t>
            </w:r>
          </w:p>
        </w:tc>
        <w:tc>
          <w:tcPr>
            <w:tcW w:w="192" w:type="dxa"/>
            <w:gridSpan w:val="2"/>
            <w:tcBorders/>
            <w:vAlign w:val="center"/>
          </w:tcPr>
          <w:p>
            <w:pPr>
              <w:pStyle w:val="TableContents"/>
              <w:bidi w:val="0"/>
              <w:spacing w:before="0" w:after="0"/>
              <w:ind w:left="0" w:right="0" w:hanging="0"/>
              <w:jc w:val="left"/>
              <w:rPr/>
            </w:pPr>
            <w:r>
              <w:rPr/>
              <w:t>​</w:t>
            </w:r>
          </w:p>
        </w:tc>
      </w:tr>
      <w:tr>
        <w:trPr/>
        <w:tc>
          <w:tcPr>
            <w:tcW w:w="750" w:type="dxa"/>
            <w:tcBorders/>
            <w:vAlign w:val="center"/>
          </w:tcPr>
          <w:p>
            <w:pPr>
              <w:pStyle w:val="TableContents"/>
              <w:bidi w:val="0"/>
              <w:spacing w:before="0" w:after="0"/>
              <w:ind w:left="0" w:right="0" w:hanging="0"/>
              <w:jc w:val="left"/>
              <w:rPr/>
            </w:pPr>
            <w:hyperlink w:anchor="Item6Exhibits_824505">
              <w:r>
                <w:rPr>
                  <w:rStyle w:val="InternetLink"/>
                  <w:rFonts w:ascii="Arial;Helvetica;sans-serif" w:hAnsi="Arial;Helvetica;san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7665" w:type="dxa"/>
            <w:tcBorders/>
            <w:vAlign w:val="center"/>
          </w:tcPr>
          <w:p>
            <w:pPr>
              <w:pStyle w:val="TableContents"/>
              <w:bidi w:val="0"/>
              <w:spacing w:before="0" w:after="0"/>
              <w:ind w:left="0" w:right="0" w:hanging="0"/>
              <w:jc w:val="left"/>
              <w:rPr/>
            </w:pPr>
            <w:hyperlink w:anchor="Item6Exhibits_824505">
              <w:r>
                <w:rPr>
                  <w:rStyle w:val="InternetLink"/>
                  <w:rFonts w:ascii="Arial;Helvetica;sans-serif" w:hAnsi="Arial;Helvetica;san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c>
          <w:tcPr>
            <w:tcW w:w="192"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shd w:fill="FFFFFF" w:val="clear"/>
        <w:bidi w:val="0"/>
        <w:spacing w:before="0" w:after="0"/>
        <w:ind w:left="0" w:right="0" w:firstLine="360"/>
        <w:jc w:val="center"/>
        <w:rPr>
          <w:rFonts w:ascii="Arial;Helvetica;sans-serif" w:hAnsi="Arial;Helvetica;sans-serif"/>
          <w:b/>
          <w:sz w:val="20"/>
        </w:rPr>
      </w:pPr>
      <w:bookmarkStart w:id="29" w:name="_ef910eb5_d570_44fe_8b37_850fef773cd6"/>
      <w:bookmarkEnd w:id="29"/>
      <w:r>
        <w:rPr>
          <w:rFonts w:ascii="Arial;Helvetica;sans-serif" w:hAnsi="Arial;Helvetica;sans-serif"/>
          <w:b/>
          <w:sz w:val="20"/>
        </w:rPr>
        <w:t>CAUTIONARY NOTE REGARDING FORWARD-LOOKING STATEMENTS</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This report, including, without limitation, statements under the heading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possible business combinations and the financing thereof, and related matters, and any other statements that are not statements of current or historical facts. </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By their nature, forward-looking statements involve risks and uncertainties because they relate to events and depend on circumstances that may or may not occur in the future. Forward-looking statements are based upon assumptions and are not guarantees of future performance. Actual results may differ materially from those contained in forward-looking statements due to various factors, including, but not limited to: limited management, labor, and financial resources; our reliance upon third parties for key aspects of our business; our ability to maintain adequate internal controls; our ability to maintain a market in our securities; our ability to continue as a going concern; and our ability obtain financing, if and when needed, on terms that are acceptable, as well as those risks and factors described in the “Risk Factors” section of this report. You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under applicable securities laws.</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The Company’s stockholders are cautioned that trading in shares of the Company’s Class A common stock is highly speculative. Trading prices for the Company’s Class A common stock may bear little or no relation to actual value, if any. In addition, the Company’s Second Amended and Restated Certificate of Incorporation contains certain trading restrictions, which are designed to support our efforts to preserve our net operating loss carryforwards and other tax attributes and generally restrict transactions involving any person or group of persons that is or as a result of such a transaction would become a substantial stockholder (i.e., would beneficially own, directly or indirectly, 4.5% or more of all issued and outstanding shares of Class A common stock). Accordingly, the Company urges extreme caution with respect to existing and future investments in its Class A common stock.</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Unless the context indicates otherwise, references in this report to the “Company,” “Lordstown,” “Debtors,” “we,” “us,” “our” and similar terms refer to Nu Ride Inc. (f/k/a Lordstown Motors Corp.; f/k/a DiamondPeak Holdings Corp.) and its consolidated subsidiaries (including Legacy Lordstown (as defined below)). References to “DiamondPeak” refer to our predecessor company prior to the consummation of merger completed on October 23, 2020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w:t>
      </w:r>
    </w:p>
    <w:p>
      <w:pPr>
        <w:pStyle w:val="TextBody"/>
        <w:shd w:fill="FFFFFF" w:val="clear"/>
        <w:bidi w:val="0"/>
        <w:spacing w:before="0" w:after="200"/>
        <w:ind w:left="0" w:right="0" w:hanging="0"/>
        <w:jc w:val="left"/>
        <w:rPr>
          <w:rFonts w:ascii="Arial;Helvetica;sans-serif" w:hAnsi="Arial;Helvetica;sans-serif"/>
          <w:sz w:val="20"/>
        </w:rPr>
      </w:pPr>
      <w:r>
        <w:rPr>
          <w:rFonts w:ascii="Arial;Helvetica;sans-serif" w:hAnsi="Arial;Helvetica;sans-serif"/>
          <w:sz w:val="20"/>
        </w:rPr>
        <w:t>Unless the context indicates otherwise, all shares of the Company’s Class A common stock are presented after giving effect to the 1:15 reverse stock split of the outstanding Class A common stock, which became effective on May 24,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30" w:name="PARTI_151027"/>
      <w:bookmarkStart w:id="31" w:name="_55b80a95_3966_4f12_ba81_13f73e9bb440"/>
      <w:bookmarkEnd w:id="30"/>
      <w:bookmarkEnd w:id="31"/>
      <w:r>
        <w:rPr>
          <w:rFonts w:ascii="Arial;Helvetica;sans-serif" w:hAnsi="Arial;Helvetica;sans-serif"/>
          <w:b/>
          <w:sz w:val="20"/>
        </w:rPr>
        <w:t>PART I</w:t>
      </w:r>
    </w:p>
    <w:p>
      <w:pPr>
        <w:pStyle w:val="TextBody"/>
        <w:bidi w:val="0"/>
        <w:spacing w:before="0" w:after="240"/>
        <w:ind w:left="0" w:right="0" w:hanging="0"/>
        <w:jc w:val="center"/>
        <w:rPr>
          <w:rFonts w:ascii="Arial;Helvetica;sans-serif" w:hAnsi="Arial;Helvetica;sans-serif"/>
          <w:b/>
          <w:sz w:val="20"/>
        </w:rPr>
      </w:pPr>
      <w:bookmarkStart w:id="32" w:name="PARTIFINANCIALINFORMATION_134895"/>
      <w:bookmarkEnd w:id="32"/>
      <w:r>
        <w:rPr>
          <w:rFonts w:ascii="Arial;Helvetica;sans-serif" w:hAnsi="Arial;Helvetica;sans-serif"/>
          <w:b/>
          <w:sz w:val="20"/>
        </w:rPr>
        <w:t>FINANCIAL INFORMATION</w:t>
      </w:r>
    </w:p>
    <w:p>
      <w:pPr>
        <w:pStyle w:val="TextBody"/>
        <w:bidi w:val="0"/>
        <w:spacing w:before="0" w:after="240"/>
        <w:ind w:left="0" w:right="0" w:hanging="0"/>
        <w:jc w:val="left"/>
        <w:rPr>
          <w:rFonts w:ascii="Arial;Helvetica;sans-serif" w:hAnsi="Arial;Helvetica;sans-serif"/>
          <w:b/>
          <w:sz w:val="20"/>
        </w:rPr>
      </w:pPr>
      <w:bookmarkStart w:id="33" w:name="Item1FinancialStatements_765159"/>
      <w:bookmarkEnd w:id="33"/>
      <w:r>
        <w:rPr>
          <w:rFonts w:ascii="Arial;Helvetica;sans-serif" w:hAnsi="Arial;Helvetica;sans-serif"/>
          <w:b/>
          <w:sz w:val="20"/>
        </w:rPr>
        <w:t>Item 1.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Nu Ride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f/k/a Lordstown Motors Corp.</w:t>
      </w:r>
    </w:p>
    <w:p>
      <w:pPr>
        <w:pStyle w:val="TextBody"/>
        <w:bidi w:val="0"/>
        <w:spacing w:before="0" w:after="0"/>
        <w:ind w:left="0" w:right="0" w:hanging="0"/>
        <w:jc w:val="center"/>
        <w:rPr>
          <w:rFonts w:ascii="Arial;Helvetica;sans-serif" w:hAnsi="Arial;Helvetica;sans-serif"/>
          <w:b/>
          <w:sz w:val="20"/>
        </w:rPr>
      </w:pPr>
      <w:bookmarkStart w:id="34" w:name="BalanceSheets_440563"/>
      <w:bookmarkEnd w:id="34"/>
      <w:r>
        <w:rPr>
          <w:rFonts w:ascii="Arial;Helvetica;sans-serif" w:hAnsi="Arial;Helvetica;sans-serif"/>
          <w:b/>
          <w:sz w:val="20"/>
        </w:rPr>
        <w:t>Balance Sheets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for share data)</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5" w:name="Tc_iyZ0rpEbs0yVGXmcH3GpKw_26_5"/>
      <w:bookmarkStart w:id="36" w:name="Tc_GhYaQCRo9UOQycp65iPdnQ_26_2"/>
      <w:bookmarkStart w:id="37" w:name="Tc_JR1JmUlR2E-fSqDJFK4fdQ_26_0"/>
      <w:bookmarkStart w:id="38" w:name="Tc_Hrl14r7rGE2Z6Tu4fIbh2g_25_5"/>
      <w:bookmarkStart w:id="39" w:name="Tc_3o_Aj6q6SU2_b3eIOvfkzA_25_2"/>
      <w:bookmarkStart w:id="40" w:name="Tc_W5BerZ1laEazmr0_6G4yCg_25_0"/>
      <w:bookmarkStart w:id="41" w:name="Tc_IlfSeh-rrEuUFwDUNe3F0w_24_0"/>
      <w:bookmarkStart w:id="42" w:name="Tc_S9mG5FxlV0-Am08SX44NDQ_23_0"/>
      <w:bookmarkStart w:id="43" w:name="Tc__JdLmbZ46U219aBBdyku_Q_22_5"/>
      <w:bookmarkStart w:id="44" w:name="Tc_UqFRKetBSEKASuCOKHNC4Q_22_2"/>
      <w:bookmarkStart w:id="45" w:name="Tc_PbtFtjxy7UaSnUHCgiJ9rA_22_0"/>
      <w:bookmarkStart w:id="46" w:name="Tc_IYk4-o21i06upec4vfN7SA_21_0"/>
      <w:bookmarkStart w:id="47" w:name="Tc_vOMICWgX5UaH0Bu02b1f6w_20_5"/>
      <w:bookmarkStart w:id="48" w:name="Tc_6meOx7mWPEK90EVGAwzrIg_20_2"/>
      <w:bookmarkStart w:id="49" w:name="_474d57e6_2119_4336_a4c3_462c8feeeb1c_3"/>
      <w:bookmarkStart w:id="50" w:name="_474d57e6_2119_4336_a4c3_462c8feeeb1c_2"/>
      <w:bookmarkStart w:id="51" w:name="_474d57e6_2119_4336_a4c3_462c8feeeb1c"/>
      <w:bookmarkStart w:id="52" w:name="Tc_VftmzUrtVkKzmedT30m51Q_20_0"/>
      <w:bookmarkStart w:id="53" w:name="Tc_8FbnRdtOvUm8sX5fOL5crQ_19_0"/>
      <w:bookmarkStart w:id="54" w:name="Tc_6ut8bifgdE6trl7abtWuHA_18_5"/>
      <w:bookmarkStart w:id="55" w:name="Tc_LVfmid6eA0OBJdB0bLmD1A_18_2"/>
      <w:bookmarkStart w:id="56" w:name="Tc_M2CPGH07t0ao5jbKuNnivA_18_0"/>
      <w:bookmarkStart w:id="57" w:name="Tc_WXuScBAPTkyRKVPiTOVDvg_17_0"/>
      <w:bookmarkStart w:id="58" w:name="Tc_1gPXd4--_0qEEeoph9yzOw_16_5"/>
      <w:bookmarkStart w:id="59" w:name="Tc_CXg8UEqAiEy5Vs8fFWLiYg_16_2"/>
      <w:bookmarkStart w:id="60" w:name="Tc_9Yavg_27N0Grf91euf1ucQ_16_0"/>
      <w:bookmarkStart w:id="61" w:name="Tc_-kU7ap-Lk0Si_GpWvULcgQ_15_0"/>
      <w:bookmarkStart w:id="62" w:name="Tc_Cgx1C4dNYE-CJ46zqI1TYw_14_0"/>
      <w:bookmarkStart w:id="63" w:name="Tc_dWwE-M1kIEqBNSEnHwrWPA_13_5"/>
      <w:bookmarkStart w:id="64" w:name="Tc_40SL3eFqiUKO0wehQiMuzw_13_2"/>
      <w:bookmarkStart w:id="65" w:name="Tc_ydGocolgE02LJ8Z3Zv_r3w_13_0"/>
      <w:bookmarkStart w:id="66" w:name="Tc_XsKqpxHZe0y65HTh-nJXLA_12_0"/>
      <w:bookmarkStart w:id="67" w:name="Tc_69IqvL0bckKVZQuuGGDjJA_11_0"/>
      <w:bookmarkStart w:id="68" w:name="Tc_575UNj8V6U6c0RNSXr2O8g_10_5"/>
      <w:bookmarkStart w:id="69" w:name="Tc_lEB1r1mksEqD85YTb0wCYA_10_2"/>
      <w:bookmarkStart w:id="70" w:name="Tc_dxuU7Qe1fE6s--1zbZvlKA_10_0"/>
      <w:bookmarkStart w:id="71" w:name="Tc_cuF6BNuLFUu6VLAhAtCC7g_9_3"/>
      <w:bookmarkStart w:id="72" w:name="Tc_5KswjiRWr0GSdxVw3eFuww_9_0"/>
      <w:bookmarkStart w:id="73" w:name="Tc_DihpyrnGZEqSodS186BMGQ_8_5"/>
      <w:bookmarkStart w:id="74" w:name="Tc_dOgYXjC6KUSpitUznKlSSw_8_2"/>
      <w:bookmarkStart w:id="75" w:name="Tc_NoffhedNR0ajLbuH_3GpAQ_8_0"/>
      <w:bookmarkStart w:id="76" w:name="Tc_b0gOj8NIOEehphATO9m2sg_7_0"/>
      <w:bookmarkStart w:id="77" w:name="Tc_pQsI-oQGs0qDgTc2JYqw5A_6_0"/>
      <w:bookmarkStart w:id="78" w:name="Tc_otC44RAsCUmSRDcud2HOGg_5_6"/>
      <w:bookmarkStart w:id="79" w:name="Tc_53J13FwqPE6EsUY5n0WkQw_5_0"/>
      <w:bookmarkStart w:id="80" w:name="Tc_44FNSUAl_UKFS0rj3d3jOg_4_5"/>
      <w:bookmarkStart w:id="81" w:name="Tc_Xt9nBxuoaEeYGICgl5rGOA_4_2"/>
      <w:bookmarkStart w:id="82" w:name="Tc_oNTdlGJtPkaopl7ceaAc-w_4_0"/>
      <w:bookmarkStart w:id="83" w:name="Tc_7KQ__Pqj-UOP6gBbT0h4wA_3_0"/>
      <w:bookmarkStart w:id="84" w:name="Tc_T1owrd4DwkSYTmTcDQBcWw_2_0"/>
      <w:bookmarkStart w:id="85" w:name="Tc_I2-yxJVNAUWYB3VEItNcuw_1_5"/>
      <w:bookmarkStart w:id="86" w:name="Tc_jJm_XyMJ_kS1-dsd4346Tw_1_2"/>
      <w:bookmarkStart w:id="87" w:name="_2169c626_dc2c_4f9f_92e3_c680d92d9ed2"/>
      <w:bookmarkStart w:id="88" w:name="Tc_iyZ0rpEbs0yVGXmcH3GpKw_26_5"/>
      <w:bookmarkStart w:id="89" w:name="Tc_GhYaQCRo9UOQycp65iPdnQ_26_2"/>
      <w:bookmarkStart w:id="90" w:name="Tc_JR1JmUlR2E-fSqDJFK4fdQ_26_0"/>
      <w:bookmarkStart w:id="91" w:name="Tc_Hrl14r7rGE2Z6Tu4fIbh2g_25_5"/>
      <w:bookmarkStart w:id="92" w:name="Tc_3o_Aj6q6SU2_b3eIOvfkzA_25_2"/>
      <w:bookmarkStart w:id="93" w:name="Tc_W5BerZ1laEazmr0_6G4yCg_25_0"/>
      <w:bookmarkStart w:id="94" w:name="Tc_IlfSeh-rrEuUFwDUNe3F0w_24_0"/>
      <w:bookmarkStart w:id="95" w:name="Tc_S9mG5FxlV0-Am08SX44NDQ_23_0"/>
      <w:bookmarkStart w:id="96" w:name="Tc__JdLmbZ46U219aBBdyku_Q_22_5"/>
      <w:bookmarkStart w:id="97" w:name="Tc_UqFRKetBSEKASuCOKHNC4Q_22_2"/>
      <w:bookmarkStart w:id="98" w:name="Tc_PbtFtjxy7UaSnUHCgiJ9rA_22_0"/>
      <w:bookmarkStart w:id="99" w:name="Tc_IYk4-o21i06upec4vfN7SA_21_0"/>
      <w:bookmarkStart w:id="100" w:name="Tc_vOMICWgX5UaH0Bu02b1f6w_20_5"/>
      <w:bookmarkStart w:id="101" w:name="Tc_6meOx7mWPEK90EVGAwzrIg_20_2"/>
      <w:bookmarkStart w:id="102" w:name="_474d57e6_2119_4336_a4c3_462c8feeeb1c_3"/>
      <w:bookmarkStart w:id="103" w:name="_474d57e6_2119_4336_a4c3_462c8feeeb1c_2"/>
      <w:bookmarkStart w:id="104" w:name="_474d57e6_2119_4336_a4c3_462c8feeeb1c"/>
      <w:bookmarkStart w:id="105" w:name="Tc_VftmzUrtVkKzmedT30m51Q_20_0"/>
      <w:bookmarkStart w:id="106" w:name="Tc_8FbnRdtOvUm8sX5fOL5crQ_19_0"/>
      <w:bookmarkStart w:id="107" w:name="Tc_6ut8bifgdE6trl7abtWuHA_18_5"/>
      <w:bookmarkStart w:id="108" w:name="Tc_LVfmid6eA0OBJdB0bLmD1A_18_2"/>
      <w:bookmarkStart w:id="109" w:name="Tc_M2CPGH07t0ao5jbKuNnivA_18_0"/>
      <w:bookmarkStart w:id="110" w:name="Tc_WXuScBAPTkyRKVPiTOVDvg_17_0"/>
      <w:bookmarkStart w:id="111" w:name="Tc_1gPXd4--_0qEEeoph9yzOw_16_5"/>
      <w:bookmarkStart w:id="112" w:name="Tc_CXg8UEqAiEy5Vs8fFWLiYg_16_2"/>
      <w:bookmarkStart w:id="113" w:name="Tc_9Yavg_27N0Grf91euf1ucQ_16_0"/>
      <w:bookmarkStart w:id="114" w:name="Tc_-kU7ap-Lk0Si_GpWvULcgQ_15_0"/>
      <w:bookmarkStart w:id="115" w:name="Tc_Cgx1C4dNYE-CJ46zqI1TYw_14_0"/>
      <w:bookmarkStart w:id="116" w:name="Tc_dWwE-M1kIEqBNSEnHwrWPA_13_5"/>
      <w:bookmarkStart w:id="117" w:name="Tc_40SL3eFqiUKO0wehQiMuzw_13_2"/>
      <w:bookmarkStart w:id="118" w:name="Tc_ydGocolgE02LJ8Z3Zv_r3w_13_0"/>
      <w:bookmarkStart w:id="119" w:name="Tc_XsKqpxHZe0y65HTh-nJXLA_12_0"/>
      <w:bookmarkStart w:id="120" w:name="Tc_69IqvL0bckKVZQuuGGDjJA_11_0"/>
      <w:bookmarkStart w:id="121" w:name="Tc_575UNj8V6U6c0RNSXr2O8g_10_5"/>
      <w:bookmarkStart w:id="122" w:name="Tc_lEB1r1mksEqD85YTb0wCYA_10_2"/>
      <w:bookmarkStart w:id="123" w:name="Tc_dxuU7Qe1fE6s--1zbZvlKA_10_0"/>
      <w:bookmarkStart w:id="124" w:name="Tc_cuF6BNuLFUu6VLAhAtCC7g_9_3"/>
      <w:bookmarkStart w:id="125" w:name="Tc_5KswjiRWr0GSdxVw3eFuww_9_0"/>
      <w:bookmarkStart w:id="126" w:name="Tc_DihpyrnGZEqSodS186BMGQ_8_5"/>
      <w:bookmarkStart w:id="127" w:name="Tc_dOgYXjC6KUSpitUznKlSSw_8_2"/>
      <w:bookmarkStart w:id="128" w:name="Tc_NoffhedNR0ajLbuH_3GpAQ_8_0"/>
      <w:bookmarkStart w:id="129" w:name="Tc_b0gOj8NIOEehphATO9m2sg_7_0"/>
      <w:bookmarkStart w:id="130" w:name="Tc_pQsI-oQGs0qDgTc2JYqw5A_6_0"/>
      <w:bookmarkStart w:id="131" w:name="Tc_otC44RAsCUmSRDcud2HOGg_5_6"/>
      <w:bookmarkStart w:id="132" w:name="Tc_53J13FwqPE6EsUY5n0WkQw_5_0"/>
      <w:bookmarkStart w:id="133" w:name="Tc_44FNSUAl_UKFS0rj3d3jOg_4_5"/>
      <w:bookmarkStart w:id="134" w:name="Tc_Xt9nBxuoaEeYGICgl5rGOA_4_2"/>
      <w:bookmarkStart w:id="135" w:name="Tc_oNTdlGJtPkaopl7ceaAc-w_4_0"/>
      <w:bookmarkStart w:id="136" w:name="Tc_7KQ__Pqj-UOP6gBbT0h4wA_3_0"/>
      <w:bookmarkStart w:id="137" w:name="Tc_T1owrd4DwkSYTmTcDQBcWw_2_0"/>
      <w:bookmarkStart w:id="138" w:name="Tc_I2-yxJVNAUWYB3VEItNcuw_1_5"/>
      <w:bookmarkStart w:id="139" w:name="Tc_jJm_XyMJ_kS1-dsd4346Tw_1_2"/>
      <w:bookmarkStart w:id="140" w:name="_2169c626_dc2c_4f9f_92e3_c680d92d9ed2"/>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7020"/>
        <w:gridCol w:w="146"/>
        <w:gridCol w:w="211"/>
        <w:gridCol w:w="1060"/>
        <w:gridCol w:w="146"/>
        <w:gridCol w:w="267"/>
        <w:gridCol w:w="1355"/>
      </w:tblGrid>
      <w:tr>
        <w:trPr/>
        <w:tc>
          <w:tcPr>
            <w:tcW w:w="7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457700" cy="175260"/>
                      <wp:effectExtent l="0" t="0" r="0" b="0"/>
                      <wp:wrapNone/>
                      <wp:docPr id="7" name="Frame7"/>
                      <a:graphic xmlns:a="http://schemas.openxmlformats.org/drawingml/2006/main">
                        <a:graphicData uri="http://schemas.microsoft.com/office/word/2010/wordprocessingShape">
                          <wps:wsp>
                            <wps:cNvSpPr txBox="1"/>
                            <wps:spPr>
                              <a:xfrm>
                                <a:off x="0" y="0"/>
                                <a:ext cx="445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2710" cy="175260"/>
                      <wp:effectExtent l="0" t="0" r="0" b="0"/>
                      <wp:wrapNone/>
                      <wp:docPr id="8" name="Frame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73100" cy="175260"/>
                      <wp:effectExtent l="0" t="0" r="0" b="0"/>
                      <wp:wrapNone/>
                      <wp:docPr id="10" name="Frame10"/>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2710" cy="175260"/>
                      <wp:effectExtent l="0" t="0" r="0" b="0"/>
                      <wp:wrapNone/>
                      <wp:docPr id="11" name="Frame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69545" cy="175260"/>
                      <wp:effectExtent l="0" t="0" r="0" b="0"/>
                      <wp:wrapNone/>
                      <wp:docPr id="12" name="Frame1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860425" cy="175260"/>
                      <wp:effectExtent l="0" t="0" r="0" b="0"/>
                      <wp:wrapNone/>
                      <wp:docPr id="13" name="Frame13"/>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2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2024</w:t>
            </w:r>
          </w:p>
        </w:tc>
        <w:tc>
          <w:tcPr>
            <w:tcW w:w="146" w:type="dxa"/>
            <w:tcBorders/>
            <w:vAlign w:val="center"/>
          </w:tcPr>
          <w:p>
            <w:pPr>
              <w:pStyle w:val="TableContents"/>
              <w:bidi w:val="0"/>
              <w:spacing w:before="0" w:after="0"/>
              <w:ind w:left="0" w:right="0" w:hanging="0"/>
              <w:jc w:val="left"/>
              <w:rPr/>
            </w:pPr>
            <w:r>
              <w:rPr/>
              <w:t>​</w:t>
            </w:r>
          </w:p>
        </w:tc>
        <w:tc>
          <w:tcPr>
            <w:tcW w:w="16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2023</w:t>
            </w:r>
          </w:p>
        </w:tc>
      </w:tr>
      <w:tr>
        <w:trPr/>
        <w:tc>
          <w:tcPr>
            <w:tcW w:w="7020" w:type="dxa"/>
            <w:tcBorders/>
            <w:shd w:fill="CCEEFF" w:val="cle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right"/>
              <w:rPr/>
            </w:pPr>
            <w:r>
              <w:rPr/>
              <w:t>  </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pPr>
            <w:r>
              <w:rPr/>
              <w:t>  </w:t>
            </w:r>
          </w:p>
        </w:tc>
      </w:tr>
      <w:tr>
        <w:trPr/>
        <w:tc>
          <w:tcPr>
            <w:tcW w:w="70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Cash and cash equivalents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19,716</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87,096</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Restricted cash</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57,719</w:t>
            </w:r>
          </w:p>
        </w:tc>
        <w:tc>
          <w:tcPr>
            <w:tcW w:w="1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pPr>
            <w:r>
              <w:rPr/>
              <w:t>—</w:t>
            </w:r>
          </w:p>
        </w:tc>
      </w:tr>
      <w:tr>
        <w:trPr/>
        <w:tc>
          <w:tcPr>
            <w:tcW w:w="70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insurance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367</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2,825</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1,335</w:t>
            </w:r>
          </w:p>
        </w:tc>
        <w:tc>
          <w:tcPr>
            <w:tcW w:w="1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2,218</w:t>
            </w:r>
          </w:p>
        </w:tc>
      </w:tr>
      <w:tr>
        <w:trPr/>
        <w:tc>
          <w:tcPr>
            <w:tcW w:w="70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79,137</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92,139</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r>
      <w:tr>
        <w:trPr/>
        <w:tc>
          <w:tcPr>
            <w:tcW w:w="70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79,137</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92,169</w:t>
            </w:r>
          </w:p>
        </w:tc>
      </w:tr>
      <w:tr>
        <w:trPr/>
        <w:tc>
          <w:tcPr>
            <w:tcW w:w="7020"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right"/>
              <w:rPr/>
            </w:pPr>
            <w:r>
              <w:rPr/>
              <w:t>  </w:t>
            </w:r>
          </w:p>
        </w:tc>
      </w:tr>
      <w:tr>
        <w:trPr/>
        <w:tc>
          <w:tcPr>
            <w:tcW w:w="70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1355" w:type="dxa"/>
            <w:tcBorders/>
            <w:shd w:fill="CCEEFF" w:val="clear"/>
            <w:vAlign w:val="center"/>
          </w:tcPr>
          <w:p>
            <w:pPr>
              <w:pStyle w:val="TableContents"/>
              <w:bidi w:val="0"/>
              <w:spacing w:before="0" w:after="0"/>
              <w:ind w:left="0" w:right="0" w:hanging="0"/>
              <w:jc w:val="right"/>
              <w:rPr/>
            </w:pPr>
            <w:r>
              <w:rPr/>
              <w:t>  </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2,474</w:t>
            </w:r>
          </w:p>
        </w:tc>
        <w:tc>
          <w:tcPr>
            <w:tcW w:w="1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933</w:t>
            </w:r>
          </w:p>
        </w:tc>
      </w:tr>
      <w:tr>
        <w:trPr/>
        <w:tc>
          <w:tcPr>
            <w:tcW w:w="70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legal and professional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8,265</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12,815</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and other 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355</w:t>
            </w:r>
          </w:p>
        </w:tc>
        <w:tc>
          <w:tcPr>
            <w:tcW w:w="1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1,650</w:t>
            </w:r>
          </w:p>
        </w:tc>
      </w:tr>
      <w:tr>
        <w:trPr/>
        <w:tc>
          <w:tcPr>
            <w:tcW w:w="70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11,094</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15,398</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Liabilities subject to compromise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26,923</w:t>
            </w:r>
          </w:p>
        </w:tc>
        <w:tc>
          <w:tcPr>
            <w:tcW w:w="1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30,467</w:t>
            </w:r>
          </w:p>
        </w:tc>
      </w:tr>
      <w:tr>
        <w:trPr/>
        <w:tc>
          <w:tcPr>
            <w:tcW w:w="70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38,017</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45,865</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Mezzanine 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left"/>
              <w:rPr/>
            </w:pPr>
            <w:r>
              <w:rPr/>
              <w:t>​</w:t>
            </w:r>
          </w:p>
        </w:tc>
      </w:tr>
      <w:tr>
        <w:trPr/>
        <w:tc>
          <w:tcPr>
            <w:tcW w:w="7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Series A Convertible Preferred stock, $0.0001</w:t>
            </w:r>
            <w:r>
              <w:rPr>
                <w:rFonts w:ascii="Times New Roman;Times;serif" w:hAnsi="Times New Roman;Times;serif"/>
                <w:sz w:val="20"/>
              </w:rPr>
              <w:t xml:space="preserve"> </w:t>
            </w:r>
            <w:r>
              <w:rPr>
                <w:rFonts w:ascii="Arial;Helvetica;sans-serif" w:hAnsi="Arial;Helvetica;sans-serif"/>
                <w:sz w:val="20"/>
              </w:rPr>
              <w:t>par value, 12,000,000</w:t>
            </w:r>
            <w:r>
              <w:rPr>
                <w:rFonts w:ascii="Times New Roman;Times;serif" w:hAnsi="Times New Roman;Times;serif"/>
                <w:sz w:val="20"/>
              </w:rPr>
              <w:t xml:space="preserve"> </w:t>
            </w:r>
            <w:r>
              <w:rPr>
                <w:rFonts w:ascii="Arial;Helvetica;sans-serif" w:hAnsi="Arial;Helvetica;sans-serif"/>
                <w:sz w:val="20"/>
              </w:rPr>
              <w:t>shares authorized; 300,000</w:t>
            </w:r>
            <w:r>
              <w:rPr>
                <w:rFonts w:ascii="Times New Roman;Times;serif" w:hAnsi="Times New Roman;Times;serif"/>
                <w:sz w:val="20"/>
              </w:rPr>
              <w:t xml:space="preserve"> </w:t>
            </w:r>
            <w:r>
              <w:rPr>
                <w:rFonts w:ascii="Arial;Helvetica;sans-serif" w:hAnsi="Arial;Helvetica;sans-serif"/>
                <w:sz w:val="20"/>
              </w:rPr>
              <w:t>shares issued and outstanding</w:t>
            </w:r>
            <w:r>
              <w:rPr>
                <w:rFonts w:ascii="Times New Roman;Times;serif" w:hAnsi="Times New Roman;Times;serif"/>
                <w:sz w:val="20"/>
              </w:rPr>
              <w:t xml:space="preserve"> </w:t>
            </w:r>
            <w:r>
              <w:rPr>
                <w:rFonts w:ascii="Arial;Helvetica;sans-serif" w:hAnsi="Arial;Helvetica;sans-serif"/>
                <w:sz w:val="20"/>
              </w:rPr>
              <w:t>as of March 31, 2024 and December 31, 2023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33,410</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32,755</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right"/>
              <w:rPr/>
            </w:pPr>
            <w:r>
              <w:rPr/>
              <w:t>​</w:t>
            </w:r>
          </w:p>
        </w:tc>
      </w:tr>
      <w:tr>
        <w:trPr/>
        <w:tc>
          <w:tcPr>
            <w:tcW w:w="7020"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Arial;Helvetica;sans-serif" w:hAnsi="Arial;Helvetica;sans-serif"/>
                <w:sz w:val="20"/>
              </w:rPr>
              <w:t>Class A common stock, $0.0001</w:t>
            </w:r>
            <w:r>
              <w:rPr>
                <w:rFonts w:ascii="Times New Roman;Times;serif" w:hAnsi="Times New Roman;Times;serif"/>
                <w:sz w:val="24"/>
              </w:rPr>
              <w:t xml:space="preserve"> </w:t>
            </w:r>
            <w:r>
              <w:rPr>
                <w:rFonts w:ascii="Arial;Helvetica;sans-serif" w:hAnsi="Arial;Helvetica;sans-serif"/>
                <w:sz w:val="20"/>
              </w:rPr>
              <w:t>par value, 450,000,000</w:t>
            </w:r>
            <w:r>
              <w:rPr>
                <w:rFonts w:ascii="Times New Roman;Times;serif" w:hAnsi="Times New Roman;Times;serif"/>
                <w:sz w:val="24"/>
              </w:rPr>
              <w:t xml:space="preserve"> </w:t>
            </w:r>
            <w:r>
              <w:rPr>
                <w:rFonts w:ascii="Arial;Helvetica;sans-serif" w:hAnsi="Arial;Helvetica;sans-serif"/>
                <w:sz w:val="20"/>
              </w:rPr>
              <w:t>shares authorized;16,096,296</w:t>
            </w:r>
            <w:r>
              <w:rPr>
                <w:rFonts w:ascii="Times New Roman;Times;serif" w:hAnsi="Times New Roman;Times;serif"/>
                <w:sz w:val="24"/>
              </w:rPr>
              <w:t xml:space="preserve"> </w:t>
            </w:r>
            <w:r>
              <w:rPr>
                <w:rFonts w:ascii="Arial;Helvetica;sans-serif" w:hAnsi="Arial;Helvetica;sans-serif"/>
                <w:sz w:val="20"/>
              </w:rPr>
              <w:t>and 15,953,212</w:t>
            </w:r>
            <w:r>
              <w:rPr>
                <w:rFonts w:ascii="Times New Roman;Times;serif" w:hAnsi="Times New Roman;Times;serif"/>
                <w:sz w:val="24"/>
              </w:rPr>
              <w:t xml:space="preserve"> </w:t>
            </w:r>
            <w:r>
              <w:rPr>
                <w:rFonts w:ascii="Arial;Helvetica;sans-serif" w:hAnsi="Arial;Helvetica;sans-serif"/>
                <w:sz w:val="20"/>
              </w:rPr>
              <w:t xml:space="preserve">shares issued and outstanding as of </w:t>
            </w:r>
            <w:r>
              <w:rPr>
                <w:rFonts w:ascii="Arial;Helvetica;sans-serif" w:hAnsi="Arial;Helvetica;sans-serif"/>
                <w:b w:val="false"/>
                <w:i w:val="false"/>
                <w:caps w:val="false"/>
                <w:smallCaps w:val="false"/>
                <w:sz w:val="20"/>
              </w:rPr>
              <w:t>March 31, 2024</w:t>
            </w:r>
            <w:r>
              <w:rPr>
                <w:rFonts w:ascii="Times New Roman;Times;serif" w:hAnsi="Times New Roman;Times;serif"/>
                <w:sz w:val="24"/>
              </w:rPr>
              <w:t xml:space="preserve"> </w:t>
            </w:r>
            <w:r>
              <w:rPr>
                <w:rFonts w:ascii="Arial;Helvetica;sans-serif" w:hAnsi="Arial;Helvetica;sans-serif"/>
                <w:sz w:val="20"/>
              </w:rPr>
              <w:t xml:space="preserve">and </w:t>
            </w:r>
            <w:r>
              <w:rPr>
                <w:rFonts w:ascii="Arial;Helvetica;sans-serif" w:hAnsi="Arial;Helvetica;sans-serif"/>
                <w:b w:val="false"/>
                <w:i w:val="false"/>
                <w:caps w:val="false"/>
                <w:smallCaps w:val="false"/>
                <w:sz w:val="20"/>
              </w:rPr>
              <w:t>December 31, 2023</w:t>
            </w:r>
            <w:r>
              <w:rPr>
                <w:rFonts w:ascii="Arial;Helvetica;sans-serif" w:hAnsi="Arial;Helvetica;sans-serif"/>
                <w:sz w:val="20"/>
              </w:rPr>
              <w:t>,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55"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Additional paid in capital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1,186,438</w:t>
            </w:r>
          </w:p>
        </w:tc>
        <w:tc>
          <w:tcPr>
            <w:tcW w:w="1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1,183,804</w:t>
            </w:r>
          </w:p>
        </w:tc>
      </w:tr>
      <w:tr>
        <w:trPr/>
        <w:tc>
          <w:tcPr>
            <w:tcW w:w="70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deficit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(1,178,752)</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(1,170,279)</w:t>
            </w:r>
          </w:p>
        </w:tc>
      </w:tr>
      <w:tr>
        <w:trPr/>
        <w:tc>
          <w:tcPr>
            <w:tcW w:w="70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7,710</w:t>
            </w:r>
          </w:p>
        </w:tc>
        <w:tc>
          <w:tcPr>
            <w:tcW w:w="1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13,549</w:t>
            </w:r>
          </w:p>
        </w:tc>
      </w:tr>
      <w:tr>
        <w:trPr/>
        <w:tc>
          <w:tcPr>
            <w:tcW w:w="702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20"/>
              </w:rPr>
            </w:pPr>
            <w:r>
              <w:rPr>
                <w:rFonts w:ascii="Arial;Helvetica;sans-serif" w:hAnsi="Arial;Helvetica;sans-serif"/>
                <w:b/>
                <w:sz w:val="20"/>
              </w:rPr>
              <w:t>79,137</w:t>
            </w:r>
          </w:p>
        </w:tc>
        <w:tc>
          <w:tcPr>
            <w:tcW w:w="1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b/>
                <w:sz w:val="20"/>
              </w:rPr>
            </w:pPr>
            <w:r>
              <w:rPr>
                <w:rFonts w:ascii="Arial;Helvetica;sans-serif" w:hAnsi="Arial;Helvetica;sans-serif"/>
                <w:b/>
                <w:sz w:val="20"/>
              </w:rPr>
              <w:t>92,169</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Arial;Helvetica;sans-serif" w:hAnsi="Arial;Helvetica;sans-serif"/>
          <w:sz w:val="20"/>
        </w:rPr>
      </w:pPr>
      <w:r>
        <w:rPr>
          <w:rFonts w:ascii="Arial;Helvetica;sans-serif" w:hAnsi="Arial;Helvetica;sans-serif"/>
          <w:sz w:val="20"/>
        </w:rPr>
        <w:t>See Notes to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141" w:name="_6aa09051_1e51_499c_9dac_54cea4b7592a"/>
      <w:bookmarkEnd w:id="141"/>
      <w:r>
        <w:rPr>
          <w:rFonts w:ascii="Arial;Helvetica;sans-serif" w:hAnsi="Arial;Helvetica;sans-serif"/>
          <w:b/>
          <w:sz w:val="20"/>
        </w:rPr>
        <w:t>Nu Ride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f/k/a Lordstown Motors Corp.</w:t>
      </w:r>
    </w:p>
    <w:p>
      <w:pPr>
        <w:pStyle w:val="TextBody"/>
        <w:bidi w:val="0"/>
        <w:spacing w:before="0" w:after="240"/>
        <w:ind w:left="0" w:right="0" w:hanging="0"/>
        <w:jc w:val="center"/>
        <w:rPr>
          <w:rFonts w:ascii="Arial;Helvetica;sans-serif" w:hAnsi="Arial;Helvetica;sans-serif"/>
          <w:b/>
          <w:sz w:val="20"/>
        </w:rPr>
      </w:pPr>
      <w:bookmarkStart w:id="142" w:name="StatementsofOperations_941764"/>
      <w:bookmarkEnd w:id="142"/>
      <w:r>
        <w:rPr>
          <w:rFonts w:ascii="Arial;Helvetica;sans-serif" w:hAnsi="Arial;Helvetica;sans-serif"/>
          <w:b/>
          <w:sz w:val="20"/>
        </w:rPr>
        <w:t>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 except for per share data)</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3" w:name="Tc_1GllbuFlXUSCKGHrc4OdLQ_23_0"/>
      <w:bookmarkStart w:id="144" w:name="Tc_XY6NNx0sykWGpWBUZXwNsQ_22_0"/>
      <w:bookmarkStart w:id="145" w:name="Tc_1m8CyRcalEC6egB23jlE_A_21_5"/>
      <w:bookmarkStart w:id="146" w:name="Tc_Jgu6OmmJZ06jsQddkFoubg_21_2"/>
      <w:bookmarkStart w:id="147" w:name="Tc_zvOo-qwhBUSlzMRVc1SR7A_21_0"/>
      <w:bookmarkStart w:id="148" w:name="Tc_fvP56xY2xkOb3sohcC9UyA_20_0"/>
      <w:bookmarkStart w:id="149" w:name="Tc_ZVqYHXth00y8Lt-Km_offg_19_5"/>
      <w:bookmarkStart w:id="150" w:name="Tc_yt3ghMmW9EOU1qfuUo6nuA_19_2"/>
      <w:bookmarkStart w:id="151" w:name="Tc_mU6iNm-eDEOZVAzYDBtntQ_19_0"/>
      <w:bookmarkStart w:id="152" w:name="Tc_xdveGup2FkucsgEszp9SZA_18_0"/>
      <w:bookmarkStart w:id="153" w:name="Tc_Rlem31bpBkaoF_ByduJigQ_17_0"/>
      <w:bookmarkStart w:id="154" w:name="Tc_3HKyf9-PYUGSYBOFDBqfIA_16_6"/>
      <w:bookmarkStart w:id="155" w:name="Tc_oHoRWYDuckGsV66viFkh-A_16_3"/>
      <w:bookmarkStart w:id="156" w:name="Tc_NMmuGnTHS0GBqaVS90K4sg_16_0"/>
      <w:bookmarkStart w:id="157" w:name="Tc_WIv05F3N4EyvAV8DWBMYog_15_5"/>
      <w:bookmarkStart w:id="158" w:name="Tc_hkWSq6l4LEqRk8GUxa8qeA_15_2"/>
      <w:bookmarkStart w:id="159" w:name="Tc_hUnB2VQjz0-2vj-pobM0Yw_15_0"/>
      <w:bookmarkStart w:id="160" w:name="Tc_mnCOIqVgWk2-fiaC2u4Pkw_14_0"/>
      <w:bookmarkStart w:id="161" w:name="Tc_lHYUGsU4PkKAjYgvDWmf9w_13_0"/>
      <w:bookmarkStart w:id="162" w:name="Tc_y5ZjU5QFw0KPD49EWJHwEQ_12_0"/>
      <w:bookmarkStart w:id="163" w:name="Tc_xygx2vb4Wkuu_RlDlgEb2Q_11_0"/>
      <w:bookmarkStart w:id="164" w:name="Tc_0PZsYIqfyk-3_Ju3RVvFYw_10_5"/>
      <w:bookmarkStart w:id="165" w:name="Tc_h4EuLZPoFkOxADQasjjmbg_10_2"/>
      <w:bookmarkStart w:id="166" w:name="Tc_gmGomay93km33LpCZ75vTA_10_0"/>
      <w:bookmarkStart w:id="167" w:name="Tc_aP7B5ARKp02wu_OP8atx4g_9_3"/>
      <w:bookmarkStart w:id="168" w:name="Tc_rJEThQDBMEOSzYTksuDoSQ_9_0"/>
      <w:bookmarkStart w:id="169" w:name="Tc_pR8s5TLZXUKlAVzZcK-lKQ_8_6"/>
      <w:bookmarkStart w:id="170" w:name="Tc_0NSUgLarokecQh0BpJBEmw_8_0"/>
      <w:bookmarkStart w:id="171" w:name="Tc_-LxldtvfpEuq2wY75480VA_7_3"/>
      <w:bookmarkStart w:id="172" w:name="Tc_JoDfbKIzsk6N-HDKSojEeQ_7_0"/>
      <w:bookmarkStart w:id="173" w:name="Tc_Hwd0s1hIcUeWRuM1OCGRpA_6_0"/>
      <w:bookmarkStart w:id="174" w:name="Tc_dTcgIcrcbUWBsiaW5h1Y2A_5_0"/>
      <w:bookmarkStart w:id="175" w:name="Tc_Ytm9RCoUREWpkg9Bbms8fA_4_3"/>
      <w:bookmarkStart w:id="176" w:name="Tc_kHygIFlAp0-yitLtpHV33Q_4_0"/>
      <w:bookmarkStart w:id="177" w:name="Tc_eNRfMB0JpU25E2VHP5fu_Q_3_5"/>
      <w:bookmarkStart w:id="178" w:name="Tc_7RdSfF4YSUuap7KnXYPgJQ_3_3"/>
      <w:bookmarkStart w:id="179" w:name="Tc_dyXL6T8iF063eKGxoahg4g_3_2"/>
      <w:bookmarkStart w:id="180" w:name="Tc_RtbvZ12cmk62nlGRvGlCGw_3_0"/>
      <w:bookmarkStart w:id="181" w:name="Tc_UgOoUqfMMUWJcxPC4bsNfA_2_5"/>
      <w:bookmarkStart w:id="182" w:name="Tc_pVBxZFlouUKkUAsfPGT2gg_2_2"/>
      <w:bookmarkStart w:id="183" w:name="Tc_Q-7bKt-IekaAQOh5-f93Kw_1_5"/>
      <w:bookmarkStart w:id="184" w:name="Tc_zkxagcYekkip_eM9SH7xjg_1_2"/>
      <w:bookmarkStart w:id="185" w:name="_b8269edc_265f_49e6_8bbe_4c0a5d35e239"/>
      <w:bookmarkStart w:id="186" w:name="_7bb711bf_9721_48e3_bd92_74ce91613494"/>
      <w:bookmarkStart w:id="187" w:name="Tc_1GllbuFlXUSCKGHrc4OdLQ_23_0"/>
      <w:bookmarkStart w:id="188" w:name="Tc_XY6NNx0sykWGpWBUZXwNsQ_22_0"/>
      <w:bookmarkStart w:id="189" w:name="Tc_1m8CyRcalEC6egB23jlE_A_21_5"/>
      <w:bookmarkStart w:id="190" w:name="Tc_Jgu6OmmJZ06jsQddkFoubg_21_2"/>
      <w:bookmarkStart w:id="191" w:name="Tc_zvOo-qwhBUSlzMRVc1SR7A_21_0"/>
      <w:bookmarkStart w:id="192" w:name="Tc_fvP56xY2xkOb3sohcC9UyA_20_0"/>
      <w:bookmarkStart w:id="193" w:name="Tc_ZVqYHXth00y8Lt-Km_offg_19_5"/>
      <w:bookmarkStart w:id="194" w:name="Tc_yt3ghMmW9EOU1qfuUo6nuA_19_2"/>
      <w:bookmarkStart w:id="195" w:name="Tc_mU6iNm-eDEOZVAzYDBtntQ_19_0"/>
      <w:bookmarkStart w:id="196" w:name="Tc_xdveGup2FkucsgEszp9SZA_18_0"/>
      <w:bookmarkStart w:id="197" w:name="Tc_Rlem31bpBkaoF_ByduJigQ_17_0"/>
      <w:bookmarkStart w:id="198" w:name="Tc_3HKyf9-PYUGSYBOFDBqfIA_16_6"/>
      <w:bookmarkStart w:id="199" w:name="Tc_oHoRWYDuckGsV66viFkh-A_16_3"/>
      <w:bookmarkStart w:id="200" w:name="Tc_NMmuGnTHS0GBqaVS90K4sg_16_0"/>
      <w:bookmarkStart w:id="201" w:name="Tc_WIv05F3N4EyvAV8DWBMYog_15_5"/>
      <w:bookmarkStart w:id="202" w:name="Tc_hkWSq6l4LEqRk8GUxa8qeA_15_2"/>
      <w:bookmarkStart w:id="203" w:name="Tc_hUnB2VQjz0-2vj-pobM0Yw_15_0"/>
      <w:bookmarkStart w:id="204" w:name="Tc_mnCOIqVgWk2-fiaC2u4Pkw_14_0"/>
      <w:bookmarkStart w:id="205" w:name="Tc_lHYUGsU4PkKAjYgvDWmf9w_13_0"/>
      <w:bookmarkStart w:id="206" w:name="Tc_y5ZjU5QFw0KPD49EWJHwEQ_12_0"/>
      <w:bookmarkStart w:id="207" w:name="Tc_xygx2vb4Wkuu_RlDlgEb2Q_11_0"/>
      <w:bookmarkStart w:id="208" w:name="Tc_0PZsYIqfyk-3_Ju3RVvFYw_10_5"/>
      <w:bookmarkStart w:id="209" w:name="Tc_h4EuLZPoFkOxADQasjjmbg_10_2"/>
      <w:bookmarkStart w:id="210" w:name="Tc_gmGomay93km33LpCZ75vTA_10_0"/>
      <w:bookmarkStart w:id="211" w:name="Tc_aP7B5ARKp02wu_OP8atx4g_9_3"/>
      <w:bookmarkStart w:id="212" w:name="Tc_rJEThQDBMEOSzYTksuDoSQ_9_0"/>
      <w:bookmarkStart w:id="213" w:name="Tc_pR8s5TLZXUKlAVzZcK-lKQ_8_6"/>
      <w:bookmarkStart w:id="214" w:name="Tc_0NSUgLarokecQh0BpJBEmw_8_0"/>
      <w:bookmarkStart w:id="215" w:name="Tc_-LxldtvfpEuq2wY75480VA_7_3"/>
      <w:bookmarkStart w:id="216" w:name="Tc_JoDfbKIzsk6N-HDKSojEeQ_7_0"/>
      <w:bookmarkStart w:id="217" w:name="Tc_Hwd0s1hIcUeWRuM1OCGRpA_6_0"/>
      <w:bookmarkStart w:id="218" w:name="Tc_dTcgIcrcbUWBsiaW5h1Y2A_5_0"/>
      <w:bookmarkStart w:id="219" w:name="Tc_Ytm9RCoUREWpkg9Bbms8fA_4_3"/>
      <w:bookmarkStart w:id="220" w:name="Tc_kHygIFlAp0-yitLtpHV33Q_4_0"/>
      <w:bookmarkStart w:id="221" w:name="Tc_eNRfMB0JpU25E2VHP5fu_Q_3_5"/>
      <w:bookmarkStart w:id="222" w:name="Tc_7RdSfF4YSUuap7KnXYPgJQ_3_3"/>
      <w:bookmarkStart w:id="223" w:name="Tc_dyXL6T8iF063eKGxoahg4g_3_2"/>
      <w:bookmarkStart w:id="224" w:name="Tc_RtbvZ12cmk62nlGRvGlCGw_3_0"/>
      <w:bookmarkStart w:id="225" w:name="Tc_UgOoUqfMMUWJcxPC4bsNfA_2_5"/>
      <w:bookmarkStart w:id="226" w:name="Tc_pVBxZFlouUKkUAsfPGT2gg_2_2"/>
      <w:bookmarkStart w:id="227" w:name="Tc_Q-7bKt-IekaAQOh5-f93Kw_1_5"/>
      <w:bookmarkStart w:id="228" w:name="Tc_zkxagcYekkip_eM9SH7xjg_1_2"/>
      <w:bookmarkStart w:id="229" w:name="_b8269edc_265f_49e6_8bbe_4c0a5d35e239"/>
      <w:bookmarkStart w:id="230" w:name="_7bb711bf_9721_48e3_bd92_74ce91613494"/>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tbl>
      <w:tblPr>
        <w:tblW w:w="9514" w:type="dxa"/>
        <w:jc w:val="left"/>
        <w:tblInd w:w="0" w:type="dxa"/>
        <w:tblLayout w:type="fixed"/>
        <w:tblCellMar>
          <w:top w:w="0" w:type="dxa"/>
          <w:left w:w="0" w:type="dxa"/>
          <w:bottom w:w="0" w:type="dxa"/>
          <w:right w:w="0" w:type="dxa"/>
        </w:tblCellMar>
      </w:tblPr>
      <w:tblGrid>
        <w:gridCol w:w="5131"/>
        <w:gridCol w:w="206"/>
        <w:gridCol w:w="414"/>
        <w:gridCol w:w="1386"/>
        <w:gridCol w:w="266"/>
        <w:gridCol w:w="337"/>
        <w:gridCol w:w="1463"/>
        <w:gridCol w:w="311"/>
      </w:tblGrid>
      <w:tr>
        <w:trPr/>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258185" cy="175260"/>
                      <wp:effectExtent l="0" t="0" r="0" b="0"/>
                      <wp:wrapNone/>
                      <wp:docPr id="14" name="Frame14"/>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0810" cy="175260"/>
                      <wp:effectExtent l="0" t="0" r="0" b="0"/>
                      <wp:wrapNone/>
                      <wp:docPr id="15" name="Frame1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62890" cy="175260"/>
                      <wp:effectExtent l="0" t="0" r="0" b="0"/>
                      <wp:wrapNone/>
                      <wp:docPr id="16" name="Frame16"/>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880110" cy="175260"/>
                      <wp:effectExtent l="0" t="0" r="0" b="0"/>
                      <wp:wrapNone/>
                      <wp:docPr id="17" name="Frame17"/>
                      <a:graphic xmlns:a="http://schemas.openxmlformats.org/drawingml/2006/main">
                        <a:graphicData uri="http://schemas.microsoft.com/office/word/2010/wordprocessingShape">
                          <wps:wsp>
                            <wps:cNvSpPr txBox="1"/>
                            <wps:spPr>
                              <a:xfrm>
                                <a:off x="0" y="0"/>
                                <a:ext cx="880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68910" cy="175260"/>
                      <wp:effectExtent l="0" t="0" r="0" b="0"/>
                      <wp:wrapNone/>
                      <wp:docPr id="18" name="Frame1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3995" cy="175260"/>
                      <wp:effectExtent l="0" t="0" r="0" b="0"/>
                      <wp:wrapNone/>
                      <wp:docPr id="19" name="Frame19"/>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29005" cy="175260"/>
                      <wp:effectExtent l="0" t="0" r="0" b="0"/>
                      <wp:wrapNone/>
                      <wp:docPr id="20" name="Frame20"/>
                      <a:graphic xmlns:a="http://schemas.openxmlformats.org/drawingml/2006/main">
                        <a:graphicData uri="http://schemas.microsoft.com/office/word/2010/wordprocessingShape">
                          <wps:wsp>
                            <wps:cNvSpPr txBox="1"/>
                            <wps:spPr>
                              <a:xfrm>
                                <a:off x="0" y="0"/>
                                <a:ext cx="929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97485" cy="175260"/>
                      <wp:effectExtent l="0" t="0" r="0" b="0"/>
                      <wp:wrapNone/>
                      <wp:docPr id="21" name="Frame21"/>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3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8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266" w:type="dxa"/>
            <w:tcBorders/>
            <w:vAlign w:val="center"/>
          </w:tcPr>
          <w:p>
            <w:pPr>
              <w:pStyle w:val="TableContents"/>
              <w:bidi w:val="0"/>
              <w:spacing w:before="0" w:after="1"/>
              <w:ind w:left="0" w:right="0" w:hanging="0"/>
              <w:jc w:val="left"/>
              <w:rPr/>
            </w:pPr>
            <w:r>
              <w:rPr/>
              <w:t>​</w:t>
            </w:r>
          </w:p>
        </w:tc>
        <w:tc>
          <w:tcPr>
            <w:tcW w:w="18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11" w:type="dxa"/>
            <w:tcBorders/>
            <w:vAlign w:val="center"/>
          </w:tcPr>
          <w:p>
            <w:pPr>
              <w:pStyle w:val="TableContents"/>
              <w:bidi w:val="0"/>
              <w:spacing w:before="0" w:after="1"/>
              <w:ind w:left="0" w:right="0" w:hanging="0"/>
              <w:jc w:val="left"/>
              <w:rPr/>
            </w:pPr>
            <w:r>
              <w:rPr/>
              <w:t>   </w:t>
            </w:r>
          </w:p>
        </w:tc>
      </w:tr>
      <w:tr>
        <w:trPr/>
        <w:tc>
          <w:tcPr>
            <w:tcW w:w="513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1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2024</w:t>
            </w:r>
          </w:p>
        </w:tc>
        <w:tc>
          <w:tcPr>
            <w:tcW w:w="266" w:type="dxa"/>
            <w:tcBorders/>
            <w:vAlign w:val="center"/>
          </w:tcPr>
          <w:p>
            <w:pPr>
              <w:pStyle w:val="TableContents"/>
              <w:bidi w:val="0"/>
              <w:spacing w:before="0" w:after="1"/>
              <w:ind w:left="0" w:right="0" w:hanging="0"/>
              <w:jc w:val="left"/>
              <w:rPr/>
            </w:pPr>
            <w:r>
              <w:rPr/>
              <w:t>   </w:t>
            </w:r>
          </w:p>
        </w:tc>
        <w:tc>
          <w:tcPr>
            <w:tcW w:w="1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2023</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sales</w:t>
            </w:r>
          </w:p>
        </w:tc>
        <w:tc>
          <w:tcPr>
            <w:tcW w:w="20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shd w:fill="CCEEFF" w:val="cle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189</w:t>
            </w:r>
          </w:p>
        </w:tc>
        <w:tc>
          <w:tcPr>
            <w:tcW w:w="311"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Cost of sales</w:t>
            </w:r>
          </w:p>
        </w:tc>
        <w:tc>
          <w:tcPr>
            <w:tcW w:w="20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 </w:t>
            </w:r>
          </w:p>
        </w:tc>
        <w:tc>
          <w:tcPr>
            <w:tcW w:w="1386"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4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30,811</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206" w:type="dxa"/>
            <w:tcBorders/>
            <w:shd w:fill="CCEEFF" w:val="clear"/>
            <w:vAlign w:val="center"/>
          </w:tcPr>
          <w:p>
            <w:pPr>
              <w:pStyle w:val="TableContents"/>
              <w:bidi w:val="0"/>
              <w:spacing w:before="0" w:after="1"/>
              <w:ind w:left="0" w:right="0" w:hanging="0"/>
              <w:jc w:val="right"/>
              <w:rPr/>
            </w:pPr>
            <w:r>
              <w:rPr/>
              <w:t>​</w:t>
            </w:r>
          </w:p>
        </w:tc>
        <w:tc>
          <w:tcPr>
            <w:tcW w:w="414" w:type="dxa"/>
            <w:tcBorders/>
            <w:shd w:fill="CCEEFF" w:val="clear"/>
            <w:vAlign w:val="center"/>
          </w:tcPr>
          <w:p>
            <w:pPr>
              <w:pStyle w:val="TableContents"/>
              <w:bidi w:val="0"/>
              <w:spacing w:before="0" w:after="1"/>
              <w:ind w:left="0" w:right="0" w:hanging="0"/>
              <w:jc w:val="left"/>
              <w:rPr/>
            </w:pPr>
            <w:r>
              <w:rPr/>
              <w:t>​</w:t>
            </w:r>
          </w:p>
        </w:tc>
        <w:tc>
          <w:tcPr>
            <w:tcW w:w="138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463"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Selling, general and administrative expenses </w:t>
            </w:r>
          </w:p>
        </w:tc>
        <w:tc>
          <w:tcPr>
            <w:tcW w:w="20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 </w:t>
            </w:r>
          </w:p>
        </w:tc>
        <w:tc>
          <w:tcPr>
            <w:tcW w:w="13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5,243</w:t>
            </w:r>
          </w:p>
        </w:tc>
        <w:tc>
          <w:tcPr>
            <w:tcW w:w="26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1463"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14,687</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 expenses</w:t>
            </w:r>
          </w:p>
        </w:tc>
        <w:tc>
          <w:tcPr>
            <w:tcW w:w="20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 </w:t>
            </w:r>
          </w:p>
        </w:tc>
        <w:tc>
          <w:tcPr>
            <w:tcW w:w="1386" w:type="dxa"/>
            <w:tcBorders/>
            <w:shd w:fill="CCEEFF" w:val="cle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4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14,425</w:t>
            </w:r>
          </w:p>
        </w:tc>
        <w:tc>
          <w:tcPr>
            <w:tcW w:w="311"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Reorganization items</w:t>
            </w:r>
          </w:p>
        </w:tc>
        <w:tc>
          <w:tcPr>
            <w:tcW w:w="20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w:t>
            </w:r>
          </w:p>
        </w:tc>
        <w:tc>
          <w:tcPr>
            <w:tcW w:w="138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4,241</w:t>
            </w:r>
          </w:p>
        </w:tc>
        <w:tc>
          <w:tcPr>
            <w:tcW w:w="26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1463" w:type="dxa"/>
            <w:tcBorders/>
            <w:vAlign w:val="center"/>
          </w:tcPr>
          <w:p>
            <w:pPr>
              <w:pStyle w:val="TableContents"/>
              <w:bidi w:val="0"/>
              <w:spacing w:before="0" w:after="1"/>
              <w:ind w:left="0" w:right="0" w:hanging="0"/>
              <w:jc w:val="right"/>
              <w:rPr/>
            </w:pPr>
            <w:r>
              <w:rPr/>
              <w:t xml:space="preserve">— </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Impairment of property plant &amp; equipment and intangibles</w:t>
            </w:r>
          </w:p>
        </w:tc>
        <w:tc>
          <w:tcPr>
            <w:tcW w:w="20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w:t>
            </w:r>
          </w:p>
        </w:tc>
        <w:tc>
          <w:tcPr>
            <w:tcW w:w="13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4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114,440</w:t>
            </w:r>
          </w:p>
        </w:tc>
        <w:tc>
          <w:tcPr>
            <w:tcW w:w="311"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206" w:type="dxa"/>
            <w:tcBorders/>
            <w:vAlign w:val="center"/>
          </w:tcPr>
          <w:p>
            <w:pPr>
              <w:pStyle w:val="TableContents"/>
              <w:bidi w:val="0"/>
              <w:spacing w:before="0" w:after="1"/>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9,484</w:t>
            </w:r>
          </w:p>
        </w:tc>
        <w:tc>
          <w:tcPr>
            <w:tcW w:w="26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143,552</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Loss from operations </w:t>
            </w:r>
          </w:p>
        </w:tc>
        <w:tc>
          <w:tcPr>
            <w:tcW w:w="20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 </w:t>
            </w:r>
          </w:p>
        </w:tc>
        <w:tc>
          <w:tcPr>
            <w:tcW w:w="13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(9,484)</w:t>
            </w:r>
          </w:p>
        </w:tc>
        <w:tc>
          <w:tcPr>
            <w:tcW w:w="26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4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(174,174)</w:t>
            </w:r>
          </w:p>
        </w:tc>
        <w:tc>
          <w:tcPr>
            <w:tcW w:w="311"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20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 </w:t>
            </w:r>
          </w:p>
        </w:tc>
        <w:tc>
          <w:tcPr>
            <w:tcW w:w="1386" w:type="dxa"/>
            <w:tcBorders/>
            <w:vAlign w:val="center"/>
          </w:tcPr>
          <w:p>
            <w:pPr>
              <w:pStyle w:val="TableContents"/>
              <w:bidi w:val="0"/>
              <w:spacing w:before="0" w:after="1"/>
              <w:ind w:left="0" w:right="0" w:hanging="0"/>
              <w:jc w:val="right"/>
              <w:rPr/>
            </w:pPr>
            <w:r>
              <w:rPr/>
              <w:t>  </w:t>
            </w:r>
          </w:p>
        </w:tc>
        <w:tc>
          <w:tcPr>
            <w:tcW w:w="26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463" w:type="dxa"/>
            <w:tcBorders/>
            <w:vAlign w:val="center"/>
          </w:tcPr>
          <w:p>
            <w:pPr>
              <w:pStyle w:val="TableContents"/>
              <w:bidi w:val="0"/>
              <w:spacing w:before="0" w:after="1"/>
              <w:ind w:left="0" w:right="0" w:hanging="0"/>
              <w:jc w:val="right"/>
              <w:rPr/>
            </w:pPr>
            <w:r>
              <w:rPr/>
              <w:t>  </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20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w:t>
            </w:r>
          </w:p>
        </w:tc>
        <w:tc>
          <w:tcPr>
            <w:tcW w:w="13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(98)</w:t>
            </w:r>
          </w:p>
        </w:tc>
        <w:tc>
          <w:tcPr>
            <w:tcW w:w="26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4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64</w:t>
            </w:r>
          </w:p>
        </w:tc>
        <w:tc>
          <w:tcPr>
            <w:tcW w:w="311"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Investment and interest income</w:t>
            </w:r>
          </w:p>
        </w:tc>
        <w:tc>
          <w:tcPr>
            <w:tcW w:w="206" w:type="dxa"/>
            <w:tcBorders/>
            <w:vAlign w:val="center"/>
          </w:tcPr>
          <w:p>
            <w:pPr>
              <w:pStyle w:val="TableContents"/>
              <w:bidi w:val="0"/>
              <w:spacing w:before="0" w:after="1"/>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1,109</w:t>
            </w:r>
          </w:p>
        </w:tc>
        <w:tc>
          <w:tcPr>
            <w:tcW w:w="26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2,391</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20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(8,473)</w:t>
            </w:r>
          </w:p>
        </w:tc>
        <w:tc>
          <w:tcPr>
            <w:tcW w:w="26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(171,719)</w:t>
            </w:r>
          </w:p>
        </w:tc>
        <w:tc>
          <w:tcPr>
            <w:tcW w:w="311"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206" w:type="dxa"/>
            <w:tcBorders/>
            <w:vAlign w:val="center"/>
          </w:tcPr>
          <w:p>
            <w:pPr>
              <w:pStyle w:val="TableContents"/>
              <w:bidi w:val="0"/>
              <w:spacing w:before="0" w:after="1"/>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63" w:type="dxa"/>
            <w:tcBorders>
              <w:bottom w:val="single" w:sz="2" w:space="0" w:color="000000"/>
            </w:tcBorders>
            <w:tcMar>
              <w:bottom w:w="28" w:type="dxa"/>
            </w:tcMar>
            <w:vAlign w:val="center"/>
          </w:tcPr>
          <w:p>
            <w:pPr>
              <w:pStyle w:val="TableContents"/>
              <w:bidi w:val="0"/>
              <w:spacing w:before="0" w:after="1"/>
              <w:ind w:left="0" w:right="0" w:hanging="0"/>
              <w:jc w:val="right"/>
              <w:rPr/>
            </w:pPr>
            <w:r>
              <w:rPr/>
              <w:t xml:space="preserve">— </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20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pPr>
            <w:r>
              <w:rPr/>
              <w:t>​</w:t>
            </w:r>
          </w:p>
        </w:tc>
        <w:tc>
          <w:tcPr>
            <w:tcW w:w="13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(8,473)</w:t>
            </w:r>
          </w:p>
        </w:tc>
        <w:tc>
          <w:tcPr>
            <w:tcW w:w="266" w:type="dxa"/>
            <w:tcBorders/>
            <w:shd w:fill="CCEEFF" w:val="clear"/>
            <w:vAlign w:val="center"/>
          </w:tcPr>
          <w:p>
            <w:pPr>
              <w:pStyle w:val="TableContents"/>
              <w:bidi w:val="0"/>
              <w:spacing w:before="0" w:after="1"/>
              <w:ind w:left="0" w:right="0" w:hanging="0"/>
              <w:jc w:val="left"/>
              <w:rPr/>
            </w:pPr>
            <w:r>
              <w:rPr/>
              <w:t>​</w:t>
            </w:r>
          </w:p>
        </w:tc>
        <w:tc>
          <w:tcPr>
            <w:tcW w:w="337" w:type="dxa"/>
            <w:tcBorders/>
            <w:shd w:fill="CCEEFF" w:val="clear"/>
            <w:vAlign w:val="center"/>
          </w:tcPr>
          <w:p>
            <w:pPr>
              <w:pStyle w:val="TableContents"/>
              <w:bidi w:val="0"/>
              <w:spacing w:before="0" w:after="1"/>
              <w:ind w:left="0" w:right="0" w:hanging="0"/>
              <w:jc w:val="left"/>
              <w:rPr/>
            </w:pPr>
            <w:r>
              <w:rPr/>
              <w:t>​</w:t>
            </w:r>
          </w:p>
        </w:tc>
        <w:tc>
          <w:tcPr>
            <w:tcW w:w="14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(171,719)</w:t>
            </w:r>
          </w:p>
        </w:tc>
        <w:tc>
          <w:tcPr>
            <w:tcW w:w="311"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Less accrued preferred stock dividend</w:t>
            </w:r>
          </w:p>
        </w:tc>
        <w:tc>
          <w:tcPr>
            <w:tcW w:w="206" w:type="dxa"/>
            <w:tcBorders/>
            <w:vAlign w:val="center"/>
          </w:tcPr>
          <w:p>
            <w:pPr>
              <w:pStyle w:val="TableContents"/>
              <w:bidi w:val="0"/>
              <w:spacing w:before="0" w:after="1"/>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655</w:t>
            </w:r>
          </w:p>
        </w:tc>
        <w:tc>
          <w:tcPr>
            <w:tcW w:w="26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63"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(605)</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 attributable to common shareholders</w:t>
            </w:r>
          </w:p>
        </w:tc>
        <w:tc>
          <w:tcPr>
            <w:tcW w:w="206" w:type="dxa"/>
            <w:tcBorders/>
            <w:shd w:fill="CCEEFF" w:val="clear"/>
            <w:vAlign w:val="center"/>
          </w:tcPr>
          <w:p>
            <w:pPr>
              <w:pStyle w:val="TableContents"/>
              <w:bidi w:val="0"/>
              <w:spacing w:before="0" w:after="1"/>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(9,128)</w:t>
            </w:r>
          </w:p>
        </w:tc>
        <w:tc>
          <w:tcPr>
            <w:tcW w:w="26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(171,114)</w:t>
            </w:r>
          </w:p>
        </w:tc>
        <w:tc>
          <w:tcPr>
            <w:tcW w:w="311" w:type="dxa"/>
            <w:tcBorders/>
            <w:shd w:fill="CCEEFF" w:val="clear"/>
            <w:vAlign w:val="center"/>
          </w:tcPr>
          <w:p>
            <w:pPr>
              <w:pStyle w:val="TableContents"/>
              <w:bidi w:val="0"/>
              <w:spacing w:before="0" w:after="1"/>
              <w:ind w:left="0" w:right="0" w:hanging="0"/>
              <w:jc w:val="left"/>
              <w:rPr/>
            </w:pPr>
            <w:r>
              <w:rPr/>
              <w:t>​</w:t>
            </w:r>
          </w:p>
        </w:tc>
      </w:tr>
      <w:tr>
        <w:trPr/>
        <w:tc>
          <w:tcPr>
            <w:tcW w:w="51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 per share attributable to common shareholders</w:t>
            </w:r>
          </w:p>
        </w:tc>
        <w:tc>
          <w:tcPr>
            <w:tcW w:w="20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pPr>
            <w:r>
              <w:rPr/>
              <w:t> </w:t>
            </w:r>
          </w:p>
        </w:tc>
        <w:tc>
          <w:tcPr>
            <w:tcW w:w="1386" w:type="dxa"/>
            <w:tcBorders/>
            <w:vAlign w:val="center"/>
          </w:tcPr>
          <w:p>
            <w:pPr>
              <w:pStyle w:val="TableContents"/>
              <w:bidi w:val="0"/>
              <w:spacing w:before="0" w:after="1"/>
              <w:ind w:left="0" w:right="0" w:hanging="0"/>
              <w:jc w:val="right"/>
              <w:rPr/>
            </w:pPr>
            <w:r>
              <w:rPr/>
              <w:t>  </w:t>
            </w:r>
          </w:p>
        </w:tc>
        <w:tc>
          <w:tcPr>
            <w:tcW w:w="266"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 </w:t>
            </w:r>
          </w:p>
        </w:tc>
        <w:tc>
          <w:tcPr>
            <w:tcW w:w="1463" w:type="dxa"/>
            <w:tcBorders/>
            <w:vAlign w:val="center"/>
          </w:tcPr>
          <w:p>
            <w:pPr>
              <w:pStyle w:val="TableContents"/>
              <w:bidi w:val="0"/>
              <w:spacing w:before="0" w:after="1"/>
              <w:ind w:left="0" w:right="0" w:hanging="0"/>
              <w:jc w:val="right"/>
              <w:rPr/>
            </w:pPr>
            <w:r>
              <w:rPr/>
              <w:t>  </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Basic &amp; Diluted</w:t>
            </w:r>
          </w:p>
        </w:tc>
        <w:tc>
          <w:tcPr>
            <w:tcW w:w="20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(0.57)</w:t>
            </w:r>
          </w:p>
        </w:tc>
        <w:tc>
          <w:tcPr>
            <w:tcW w:w="266" w:type="dxa"/>
            <w:tcBorders/>
            <w:shd w:fill="CCEEFF" w:val="clear"/>
            <w:vAlign w:val="center"/>
          </w:tcPr>
          <w:p>
            <w:pPr>
              <w:pStyle w:val="TableContents"/>
              <w:bidi w:val="0"/>
              <w:spacing w:before="0" w:after="1"/>
              <w:ind w:left="0" w:right="0" w:hanging="0"/>
              <w:jc w:val="right"/>
              <w:rPr/>
            </w:pPr>
            <w:r>
              <w:rPr/>
              <w:t>​</w:t>
            </w:r>
          </w:p>
        </w:tc>
        <w:tc>
          <w:tcPr>
            <w:tcW w:w="337"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63"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(10.71)</w:t>
            </w:r>
          </w:p>
        </w:tc>
        <w:tc>
          <w:tcPr>
            <w:tcW w:w="311" w:type="dxa"/>
            <w:tcBorders/>
            <w:shd w:fill="CCEEFF" w:val="clear"/>
            <w:vAlign w:val="center"/>
          </w:tcPr>
          <w:p>
            <w:pPr>
              <w:pStyle w:val="TableContents"/>
              <w:bidi w:val="0"/>
              <w:spacing w:before="0" w:after="1"/>
              <w:ind w:left="0" w:right="0" w:hanging="0"/>
              <w:jc w:val="right"/>
              <w:rPr/>
            </w:pPr>
            <w:r>
              <w:rPr/>
              <w:t>​</w:t>
            </w:r>
          </w:p>
        </w:tc>
      </w:tr>
      <w:tr>
        <w:trPr/>
        <w:tc>
          <w:tcPr>
            <w:tcW w:w="513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Weighted-average number of common shares outstanding</w:t>
            </w:r>
          </w:p>
        </w:tc>
        <w:tc>
          <w:tcPr>
            <w:tcW w:w="206" w:type="dxa"/>
            <w:tcBorders/>
            <w:vAlign w:val="center"/>
          </w:tcPr>
          <w:p>
            <w:pPr>
              <w:pStyle w:val="TableContents"/>
              <w:bidi w:val="0"/>
              <w:spacing w:before="0" w:after="1"/>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86"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266" w:type="dxa"/>
            <w:tcBorders/>
            <w:vAlign w:val="center"/>
          </w:tcPr>
          <w:p>
            <w:pPr>
              <w:pStyle w:val="TableContents"/>
              <w:bidi w:val="0"/>
              <w:spacing w:before="0" w:after="1"/>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63"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311" w:type="dxa"/>
            <w:tcBorders/>
            <w:vAlign w:val="center"/>
          </w:tcPr>
          <w:p>
            <w:pPr>
              <w:pStyle w:val="TableContents"/>
              <w:bidi w:val="0"/>
              <w:spacing w:before="0" w:after="1"/>
              <w:ind w:left="0" w:right="0" w:hanging="0"/>
              <w:jc w:val="left"/>
              <w:rPr/>
            </w:pPr>
            <w:r>
              <w:rPr/>
              <w:t>​</w:t>
            </w:r>
          </w:p>
        </w:tc>
      </w:tr>
      <w:tr>
        <w:trPr/>
        <w:tc>
          <w:tcPr>
            <w:tcW w:w="513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Basic &amp; Diluted</w:t>
            </w:r>
          </w:p>
        </w:tc>
        <w:tc>
          <w:tcPr>
            <w:tcW w:w="206" w:type="dxa"/>
            <w:tcBorders/>
            <w:shd w:fill="CCEEFF" w:val="clear"/>
            <w:vAlign w:val="center"/>
          </w:tcPr>
          <w:p>
            <w:pPr>
              <w:pStyle w:val="TableContents"/>
              <w:bidi w:val="0"/>
              <w:spacing w:before="0" w:after="1"/>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16,047</w:t>
            </w:r>
          </w:p>
        </w:tc>
        <w:tc>
          <w:tcPr>
            <w:tcW w:w="266" w:type="dxa"/>
            <w:tcBorders/>
            <w:shd w:fill="CCEEFF" w:val="clear"/>
            <w:vAlign w:val="center"/>
          </w:tcPr>
          <w:p>
            <w:pPr>
              <w:pStyle w:val="TableContents"/>
              <w:bidi w:val="0"/>
              <w:spacing w:before="0" w:after="1"/>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15,984</w:t>
            </w:r>
          </w:p>
        </w:tc>
        <w:tc>
          <w:tcPr>
            <w:tcW w:w="31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Arial;Helvetica;sans-serif" w:hAnsi="Arial;Helvetica;sans-serif"/>
          <w:sz w:val="20"/>
        </w:rPr>
      </w:pPr>
      <w:r>
        <w:rPr>
          <w:rFonts w:ascii="Arial;Helvetica;sans-serif" w:hAnsi="Arial;Helvetica;sans-serif"/>
          <w:sz w:val="20"/>
        </w:rPr>
        <w:t>See Notes to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231" w:name="_362e621c_52e7_4e9d_b3d5_664251ade4c2"/>
      <w:bookmarkEnd w:id="231"/>
      <w:r>
        <w:rPr>
          <w:rFonts w:ascii="Arial;Helvetica;sans-serif" w:hAnsi="Arial;Helvetica;sans-serif"/>
          <w:b/>
          <w:sz w:val="20"/>
        </w:rPr>
        <w:t>Nu Ride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f/k/a Lordstown Motors Corp.</w:t>
      </w:r>
    </w:p>
    <w:p>
      <w:pPr>
        <w:pStyle w:val="TextBody"/>
        <w:bidi w:val="0"/>
        <w:spacing w:before="0" w:after="0"/>
        <w:ind w:left="0" w:right="0" w:hanging="0"/>
        <w:jc w:val="center"/>
        <w:rPr>
          <w:rFonts w:ascii="Arial;Helvetica;sans-serif" w:hAnsi="Arial;Helvetica;sans-serif"/>
          <w:b/>
          <w:sz w:val="20"/>
        </w:rPr>
      </w:pPr>
      <w:bookmarkStart w:id="232" w:name="StatementsofStockholdersDeficitEquity_38"/>
      <w:bookmarkEnd w:id="232"/>
      <w:r>
        <w:rPr>
          <w:rFonts w:ascii="Arial;Helvetica;sans-serif" w:hAnsi="Arial;Helvetica;sans-serif"/>
          <w:b/>
          <w:sz w:val="20"/>
        </w:rPr>
        <w:t>Statements of Stockholders’ Equity/(Deficit)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(Common Stock adjusted to reflect May 2023 reverse stock split)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33" w:name="Tc_jxUzqYLXR0-sULoZetADCw_10_18"/>
      <w:bookmarkStart w:id="234" w:name="Tc_EwdY0P0Olk2VF2ADSCfUWA_10_15"/>
      <w:bookmarkStart w:id="235" w:name="Tc_WNrz9Mog6UWRnPftaaNwoA_10_12"/>
      <w:bookmarkStart w:id="236" w:name="Tc_s1fgaBzPvECjhtaiVseM8Q_10_9"/>
      <w:bookmarkStart w:id="237" w:name="Tc_8Q-kqBUEHU6pS4nhfKhUrw_10_4"/>
      <w:bookmarkStart w:id="238" w:name="Tc_-oAFPlqiVU-KwwoU3kquVA_10_0"/>
      <w:bookmarkStart w:id="239" w:name="Tc_R0m2n1fKZEmMstQELyC7zw_9_13"/>
      <w:bookmarkStart w:id="240" w:name="Tc_l0RrKY_2_UyuGT-rfHo2cQ_9_10"/>
      <w:bookmarkStart w:id="241" w:name="Tc_zSUWCzw0A0qJTZcWqyu44g_9_7"/>
      <w:bookmarkStart w:id="242" w:name="Tc_tBG773t-AUG3crUGMKqeCQ_9_5"/>
      <w:bookmarkStart w:id="243" w:name="Tc_PDWw3bk7LEaLuqUNk2MtJA_9_2"/>
      <w:bookmarkStart w:id="244" w:name="Tc_GrP3blPYG0q9sFM5iHADSg_9_0"/>
      <w:bookmarkStart w:id="245" w:name="Tc__dv4MC8z6kq-nwlKMnH2kw_8_16"/>
      <w:bookmarkStart w:id="246" w:name="Tc_xAxyyyn_8kOk-0PxXAHr6A_8_10"/>
      <w:bookmarkStart w:id="247" w:name="Tc_oXX_4X_pq0uBT47snXku6Q_8_7"/>
      <w:bookmarkStart w:id="248" w:name="Tc__5yK7w4lw0yVyKpMsXXC8A_8_2"/>
      <w:bookmarkStart w:id="249" w:name="Tc_8qUVhw6vjk-mvJe6na3liQ_8_0"/>
      <w:bookmarkStart w:id="250" w:name="Tc_TDAjo3xmo06nXxGUXBtNFw_7_16"/>
      <w:bookmarkStart w:id="251" w:name="Tc_q8qWr9ykJkS9F817RZkESg_7_7"/>
      <w:bookmarkStart w:id="252" w:name="Tc_BtyGxVLwrUWaQ4sAdNcPJg_7_5"/>
      <w:bookmarkStart w:id="253" w:name="Tc__NzatiuRW06hGg7PYiSQGw_7_2"/>
      <w:bookmarkStart w:id="254" w:name="Tc_OiI56OLq0kqlKPi5_mnSAA_7_0"/>
      <w:bookmarkStart w:id="255" w:name="Tc_E1foTd0bWUanGQCagKSNmQ_6_16"/>
      <w:bookmarkStart w:id="256" w:name="Tc_DJtxSHyxfEWBKSijylgqgQ_6_10"/>
      <w:bookmarkStart w:id="257" w:name="Tc__ZJMxPuvYUOIXhc2pdKTig_6_5"/>
      <w:bookmarkStart w:id="258" w:name="Tc_EJeuB5fJSUekC8V_89XdGA_6_2"/>
      <w:bookmarkStart w:id="259" w:name="Tc_Ffeaudkxv0CssFI-LI9GpQ_6_0"/>
      <w:bookmarkStart w:id="260" w:name="Tc_f1oNycgFHkyQ_2sXYT5nmA_5_18"/>
      <w:bookmarkStart w:id="261" w:name="Tc_yZteR_1XbkqD08_TGN1Beg_5_15"/>
      <w:bookmarkStart w:id="262" w:name="Tc_rvh-CTSYAEW4IOdD1as4TQ_5_12"/>
      <w:bookmarkStart w:id="263" w:name="Tc_CVFczWKCmUCeHhjzQcVj9Q_5_9"/>
      <w:bookmarkStart w:id="264" w:name="Tc_SE14zgYsfkqmYkbIYOCLLw_5_4"/>
      <w:bookmarkStart w:id="265" w:name="Tc_gscf3_oPPUWkPVMgG2iefg_5_0"/>
      <w:bookmarkStart w:id="266" w:name="Tc_jKdLSdfGKUK_SmH1DdJpqg_4_18"/>
      <w:bookmarkStart w:id="267" w:name="Tc_MfFzl0PXKESEXd_EXeqg7w_4_15"/>
      <w:bookmarkStart w:id="268" w:name="Tc_rwYa0VugPkyMGzbaLcjOpg_4_12"/>
      <w:bookmarkStart w:id="269" w:name="Tc_rh4IgaKUOU-NhO9By2Tjrg_4_9"/>
      <w:bookmarkStart w:id="270" w:name="Tc_Jwk-Ovfnu0ObzsC3TDMbsQ_4_7"/>
      <w:bookmarkStart w:id="271" w:name="Tc_N1G3v5hnR0C0K4Mm0Q-K2A_4_4"/>
      <w:bookmarkStart w:id="272" w:name="Tc_OacWmaT8s0aLQ1LtUF64Eg_4_2"/>
      <w:bookmarkStart w:id="273" w:name="Tc_2XzZ6-uONkKRBNpMz2AmBQ_3_18"/>
      <w:bookmarkStart w:id="274" w:name="Tc_oVlYsetScUm8alT4otAM-w_3_15"/>
      <w:bookmarkStart w:id="275" w:name="Tc_iN5tO66i90y6cUJm8qmreA_3_12"/>
      <w:bookmarkStart w:id="276" w:name="Tc_Kzb8PwFSz0SW0hknqbCZAQ_3_7"/>
      <w:bookmarkStart w:id="277" w:name="Tc_X-pR6SqUhUuVmPnZnHd-4g_3_2"/>
      <w:bookmarkStart w:id="278" w:name="Tc_ZRlfp7cqmk61BSXO9R0Hpw_2_18"/>
      <w:bookmarkStart w:id="279" w:name="Tc_aELqpTfN8kaR5bAqHtYTZA_2_12"/>
      <w:bookmarkStart w:id="280" w:name="Tc_nMYrp_NSQkaGMA9Z0-E8uQ_1_2"/>
      <w:bookmarkStart w:id="281" w:name="_70b54469_7321_43c0_9f05_ba295024ef0b"/>
      <w:bookmarkStart w:id="282" w:name="Tc_jxUzqYLXR0-sULoZetADCw_10_18"/>
      <w:bookmarkStart w:id="283" w:name="Tc_EwdY0P0Olk2VF2ADSCfUWA_10_15"/>
      <w:bookmarkStart w:id="284" w:name="Tc_WNrz9Mog6UWRnPftaaNwoA_10_12"/>
      <w:bookmarkStart w:id="285" w:name="Tc_s1fgaBzPvECjhtaiVseM8Q_10_9"/>
      <w:bookmarkStart w:id="286" w:name="Tc_8Q-kqBUEHU6pS4nhfKhUrw_10_4"/>
      <w:bookmarkStart w:id="287" w:name="Tc_-oAFPlqiVU-KwwoU3kquVA_10_0"/>
      <w:bookmarkStart w:id="288" w:name="Tc_R0m2n1fKZEmMstQELyC7zw_9_13"/>
      <w:bookmarkStart w:id="289" w:name="Tc_l0RrKY_2_UyuGT-rfHo2cQ_9_10"/>
      <w:bookmarkStart w:id="290" w:name="Tc_zSUWCzw0A0qJTZcWqyu44g_9_7"/>
      <w:bookmarkStart w:id="291" w:name="Tc_tBG773t-AUG3crUGMKqeCQ_9_5"/>
      <w:bookmarkStart w:id="292" w:name="Tc_PDWw3bk7LEaLuqUNk2MtJA_9_2"/>
      <w:bookmarkStart w:id="293" w:name="Tc_GrP3blPYG0q9sFM5iHADSg_9_0"/>
      <w:bookmarkStart w:id="294" w:name="Tc__dv4MC8z6kq-nwlKMnH2kw_8_16"/>
      <w:bookmarkStart w:id="295" w:name="Tc_xAxyyyn_8kOk-0PxXAHr6A_8_10"/>
      <w:bookmarkStart w:id="296" w:name="Tc_oXX_4X_pq0uBT47snXku6Q_8_7"/>
      <w:bookmarkStart w:id="297" w:name="Tc__5yK7w4lw0yVyKpMsXXC8A_8_2"/>
      <w:bookmarkStart w:id="298" w:name="Tc_8qUVhw6vjk-mvJe6na3liQ_8_0"/>
      <w:bookmarkStart w:id="299" w:name="Tc_TDAjo3xmo06nXxGUXBtNFw_7_16"/>
      <w:bookmarkStart w:id="300" w:name="Tc_q8qWr9ykJkS9F817RZkESg_7_7"/>
      <w:bookmarkStart w:id="301" w:name="Tc_BtyGxVLwrUWaQ4sAdNcPJg_7_5"/>
      <w:bookmarkStart w:id="302" w:name="Tc__NzatiuRW06hGg7PYiSQGw_7_2"/>
      <w:bookmarkStart w:id="303" w:name="Tc_OiI56OLq0kqlKPi5_mnSAA_7_0"/>
      <w:bookmarkStart w:id="304" w:name="Tc_E1foTd0bWUanGQCagKSNmQ_6_16"/>
      <w:bookmarkStart w:id="305" w:name="Tc_DJtxSHyxfEWBKSijylgqgQ_6_10"/>
      <w:bookmarkStart w:id="306" w:name="Tc__ZJMxPuvYUOIXhc2pdKTig_6_5"/>
      <w:bookmarkStart w:id="307" w:name="Tc_EJeuB5fJSUekC8V_89XdGA_6_2"/>
      <w:bookmarkStart w:id="308" w:name="Tc_Ffeaudkxv0CssFI-LI9GpQ_6_0"/>
      <w:bookmarkStart w:id="309" w:name="Tc_f1oNycgFHkyQ_2sXYT5nmA_5_18"/>
      <w:bookmarkStart w:id="310" w:name="Tc_yZteR_1XbkqD08_TGN1Beg_5_15"/>
      <w:bookmarkStart w:id="311" w:name="Tc_rvh-CTSYAEW4IOdD1as4TQ_5_12"/>
      <w:bookmarkStart w:id="312" w:name="Tc_CVFczWKCmUCeHhjzQcVj9Q_5_9"/>
      <w:bookmarkStart w:id="313" w:name="Tc_SE14zgYsfkqmYkbIYOCLLw_5_4"/>
      <w:bookmarkStart w:id="314" w:name="Tc_gscf3_oPPUWkPVMgG2iefg_5_0"/>
      <w:bookmarkStart w:id="315" w:name="Tc_jKdLSdfGKUK_SmH1DdJpqg_4_18"/>
      <w:bookmarkStart w:id="316" w:name="Tc_MfFzl0PXKESEXd_EXeqg7w_4_15"/>
      <w:bookmarkStart w:id="317" w:name="Tc_rwYa0VugPkyMGzbaLcjOpg_4_12"/>
      <w:bookmarkStart w:id="318" w:name="Tc_rh4IgaKUOU-NhO9By2Tjrg_4_9"/>
      <w:bookmarkStart w:id="319" w:name="Tc_Jwk-Ovfnu0ObzsC3TDMbsQ_4_7"/>
      <w:bookmarkStart w:id="320" w:name="Tc_N1G3v5hnR0C0K4Mm0Q-K2A_4_4"/>
      <w:bookmarkStart w:id="321" w:name="Tc_OacWmaT8s0aLQ1LtUF64Eg_4_2"/>
      <w:bookmarkStart w:id="322" w:name="Tc_2XzZ6-uONkKRBNpMz2AmBQ_3_18"/>
      <w:bookmarkStart w:id="323" w:name="Tc_oVlYsetScUm8alT4otAM-w_3_15"/>
      <w:bookmarkStart w:id="324" w:name="Tc_iN5tO66i90y6cUJm8qmreA_3_12"/>
      <w:bookmarkStart w:id="325" w:name="Tc_Kzb8PwFSz0SW0hknqbCZAQ_3_7"/>
      <w:bookmarkStart w:id="326" w:name="Tc_X-pR6SqUhUuVmPnZnHd-4g_3_2"/>
      <w:bookmarkStart w:id="327" w:name="Tc_ZRlfp7cqmk61BSXO9R0Hpw_2_18"/>
      <w:bookmarkStart w:id="328" w:name="Tc_aELqpTfN8kaR5bAqHtYTZA_2_12"/>
      <w:bookmarkStart w:id="329" w:name="Tc_nMYrp_NSQkaGMA9Z0-E8uQ_1_2"/>
      <w:bookmarkStart w:id="330" w:name="_70b54469_7321_43c0_9f05_ba295024ef0b"/>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tbl>
      <w:tblPr>
        <w:tblW w:w="10205" w:type="dxa"/>
        <w:jc w:val="left"/>
        <w:tblInd w:w="0" w:type="dxa"/>
        <w:tblLayout w:type="fixed"/>
        <w:tblCellMar>
          <w:top w:w="0" w:type="dxa"/>
          <w:left w:w="0" w:type="dxa"/>
          <w:bottom w:w="0" w:type="dxa"/>
          <w:right w:w="0" w:type="dxa"/>
        </w:tblCellMar>
      </w:tblPr>
      <w:tblGrid>
        <w:gridCol w:w="1878"/>
        <w:gridCol w:w="266"/>
        <w:gridCol w:w="646"/>
        <w:gridCol w:w="266"/>
        <w:gridCol w:w="211"/>
        <w:gridCol w:w="676"/>
        <w:gridCol w:w="266"/>
        <w:gridCol w:w="676"/>
        <w:gridCol w:w="266"/>
        <w:gridCol w:w="284"/>
        <w:gridCol w:w="467"/>
        <w:gridCol w:w="266"/>
        <w:gridCol w:w="211"/>
        <w:gridCol w:w="931"/>
        <w:gridCol w:w="266"/>
        <w:gridCol w:w="231"/>
        <w:gridCol w:w="925"/>
        <w:gridCol w:w="266"/>
        <w:gridCol w:w="232"/>
        <w:gridCol w:w="975"/>
      </w:tblGrid>
      <w:tr>
        <w:trPr/>
        <w:tc>
          <w:tcPr>
            <w:tcW w:w="1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192530" cy="175260"/>
                      <wp:effectExtent l="0" t="0" r="0" b="0"/>
                      <wp:wrapNone/>
                      <wp:docPr id="22" name="Frame22"/>
                      <a:graphic xmlns:a="http://schemas.openxmlformats.org/drawingml/2006/main">
                        <a:graphicData uri="http://schemas.microsoft.com/office/word/2010/wordprocessingShape">
                          <wps:wsp>
                            <wps:cNvSpPr txBox="1"/>
                            <wps:spPr>
                              <a:xfrm>
                                <a:off x="0" y="0"/>
                                <a:ext cx="1192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8910" cy="175260"/>
                      <wp:effectExtent l="0" t="0" r="0" b="0"/>
                      <wp:wrapNone/>
                      <wp:docPr id="23" name="Frame2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10210" cy="175260"/>
                      <wp:effectExtent l="0" t="0" r="0" b="0"/>
                      <wp:wrapNone/>
                      <wp:docPr id="24" name="Frame2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8910" cy="175260"/>
                      <wp:effectExtent l="0" t="0" r="0" b="0"/>
                      <wp:wrapNone/>
                      <wp:docPr id="25" name="Frame2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29260" cy="175260"/>
                      <wp:effectExtent l="0" t="0" r="0" b="0"/>
                      <wp:wrapNone/>
                      <wp:docPr id="27" name="Frame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68910" cy="175260"/>
                      <wp:effectExtent l="0" t="0" r="0" b="0"/>
                      <wp:wrapNone/>
                      <wp:docPr id="28" name="Frame2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29260" cy="175260"/>
                      <wp:effectExtent l="0" t="0" r="0" b="0"/>
                      <wp:wrapNone/>
                      <wp:docPr id="29" name="Frame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68910" cy="175260"/>
                      <wp:effectExtent l="0" t="0" r="0" b="0"/>
                      <wp:wrapNone/>
                      <wp:docPr id="30" name="Frame3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80340" cy="175260"/>
                      <wp:effectExtent l="0" t="0" r="0" b="0"/>
                      <wp:wrapNone/>
                      <wp:docPr id="31" name="Frame31"/>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96545" cy="175260"/>
                      <wp:effectExtent l="0" t="0" r="0" b="0"/>
                      <wp:wrapNone/>
                      <wp:docPr id="32" name="Frame32"/>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68910" cy="175260"/>
                      <wp:effectExtent l="0" t="0" r="0" b="0"/>
                      <wp:wrapNone/>
                      <wp:docPr id="33" name="Frame3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1185" cy="175260"/>
                      <wp:effectExtent l="0" t="0" r="0" b="0"/>
                      <wp:wrapNone/>
                      <wp:docPr id="35" name="Frame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8910" cy="175260"/>
                      <wp:effectExtent l="0" t="0" r="0" b="0"/>
                      <wp:wrapNone/>
                      <wp:docPr id="36" name="Frame3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6685" cy="175260"/>
                      <wp:effectExtent l="0" t="0" r="0" b="0"/>
                      <wp:wrapNone/>
                      <wp:docPr id="37" name="Frame3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87375" cy="175260"/>
                      <wp:effectExtent l="0" t="0" r="0" b="0"/>
                      <wp:wrapNone/>
                      <wp:docPr id="38" name="Frame38"/>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68910" cy="175260"/>
                      <wp:effectExtent l="0" t="0" r="0" b="0"/>
                      <wp:wrapNone/>
                      <wp:docPr id="39" name="Frame3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47320" cy="175260"/>
                      <wp:effectExtent l="0" t="0" r="0" b="0"/>
                      <wp:wrapNone/>
                      <wp:docPr id="40" name="Frame4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19125" cy="175260"/>
                      <wp:effectExtent l="0" t="0" r="0" b="0"/>
                      <wp:wrapNone/>
                      <wp:docPr id="41" name="Frame41"/>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7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8061"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2023</w:t>
            </w:r>
          </w:p>
        </w:tc>
      </w:tr>
      <w:tr>
        <w:trPr/>
        <w:tc>
          <w:tcPr>
            <w:tcW w:w="187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26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center"/>
              <w:rPr/>
            </w:pPr>
            <w:r>
              <w:rPr/>
              <w:t>​</w:t>
            </w:r>
          </w:p>
        </w:tc>
        <w:tc>
          <w:tcPr>
            <w:tcW w:w="12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187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17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Preferred Stock</w:t>
            </w:r>
          </w:p>
        </w:tc>
        <w:tc>
          <w:tcPr>
            <w:tcW w:w="266" w:type="dxa"/>
            <w:tcBorders/>
            <w:vAlign w:val="center"/>
          </w:tcPr>
          <w:p>
            <w:pPr>
              <w:pStyle w:val="TableContents"/>
              <w:bidi w:val="0"/>
              <w:spacing w:before="0" w:after="1"/>
              <w:ind w:left="0" w:right="0" w:hanging="0"/>
              <w:jc w:val="left"/>
              <w:rPr/>
            </w:pPr>
            <w:r>
              <w:rPr/>
              <w:t>​</w:t>
            </w:r>
          </w:p>
        </w:tc>
        <w:tc>
          <w:tcPr>
            <w:tcW w:w="16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26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266" w:type="dxa"/>
            <w:tcBorders/>
            <w:vAlign w:val="center"/>
          </w:tcPr>
          <w:p>
            <w:pPr>
              <w:pStyle w:val="TableContents"/>
              <w:bidi w:val="0"/>
              <w:spacing w:before="0" w:after="1"/>
              <w:ind w:left="0" w:right="0" w:hanging="0"/>
              <w:jc w:val="left"/>
              <w:rPr/>
            </w:pPr>
            <w:r>
              <w:rPr/>
              <w:t>​</w:t>
            </w:r>
          </w:p>
        </w:tc>
        <w:tc>
          <w:tcPr>
            <w:tcW w:w="1156"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266" w:type="dxa"/>
            <w:tcBorders/>
            <w:vAlign w:val="center"/>
          </w:tcPr>
          <w:p>
            <w:pPr>
              <w:pStyle w:val="TableContents"/>
              <w:bidi w:val="0"/>
              <w:spacing w:before="0" w:after="1"/>
              <w:ind w:left="0" w:right="0" w:hanging="0"/>
              <w:jc w:val="left"/>
              <w:rPr/>
            </w:pPr>
            <w:r>
              <w:rPr/>
              <w:t>​</w:t>
            </w:r>
          </w:p>
        </w:tc>
        <w:tc>
          <w:tcPr>
            <w:tcW w:w="12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187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26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26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266" w:type="dxa"/>
            <w:tcBorders/>
            <w:vAlign w:val="center"/>
          </w:tcPr>
          <w:p>
            <w:pPr>
              <w:pStyle w:val="TableContents"/>
              <w:bidi w:val="0"/>
              <w:spacing w:before="0" w:after="1"/>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26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26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Deficit</w:t>
            </w:r>
          </w:p>
        </w:tc>
        <w:tc>
          <w:tcPr>
            <w:tcW w:w="266" w:type="dxa"/>
            <w:tcBorders/>
            <w:vAlign w:val="center"/>
          </w:tcPr>
          <w:p>
            <w:pPr>
              <w:pStyle w:val="TableContents"/>
              <w:bidi w:val="0"/>
              <w:spacing w:before="0" w:after="1"/>
              <w:ind w:left="0" w:right="0" w:hanging="0"/>
              <w:jc w:val="left"/>
              <w:rPr/>
            </w:pPr>
            <w:r>
              <w:rPr/>
              <w:t>   </w:t>
            </w:r>
          </w:p>
        </w:tc>
        <w:tc>
          <w:tcPr>
            <w:tcW w:w="12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Equity</w:t>
            </w:r>
          </w:p>
        </w:tc>
      </w:tr>
      <w:tr>
        <w:trPr/>
        <w:tc>
          <w:tcPr>
            <w:tcW w:w="1878"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at January 1, 2023</w:t>
            </w:r>
          </w:p>
        </w:tc>
        <w:tc>
          <w:tcPr>
            <w:tcW w:w="26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300</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30,261</w:t>
            </w:r>
          </w:p>
        </w:tc>
        <w:tc>
          <w:tcPr>
            <w:tcW w:w="26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15,928</w:t>
            </w:r>
          </w:p>
        </w:tc>
        <w:tc>
          <w:tcPr>
            <w:tcW w:w="26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46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1,178,960</w:t>
            </w:r>
          </w:p>
        </w:tc>
        <w:tc>
          <w:tcPr>
            <w:tcW w:w="26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2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(827,213)</w:t>
            </w:r>
          </w:p>
        </w:tc>
        <w:tc>
          <w:tcPr>
            <w:tcW w:w="26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351,771</w:t>
            </w:r>
          </w:p>
        </w:tc>
      </w:tr>
      <w:tr>
        <w:trPr/>
        <w:tc>
          <w:tcPr>
            <w:tcW w:w="187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RSU vesting</w:t>
            </w:r>
          </w:p>
        </w:tc>
        <w:tc>
          <w:tcPr>
            <w:tcW w:w="2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w:t>
            </w:r>
          </w:p>
        </w:tc>
        <w:tc>
          <w:tcPr>
            <w:tcW w:w="26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w:t>
            </w:r>
          </w:p>
        </w:tc>
        <w:tc>
          <w:tcPr>
            <w:tcW w:w="26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7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w:t>
            </w:r>
          </w:p>
        </w:tc>
      </w:tr>
      <w:tr>
        <w:trPr/>
        <w:tc>
          <w:tcPr>
            <w:tcW w:w="187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Stock compensation</w:t>
            </w:r>
          </w:p>
        </w:tc>
        <w:tc>
          <w:tcPr>
            <w:tcW w:w="26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2,414</w:t>
            </w:r>
          </w:p>
        </w:tc>
        <w:tc>
          <w:tcPr>
            <w:tcW w:w="26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925" w:type="dxa"/>
            <w:tcBorders/>
            <w:shd w:fill="CCEEFF" w:val="cle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97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2,414</w:t>
            </w:r>
          </w:p>
        </w:tc>
      </w:tr>
      <w:tr>
        <w:trPr/>
        <w:tc>
          <w:tcPr>
            <w:tcW w:w="1878"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Accrual of Series A Convertible Preferred Stock dividends</w:t>
            </w:r>
          </w:p>
        </w:tc>
        <w:tc>
          <w:tcPr>
            <w:tcW w:w="2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605</w:t>
            </w:r>
          </w:p>
        </w:tc>
        <w:tc>
          <w:tcPr>
            <w:tcW w:w="266"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(605)</w:t>
            </w:r>
          </w:p>
        </w:tc>
        <w:tc>
          <w:tcPr>
            <w:tcW w:w="26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925"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97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(605)</w:t>
            </w:r>
          </w:p>
        </w:tc>
      </w:tr>
      <w:tr>
        <w:trPr/>
        <w:tc>
          <w:tcPr>
            <w:tcW w:w="1878"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266" w:type="dxa"/>
            <w:tcBorders/>
            <w:shd w:fill="CCEEFF" w:val="clear"/>
            <w:vAlign w:val="center"/>
          </w:tcPr>
          <w:p>
            <w:pPr>
              <w:pStyle w:val="TableContents"/>
              <w:bidi w:val="0"/>
              <w:spacing w:before="0" w:after="1"/>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(171,719)</w:t>
            </w:r>
          </w:p>
        </w:tc>
        <w:tc>
          <w:tcPr>
            <w:tcW w:w="26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(171,719)</w:t>
            </w:r>
          </w:p>
        </w:tc>
      </w:tr>
      <w:tr>
        <w:trPr/>
        <w:tc>
          <w:tcPr>
            <w:tcW w:w="1878"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at March 31, 2023</w:t>
            </w:r>
          </w:p>
        </w:tc>
        <w:tc>
          <w:tcPr>
            <w:tcW w:w="266" w:type="dxa"/>
            <w:tcBorders/>
            <w:vAlign w:val="center"/>
          </w:tcPr>
          <w:p>
            <w:pPr>
              <w:pStyle w:val="TableContents"/>
              <w:bidi w:val="0"/>
              <w:spacing w:before="0" w:after="1"/>
              <w:ind w:left="0" w:right="0" w:hanging="0"/>
              <w:jc w:val="left"/>
              <w:rPr/>
            </w:pPr>
            <w:r>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300</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30,866</w:t>
            </w:r>
          </w:p>
        </w:tc>
        <w:tc>
          <w:tcPr>
            <w:tcW w:w="266" w:type="dxa"/>
            <w:tcBorders/>
            <w:vAlign w:val="center"/>
          </w:tcPr>
          <w:p>
            <w:pPr>
              <w:pStyle w:val="TableContents"/>
              <w:bidi w:val="0"/>
              <w:spacing w:before="0" w:after="1"/>
              <w:ind w:left="0" w:right="0" w:hanging="0"/>
              <w:jc w:val="righ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15,935</w:t>
            </w:r>
          </w:p>
        </w:tc>
        <w:tc>
          <w:tcPr>
            <w:tcW w:w="266"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46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1,180,723</w:t>
            </w:r>
          </w:p>
        </w:tc>
        <w:tc>
          <w:tcPr>
            <w:tcW w:w="26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2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(998,932)</w:t>
            </w:r>
          </w:p>
        </w:tc>
        <w:tc>
          <w:tcPr>
            <w:tcW w:w="26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75"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181,815</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31" w:name="Tc_tZ4XtKDWLUax9Mu3sr-bkw_10_18"/>
      <w:bookmarkStart w:id="332" w:name="Tc_B82LTc7beEKZ-DQ3e-g2LA_10_15"/>
      <w:bookmarkStart w:id="333" w:name="Tc_64vUQWxRnUKQvVg0jVkQyw_10_12"/>
      <w:bookmarkStart w:id="334" w:name="Tc_1LfiJ1-jwE-1naZAG0nEWw_10_9"/>
      <w:bookmarkStart w:id="335" w:name="Tc_yv0D_hTIq0K6KtO8cnHgDA_10_4"/>
      <w:bookmarkStart w:id="336" w:name="Tc_fowJimrDHUuCet4OG9FwkA_10_0"/>
      <w:bookmarkStart w:id="337" w:name="Tc_8kwrTb8HMkqbgTZUEg1a7w_9_13"/>
      <w:bookmarkStart w:id="338" w:name="Tc_AElGKeYiYE6VQaakzaQXBw_9_10"/>
      <w:bookmarkStart w:id="339" w:name="Tc_JSM3YaAN_keq9P6LFi2z7Q_9_7"/>
      <w:bookmarkStart w:id="340" w:name="Tc_4BkEbsw6OkiJC30FTYPPFA_9_5"/>
      <w:bookmarkStart w:id="341" w:name="Tc_hAjIH_5Zdk22NCIrODpouw_9_2"/>
      <w:bookmarkStart w:id="342" w:name="Tc_WjwgWFxxtE6gCv8T2Yp-kw_9_0"/>
      <w:bookmarkStart w:id="343" w:name="Tc_e7xD6STkbkuy-C-5zl_gxw_8_16"/>
      <w:bookmarkStart w:id="344" w:name="Tc_PVlyWAxkJkWQ6E1lkspUng_8_10"/>
      <w:bookmarkStart w:id="345" w:name="Tc_uSobJs_McUCjV-dZaeAUig_8_7"/>
      <w:bookmarkStart w:id="346" w:name="Tc_uwyxky863EW_fXrt7JbaVA_8_2"/>
      <w:bookmarkStart w:id="347" w:name="Tc_wBUV1WSBxEGsFF3Ql4BMSQ_8_0"/>
      <w:bookmarkStart w:id="348" w:name="Tc_7CBnME96EU6RnQz8aZ0aXQ_7_16"/>
      <w:bookmarkStart w:id="349" w:name="Tc_jEP2APtK3kSO2XGSMKrqQQ_7_10"/>
      <w:bookmarkStart w:id="350" w:name="Tc_aXcIWKQa9EeCgTFmyUUoZA_7_7"/>
      <w:bookmarkStart w:id="351" w:name="Tc_iegbeySeYUaBL0TcSpg9VA_7_5"/>
      <w:bookmarkStart w:id="352" w:name="Tc_5P3TS_m8M0Oxcuns1sjUwA_7_2"/>
      <w:bookmarkStart w:id="353" w:name="Tc_Xz0hSxxLcEOws3cUquVHlQ_7_0"/>
      <w:bookmarkStart w:id="354" w:name="Tc_ZcwdkDu6tEG9W_DxujCiOg_6_16"/>
      <w:bookmarkStart w:id="355" w:name="Tc_KVLt2YvsUUSJzLUq-A4TfA_6_10"/>
      <w:bookmarkStart w:id="356" w:name="Tc_ascXl7RnX0aVcPtufs2umw_6_5"/>
      <w:bookmarkStart w:id="357" w:name="Tc_zmE0DozRlkOwsjoKq5-Low_6_2"/>
      <w:bookmarkStart w:id="358" w:name="Tc_uNz2CpRBl06qI_Ta_ZWS2w_6_0"/>
      <w:bookmarkStart w:id="359" w:name="Tc_BqTu6UvHTEi3K4UaCHHBEA_5_18"/>
      <w:bookmarkStart w:id="360" w:name="Tc_jZIWzTtWH0Gvy8vgSSVjeg_5_15"/>
      <w:bookmarkStart w:id="361" w:name="Tc_U0bmMoM5V0-uIEMy4jamIw_5_12"/>
      <w:bookmarkStart w:id="362" w:name="Tc_AowPuUJd00W1ViT2-i1Jhg_5_9"/>
      <w:bookmarkStart w:id="363" w:name="Tc_DODnliogsEe5RE0ymsdLTg_5_4"/>
      <w:bookmarkStart w:id="364" w:name="Tc_HHiRegFXCEqUK9iJAsIC2w_5_0"/>
      <w:bookmarkStart w:id="365" w:name="Tc_tnlnprJxIUGbChYBZUZtlw_4_18"/>
      <w:bookmarkStart w:id="366" w:name="Tc_cmKxBcppLkeiLkhFhmKN4Q_4_15"/>
      <w:bookmarkStart w:id="367" w:name="Tc_qsaLh6UhZEKbbPYtdDSUUQ_4_12"/>
      <w:bookmarkStart w:id="368" w:name="Tc_BbErhaQwp0ivY304N561Bg_4_9"/>
      <w:bookmarkStart w:id="369" w:name="Tc_mdNoJtZGxUyh1RuNtMNfkA_4_7"/>
      <w:bookmarkStart w:id="370" w:name="Tc_au-aKnvtQE6cbXN9EZQ8tw_4_4"/>
      <w:bookmarkStart w:id="371" w:name="Tc_RmplRc3FuUGlL5mtJeXoYg_4_2"/>
      <w:bookmarkStart w:id="372" w:name="Tc_BHlqRUnZkUypUWN6eqybWQ_3_18"/>
      <w:bookmarkStart w:id="373" w:name="Tc_018A1n5lrUeDzpJKk84weQ_3_15"/>
      <w:bookmarkStart w:id="374" w:name="Tc_Jl7SinloNkW_aHgL_WqmLw_3_12"/>
      <w:bookmarkStart w:id="375" w:name="Tc_vNMxFycReUWmiZmGSTlsSA_3_7"/>
      <w:bookmarkStart w:id="376" w:name="Tc_Rc7zGiRxzk2UzvyJo1AdeA_3_2"/>
      <w:bookmarkStart w:id="377" w:name="Tc_toFivAmEd06fZIz63zSdrw_2_18"/>
      <w:bookmarkStart w:id="378" w:name="Tc_QtvaJgwKrEizgxWbv91bNg_2_12"/>
      <w:bookmarkStart w:id="379" w:name="Tc__Xfdk3jraU27doy_0dkfIQ_1_2"/>
      <w:bookmarkStart w:id="380" w:name="_08a65fc2_aa67_4fe1_a22c_aa439d0fa16e"/>
      <w:bookmarkStart w:id="381" w:name="Tc_tZ4XtKDWLUax9Mu3sr-bkw_10_18"/>
      <w:bookmarkStart w:id="382" w:name="Tc_B82LTc7beEKZ-DQ3e-g2LA_10_15"/>
      <w:bookmarkStart w:id="383" w:name="Tc_64vUQWxRnUKQvVg0jVkQyw_10_12"/>
      <w:bookmarkStart w:id="384" w:name="Tc_1LfiJ1-jwE-1naZAG0nEWw_10_9"/>
      <w:bookmarkStart w:id="385" w:name="Tc_yv0D_hTIq0K6KtO8cnHgDA_10_4"/>
      <w:bookmarkStart w:id="386" w:name="Tc_fowJimrDHUuCet4OG9FwkA_10_0"/>
      <w:bookmarkStart w:id="387" w:name="Tc_8kwrTb8HMkqbgTZUEg1a7w_9_13"/>
      <w:bookmarkStart w:id="388" w:name="Tc_AElGKeYiYE6VQaakzaQXBw_9_10"/>
      <w:bookmarkStart w:id="389" w:name="Tc_JSM3YaAN_keq9P6LFi2z7Q_9_7"/>
      <w:bookmarkStart w:id="390" w:name="Tc_4BkEbsw6OkiJC30FTYPPFA_9_5"/>
      <w:bookmarkStart w:id="391" w:name="Tc_hAjIH_5Zdk22NCIrODpouw_9_2"/>
      <w:bookmarkStart w:id="392" w:name="Tc_WjwgWFxxtE6gCv8T2Yp-kw_9_0"/>
      <w:bookmarkStart w:id="393" w:name="Tc_e7xD6STkbkuy-C-5zl_gxw_8_16"/>
      <w:bookmarkStart w:id="394" w:name="Tc_PVlyWAxkJkWQ6E1lkspUng_8_10"/>
      <w:bookmarkStart w:id="395" w:name="Tc_uSobJs_McUCjV-dZaeAUig_8_7"/>
      <w:bookmarkStart w:id="396" w:name="Tc_uwyxky863EW_fXrt7JbaVA_8_2"/>
      <w:bookmarkStart w:id="397" w:name="Tc_wBUV1WSBxEGsFF3Ql4BMSQ_8_0"/>
      <w:bookmarkStart w:id="398" w:name="Tc_7CBnME96EU6RnQz8aZ0aXQ_7_16"/>
      <w:bookmarkStart w:id="399" w:name="Tc_jEP2APtK3kSO2XGSMKrqQQ_7_10"/>
      <w:bookmarkStart w:id="400" w:name="Tc_aXcIWKQa9EeCgTFmyUUoZA_7_7"/>
      <w:bookmarkStart w:id="401" w:name="Tc_iegbeySeYUaBL0TcSpg9VA_7_5"/>
      <w:bookmarkStart w:id="402" w:name="Tc_5P3TS_m8M0Oxcuns1sjUwA_7_2"/>
      <w:bookmarkStart w:id="403" w:name="Tc_Xz0hSxxLcEOws3cUquVHlQ_7_0"/>
      <w:bookmarkStart w:id="404" w:name="Tc_ZcwdkDu6tEG9W_DxujCiOg_6_16"/>
      <w:bookmarkStart w:id="405" w:name="Tc_KVLt2YvsUUSJzLUq-A4TfA_6_10"/>
      <w:bookmarkStart w:id="406" w:name="Tc_ascXl7RnX0aVcPtufs2umw_6_5"/>
      <w:bookmarkStart w:id="407" w:name="Tc_zmE0DozRlkOwsjoKq5-Low_6_2"/>
      <w:bookmarkStart w:id="408" w:name="Tc_uNz2CpRBl06qI_Ta_ZWS2w_6_0"/>
      <w:bookmarkStart w:id="409" w:name="Tc_BqTu6UvHTEi3K4UaCHHBEA_5_18"/>
      <w:bookmarkStart w:id="410" w:name="Tc_jZIWzTtWH0Gvy8vgSSVjeg_5_15"/>
      <w:bookmarkStart w:id="411" w:name="Tc_U0bmMoM5V0-uIEMy4jamIw_5_12"/>
      <w:bookmarkStart w:id="412" w:name="Tc_AowPuUJd00W1ViT2-i1Jhg_5_9"/>
      <w:bookmarkStart w:id="413" w:name="Tc_DODnliogsEe5RE0ymsdLTg_5_4"/>
      <w:bookmarkStart w:id="414" w:name="Tc_HHiRegFXCEqUK9iJAsIC2w_5_0"/>
      <w:bookmarkStart w:id="415" w:name="Tc_tnlnprJxIUGbChYBZUZtlw_4_18"/>
      <w:bookmarkStart w:id="416" w:name="Tc_cmKxBcppLkeiLkhFhmKN4Q_4_15"/>
      <w:bookmarkStart w:id="417" w:name="Tc_qsaLh6UhZEKbbPYtdDSUUQ_4_12"/>
      <w:bookmarkStart w:id="418" w:name="Tc_BbErhaQwp0ivY304N561Bg_4_9"/>
      <w:bookmarkStart w:id="419" w:name="Tc_mdNoJtZGxUyh1RuNtMNfkA_4_7"/>
      <w:bookmarkStart w:id="420" w:name="Tc_au-aKnvtQE6cbXN9EZQ8tw_4_4"/>
      <w:bookmarkStart w:id="421" w:name="Tc_RmplRc3FuUGlL5mtJeXoYg_4_2"/>
      <w:bookmarkStart w:id="422" w:name="Tc_BHlqRUnZkUypUWN6eqybWQ_3_18"/>
      <w:bookmarkStart w:id="423" w:name="Tc_018A1n5lrUeDzpJKk84weQ_3_15"/>
      <w:bookmarkStart w:id="424" w:name="Tc_Jl7SinloNkW_aHgL_WqmLw_3_12"/>
      <w:bookmarkStart w:id="425" w:name="Tc_vNMxFycReUWmiZmGSTlsSA_3_7"/>
      <w:bookmarkStart w:id="426" w:name="Tc_Rc7zGiRxzk2UzvyJo1AdeA_3_2"/>
      <w:bookmarkStart w:id="427" w:name="Tc_toFivAmEd06fZIz63zSdrw_2_18"/>
      <w:bookmarkStart w:id="428" w:name="Tc_QtvaJgwKrEizgxWbv91bNg_2_12"/>
      <w:bookmarkStart w:id="429" w:name="Tc__Xfdk3jraU27doy_0dkfIQ_1_2"/>
      <w:bookmarkStart w:id="430" w:name="_08a65fc2_aa67_4fe1_a22c_aa439d0fa16e"/>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tbl>
      <w:tblPr>
        <w:tblW w:w="10205" w:type="dxa"/>
        <w:jc w:val="left"/>
        <w:tblInd w:w="0" w:type="dxa"/>
        <w:tblLayout w:type="fixed"/>
        <w:tblCellMar>
          <w:top w:w="0" w:type="dxa"/>
          <w:left w:w="0" w:type="dxa"/>
          <w:bottom w:w="0" w:type="dxa"/>
          <w:right w:w="0" w:type="dxa"/>
        </w:tblCellMar>
      </w:tblPr>
      <w:tblGrid>
        <w:gridCol w:w="1825"/>
        <w:gridCol w:w="266"/>
        <w:gridCol w:w="646"/>
        <w:gridCol w:w="266"/>
        <w:gridCol w:w="211"/>
        <w:gridCol w:w="676"/>
        <w:gridCol w:w="266"/>
        <w:gridCol w:w="676"/>
        <w:gridCol w:w="266"/>
        <w:gridCol w:w="284"/>
        <w:gridCol w:w="467"/>
        <w:gridCol w:w="266"/>
        <w:gridCol w:w="211"/>
        <w:gridCol w:w="931"/>
        <w:gridCol w:w="266"/>
        <w:gridCol w:w="211"/>
        <w:gridCol w:w="998"/>
        <w:gridCol w:w="266"/>
        <w:gridCol w:w="272"/>
        <w:gridCol w:w="935"/>
      </w:tblGrid>
      <w:tr>
        <w:trPr/>
        <w:tc>
          <w:tcPr>
            <w:tcW w:w="1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158875" cy="175260"/>
                      <wp:effectExtent l="0" t="0" r="0" b="0"/>
                      <wp:wrapNone/>
                      <wp:docPr id="42" name="Frame42"/>
                      <a:graphic xmlns:a="http://schemas.openxmlformats.org/drawingml/2006/main">
                        <a:graphicData uri="http://schemas.microsoft.com/office/word/2010/wordprocessingShape">
                          <wps:wsp>
                            <wps:cNvSpPr txBox="1"/>
                            <wps:spPr>
                              <a:xfrm>
                                <a:off x="0" y="0"/>
                                <a:ext cx="1158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68910" cy="175260"/>
                      <wp:effectExtent l="0" t="0" r="0" b="0"/>
                      <wp:wrapNone/>
                      <wp:docPr id="43" name="Frame4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10210" cy="175260"/>
                      <wp:effectExtent l="0" t="0" r="0" b="0"/>
                      <wp:wrapNone/>
                      <wp:docPr id="44" name="Frame4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8910" cy="175260"/>
                      <wp:effectExtent l="0" t="0" r="0" b="0"/>
                      <wp:wrapNone/>
                      <wp:docPr id="45" name="Frame4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46" name="Frame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29260" cy="175260"/>
                      <wp:effectExtent l="0" t="0" r="0" b="0"/>
                      <wp:wrapNone/>
                      <wp:docPr id="47" name="Frame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68910" cy="175260"/>
                      <wp:effectExtent l="0" t="0" r="0" b="0"/>
                      <wp:wrapNone/>
                      <wp:docPr id="48" name="Frame4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29260" cy="175260"/>
                      <wp:effectExtent l="0" t="0" r="0" b="0"/>
                      <wp:wrapNone/>
                      <wp:docPr id="49" name="Frame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8910" cy="175260"/>
                      <wp:effectExtent l="0" t="0" r="0" b="0"/>
                      <wp:wrapNone/>
                      <wp:docPr id="50" name="Frame5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80340" cy="175260"/>
                      <wp:effectExtent l="0" t="0" r="0" b="0"/>
                      <wp:wrapNone/>
                      <wp:docPr id="51" name="Frame51"/>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96545" cy="175260"/>
                      <wp:effectExtent l="0" t="0" r="0" b="0"/>
                      <wp:wrapNone/>
                      <wp:docPr id="52" name="Frame52"/>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68910" cy="175260"/>
                      <wp:effectExtent l="0" t="0" r="0" b="0"/>
                      <wp:wrapNone/>
                      <wp:docPr id="53" name="Frame5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91185" cy="175260"/>
                      <wp:effectExtent l="0" t="0" r="0" b="0"/>
                      <wp:wrapNone/>
                      <wp:docPr id="55" name="Frame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68910" cy="175260"/>
                      <wp:effectExtent l="0" t="0" r="0" b="0"/>
                      <wp:wrapNone/>
                      <wp:docPr id="56" name="Frame5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33730" cy="175260"/>
                      <wp:effectExtent l="0" t="0" r="0" b="0"/>
                      <wp:wrapNone/>
                      <wp:docPr id="58" name="Frame58"/>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68910" cy="175260"/>
                      <wp:effectExtent l="0" t="0" r="0" b="0"/>
                      <wp:wrapNone/>
                      <wp:docPr id="59" name="Frame5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2720" cy="175260"/>
                      <wp:effectExtent l="0" t="0" r="0" b="0"/>
                      <wp:wrapNone/>
                      <wp:docPr id="60" name="Frame60"/>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93725" cy="175260"/>
                      <wp:effectExtent l="0" t="0" r="0" b="0"/>
                      <wp:wrapNone/>
                      <wp:docPr id="61" name="Frame61"/>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25" w:type="dxa"/>
            <w:tcBorders/>
            <w:vAlign w:val="center"/>
          </w:tcPr>
          <w:p>
            <w:pPr>
              <w:pStyle w:val="TableContents"/>
              <w:bidi w:val="0"/>
              <w:spacing w:before="0" w:after="1"/>
              <w:ind w:left="0" w:right="0" w:hanging="0"/>
              <w:jc w:val="left"/>
              <w:rPr>
                <w:color w:val="0563C1"/>
              </w:rPr>
            </w:pPr>
            <w:r>
              <w:rPr>
                <w:color w:val="0563C1"/>
              </w:rPr>
              <w:t>​</w:t>
            </w:r>
          </w:p>
        </w:tc>
        <w:tc>
          <w:tcPr>
            <w:tcW w:w="266" w:type="dxa"/>
            <w:tcBorders/>
            <w:vAlign w:val="center"/>
          </w:tcPr>
          <w:p>
            <w:pPr>
              <w:pStyle w:val="TableContents"/>
              <w:bidi w:val="0"/>
              <w:spacing w:before="0" w:after="1"/>
              <w:ind w:left="0" w:right="0" w:hanging="0"/>
              <w:jc w:val="left"/>
              <w:rPr/>
            </w:pPr>
            <w:r>
              <w:rPr/>
              <w:t>​</w:t>
            </w:r>
          </w:p>
        </w:tc>
        <w:tc>
          <w:tcPr>
            <w:tcW w:w="8114"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Three Months Ended March 31, 2024</w:t>
            </w:r>
          </w:p>
        </w:tc>
      </w:tr>
      <w:tr>
        <w:trPr/>
        <w:tc>
          <w:tcPr>
            <w:tcW w:w="1825"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Additional</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center"/>
              <w:rPr/>
            </w:pPr>
            <w:r>
              <w:rPr/>
              <w:t>​</w:t>
            </w:r>
          </w:p>
        </w:tc>
        <w:tc>
          <w:tcPr>
            <w:tcW w:w="12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1825"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179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Preferred Stock</w:t>
            </w:r>
          </w:p>
        </w:tc>
        <w:tc>
          <w:tcPr>
            <w:tcW w:w="266" w:type="dxa"/>
            <w:tcBorders/>
            <w:vAlign w:val="center"/>
          </w:tcPr>
          <w:p>
            <w:pPr>
              <w:pStyle w:val="TableContents"/>
              <w:bidi w:val="0"/>
              <w:spacing w:before="0" w:after="1"/>
              <w:ind w:left="0" w:right="0" w:hanging="0"/>
              <w:jc w:val="center"/>
              <w:rPr/>
            </w:pPr>
            <w:r>
              <w:rPr/>
              <w:t>​</w:t>
            </w:r>
          </w:p>
        </w:tc>
        <w:tc>
          <w:tcPr>
            <w:tcW w:w="16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Common Stock</w:t>
            </w:r>
          </w:p>
        </w:tc>
        <w:tc>
          <w:tcPr>
            <w:tcW w:w="26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Paid-In</w:t>
            </w:r>
          </w:p>
        </w:tc>
        <w:tc>
          <w:tcPr>
            <w:tcW w:w="266" w:type="dxa"/>
            <w:tcBorders/>
            <w:vAlign w:val="center"/>
          </w:tcPr>
          <w:p>
            <w:pPr>
              <w:pStyle w:val="TableContents"/>
              <w:bidi w:val="0"/>
              <w:spacing w:before="0" w:after="1"/>
              <w:ind w:left="0" w:right="0" w:hanging="0"/>
              <w:jc w:val="center"/>
              <w:rPr/>
            </w:pPr>
            <w:r>
              <w:rPr/>
              <w:t>​</w:t>
            </w:r>
          </w:p>
        </w:tc>
        <w:tc>
          <w:tcPr>
            <w:tcW w:w="1209"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Accumulated</w:t>
            </w:r>
          </w:p>
        </w:tc>
        <w:tc>
          <w:tcPr>
            <w:tcW w:w="266" w:type="dxa"/>
            <w:tcBorders/>
            <w:vAlign w:val="center"/>
          </w:tcPr>
          <w:p>
            <w:pPr>
              <w:pStyle w:val="TableContents"/>
              <w:bidi w:val="0"/>
              <w:spacing w:before="0" w:after="1"/>
              <w:ind w:left="0" w:right="0" w:hanging="0"/>
              <w:jc w:val="center"/>
              <w:rPr/>
            </w:pPr>
            <w:r>
              <w:rPr/>
              <w:t>​</w:t>
            </w:r>
          </w:p>
        </w:tc>
        <w:tc>
          <w:tcPr>
            <w:tcW w:w="120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Stockholders’</w:t>
            </w:r>
          </w:p>
        </w:tc>
      </w:tr>
      <w:tr>
        <w:trPr/>
        <w:tc>
          <w:tcPr>
            <w:tcW w:w="1825"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26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26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266" w:type="dxa"/>
            <w:tcBorders/>
            <w:vAlign w:val="center"/>
          </w:tcPr>
          <w:p>
            <w:pPr>
              <w:pStyle w:val="TableContents"/>
              <w:bidi w:val="0"/>
              <w:spacing w:before="0" w:after="1"/>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Amount</w:t>
            </w:r>
          </w:p>
        </w:tc>
        <w:tc>
          <w:tcPr>
            <w:tcW w:w="266" w:type="dxa"/>
            <w:tcBorders/>
            <w:vAlign w:val="center"/>
          </w:tcPr>
          <w:p>
            <w:pPr>
              <w:pStyle w:val="TableContents"/>
              <w:bidi w:val="0"/>
              <w:spacing w:before="0"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Capital</w:t>
            </w:r>
          </w:p>
        </w:tc>
        <w:tc>
          <w:tcPr>
            <w:tcW w:w="266" w:type="dxa"/>
            <w:tcBorders/>
            <w:vAlign w:val="center"/>
          </w:tcPr>
          <w:p>
            <w:pPr>
              <w:pStyle w:val="TableContents"/>
              <w:bidi w:val="0"/>
              <w:spacing w:before="0" w:after="1"/>
              <w:ind w:left="0" w:right="0" w:hanging="0"/>
              <w:jc w:val="left"/>
              <w:rPr/>
            </w:pPr>
            <w:r>
              <w:rPr/>
              <w:t>   </w:t>
            </w:r>
          </w:p>
        </w:tc>
        <w:tc>
          <w:tcPr>
            <w:tcW w:w="12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Deficit</w:t>
            </w:r>
          </w:p>
        </w:tc>
        <w:tc>
          <w:tcPr>
            <w:tcW w:w="266" w:type="dxa"/>
            <w:tcBorders/>
            <w:vAlign w:val="center"/>
          </w:tcPr>
          <w:p>
            <w:pPr>
              <w:pStyle w:val="TableContents"/>
              <w:bidi w:val="0"/>
              <w:spacing w:before="0" w:after="1"/>
              <w:ind w:left="0" w:right="0" w:hanging="0"/>
              <w:jc w:val="left"/>
              <w:rPr/>
            </w:pPr>
            <w:r>
              <w:rPr/>
              <w:t>   </w:t>
            </w:r>
          </w:p>
        </w:tc>
        <w:tc>
          <w:tcPr>
            <w:tcW w:w="12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Deficit</w:t>
            </w:r>
          </w:p>
        </w:tc>
      </w:tr>
      <w:tr>
        <w:trPr/>
        <w:tc>
          <w:tcPr>
            <w:tcW w:w="1825"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at January 1, 2024</w:t>
            </w:r>
          </w:p>
        </w:tc>
        <w:tc>
          <w:tcPr>
            <w:tcW w:w="26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300</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32,755</w:t>
            </w:r>
          </w:p>
        </w:tc>
        <w:tc>
          <w:tcPr>
            <w:tcW w:w="26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15,953</w:t>
            </w:r>
          </w:p>
        </w:tc>
        <w:tc>
          <w:tcPr>
            <w:tcW w:w="266" w:type="dxa"/>
            <w:tcBorders/>
            <w:shd w:fill="CCEEFF" w:val="clear"/>
            <w:vAlign w:val="center"/>
          </w:tcPr>
          <w:p>
            <w:pPr>
              <w:pStyle w:val="TableContents"/>
              <w:bidi w:val="0"/>
              <w:spacing w:before="0" w:after="1"/>
              <w:ind w:left="0" w:right="0" w:hanging="0"/>
              <w:jc w:val="right"/>
              <w:rPr/>
            </w:pPr>
            <w:r>
              <w:rPr/>
              <w:t>​</w:t>
            </w:r>
          </w:p>
        </w:tc>
        <w:tc>
          <w:tcPr>
            <w:tcW w:w="284"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467"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1,183,804</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98"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(1,170,279)</w:t>
            </w:r>
          </w:p>
        </w:tc>
        <w:tc>
          <w:tcPr>
            <w:tcW w:w="266" w:type="dxa"/>
            <w:tcBorders/>
            <w:shd w:fill="CCEEFF" w:val="clear"/>
            <w:vAlign w:val="center"/>
          </w:tcPr>
          <w:p>
            <w:pPr>
              <w:pStyle w:val="TableContents"/>
              <w:bidi w:val="0"/>
              <w:spacing w:before="0" w:after="1"/>
              <w:ind w:left="0" w:right="0" w:hanging="0"/>
              <w:jc w:val="right"/>
              <w:rPr/>
            </w:pPr>
            <w:r>
              <w:rPr/>
              <w:t>​</w:t>
            </w:r>
          </w:p>
        </w:tc>
        <w:tc>
          <w:tcPr>
            <w:tcW w:w="272"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13,549</w:t>
            </w:r>
          </w:p>
        </w:tc>
      </w:tr>
      <w:tr>
        <w:trPr/>
        <w:tc>
          <w:tcPr>
            <w:tcW w:w="182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RSU vesting</w:t>
            </w:r>
          </w:p>
        </w:tc>
        <w:tc>
          <w:tcPr>
            <w:tcW w:w="2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143</w:t>
            </w:r>
          </w:p>
        </w:tc>
        <w:tc>
          <w:tcPr>
            <w:tcW w:w="266" w:type="dxa"/>
            <w:tcBorders/>
            <w:vAlign w:val="center"/>
          </w:tcPr>
          <w:p>
            <w:pPr>
              <w:pStyle w:val="TableContents"/>
              <w:bidi w:val="0"/>
              <w:spacing w:before="0" w:after="1"/>
              <w:ind w:left="0" w:right="0" w:hanging="0"/>
              <w:jc w:val="right"/>
              <w:rPr/>
            </w:pPr>
            <w:r>
              <w:rPr/>
              <w:t>​</w:t>
            </w:r>
          </w:p>
        </w:tc>
        <w:tc>
          <w:tcPr>
            <w:tcW w:w="28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(106)</w:t>
            </w:r>
          </w:p>
        </w:tc>
        <w:tc>
          <w:tcPr>
            <w:tcW w:w="26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right"/>
              <w:rPr/>
            </w:pPr>
            <w:r>
              <w:rPr/>
              <w:t>​</w:t>
            </w:r>
          </w:p>
        </w:tc>
        <w:tc>
          <w:tcPr>
            <w:tcW w:w="272"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(106)</w:t>
            </w:r>
          </w:p>
        </w:tc>
      </w:tr>
      <w:tr>
        <w:trPr/>
        <w:tc>
          <w:tcPr>
            <w:tcW w:w="182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Stock compensation</w:t>
            </w:r>
          </w:p>
        </w:tc>
        <w:tc>
          <w:tcPr>
            <w:tcW w:w="26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3,395</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98" w:type="dxa"/>
            <w:tcBorders/>
            <w:shd w:fill="CCEEFF" w:val="cle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272" w:type="dxa"/>
            <w:tcBorders/>
            <w:shd w:fill="CCEEFF" w:val="clear"/>
            <w:vAlign w:val="center"/>
          </w:tcPr>
          <w:p>
            <w:pPr>
              <w:pStyle w:val="TableContents"/>
              <w:bidi w:val="0"/>
              <w:spacing w:before="0" w:after="1"/>
              <w:ind w:left="0" w:right="0" w:hanging="0"/>
              <w:jc w:val="left"/>
              <w:rPr/>
            </w:pPr>
            <w:r>
              <w:rPr/>
              <w:t>​</w:t>
            </w:r>
          </w:p>
        </w:tc>
        <w:tc>
          <w:tcPr>
            <w:tcW w:w="935"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3,395</w:t>
            </w:r>
          </w:p>
        </w:tc>
      </w:tr>
      <w:tr>
        <w:trPr/>
        <w:tc>
          <w:tcPr>
            <w:tcW w:w="1825"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Accrual of Series A Convertible Preferred Stock dividends</w:t>
            </w:r>
          </w:p>
        </w:tc>
        <w:tc>
          <w:tcPr>
            <w:tcW w:w="2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655</w:t>
            </w:r>
          </w:p>
        </w:tc>
        <w:tc>
          <w:tcPr>
            <w:tcW w:w="266"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right"/>
              <w:rPr/>
            </w:pPr>
            <w:r>
              <w:rPr/>
              <w:t>​</w:t>
            </w:r>
          </w:p>
        </w:tc>
        <w:tc>
          <w:tcPr>
            <w:tcW w:w="28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(655)</w:t>
            </w:r>
          </w:p>
        </w:tc>
        <w:tc>
          <w:tcPr>
            <w:tcW w:w="26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98" w:type="dxa"/>
            <w:tcBorders/>
            <w:vAlign w:val="center"/>
          </w:tcPr>
          <w:p>
            <w:pPr>
              <w:pStyle w:val="TableContents"/>
              <w:bidi w:val="0"/>
              <w:spacing w:before="0" w:after="1"/>
              <w:ind w:left="0" w:right="0" w:hanging="0"/>
              <w:jc w:val="right"/>
              <w:rPr/>
            </w:pPr>
            <w:r>
              <w:rPr/>
              <w:t xml:space="preserve">— </w:t>
            </w:r>
          </w:p>
        </w:tc>
        <w:tc>
          <w:tcPr>
            <w:tcW w:w="266" w:type="dxa"/>
            <w:tcBorders/>
            <w:vAlign w:val="center"/>
          </w:tcPr>
          <w:p>
            <w:pPr>
              <w:pStyle w:val="TableContents"/>
              <w:bidi w:val="0"/>
              <w:spacing w:before="0" w:after="1"/>
              <w:ind w:left="0" w:right="0" w:hanging="0"/>
              <w:jc w:val="right"/>
              <w:rPr/>
            </w:pPr>
            <w:r>
              <w:rPr/>
              <w:t>​</w:t>
            </w:r>
          </w:p>
        </w:tc>
        <w:tc>
          <w:tcPr>
            <w:tcW w:w="272"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(655)</w:t>
            </w:r>
          </w:p>
        </w:tc>
      </w:tr>
      <w:tr>
        <w:trPr/>
        <w:tc>
          <w:tcPr>
            <w:tcW w:w="1825"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266" w:type="dxa"/>
            <w:tcBorders/>
            <w:shd w:fill="CCEEFF" w:val="clear"/>
            <w:vAlign w:val="center"/>
          </w:tcPr>
          <w:p>
            <w:pPr>
              <w:pStyle w:val="TableContents"/>
              <w:bidi w:val="0"/>
              <w:spacing w:before="0" w:after="1"/>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xml:space="preserve">— </w:t>
            </w:r>
          </w:p>
        </w:tc>
        <w:tc>
          <w:tcPr>
            <w:tcW w:w="26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(8,473)</w:t>
            </w:r>
          </w:p>
        </w:tc>
        <w:tc>
          <w:tcPr>
            <w:tcW w:w="266" w:type="dxa"/>
            <w:tcBorders/>
            <w:shd w:fill="CCEEFF" w:val="clear"/>
            <w:vAlign w:val="center"/>
          </w:tcPr>
          <w:p>
            <w:pPr>
              <w:pStyle w:val="TableContents"/>
              <w:bidi w:val="0"/>
              <w:spacing w:before="0" w:after="1"/>
              <w:ind w:left="0" w:right="0" w:hanging="0"/>
              <w:jc w:val="righ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(8,473)</w:t>
            </w:r>
          </w:p>
        </w:tc>
      </w:tr>
      <w:tr>
        <w:trPr/>
        <w:tc>
          <w:tcPr>
            <w:tcW w:w="1825"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Balance at March 31, 2024</w:t>
            </w:r>
          </w:p>
        </w:tc>
        <w:tc>
          <w:tcPr>
            <w:tcW w:w="266" w:type="dxa"/>
            <w:tcBorders/>
            <w:vAlign w:val="center"/>
          </w:tcPr>
          <w:p>
            <w:pPr>
              <w:pStyle w:val="TableContents"/>
              <w:bidi w:val="0"/>
              <w:spacing w:before="0" w:after="1"/>
              <w:ind w:left="0" w:right="0" w:hanging="0"/>
              <w:jc w:val="right"/>
              <w:rPr/>
            </w:pPr>
            <w:r>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300</w:t>
            </w:r>
          </w:p>
        </w:tc>
        <w:tc>
          <w:tcPr>
            <w:tcW w:w="26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33,410</w:t>
            </w:r>
          </w:p>
        </w:tc>
        <w:tc>
          <w:tcPr>
            <w:tcW w:w="266" w:type="dxa"/>
            <w:tcBorders/>
            <w:vAlign w:val="center"/>
          </w:tcPr>
          <w:p>
            <w:pPr>
              <w:pStyle w:val="TableContents"/>
              <w:bidi w:val="0"/>
              <w:spacing w:before="0" w:after="1"/>
              <w:ind w:left="0" w:right="0" w:hanging="0"/>
              <w:jc w:val="righ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16,096</w:t>
            </w:r>
          </w:p>
        </w:tc>
        <w:tc>
          <w:tcPr>
            <w:tcW w:w="266" w:type="dxa"/>
            <w:tcBorders/>
            <w:vAlign w:val="center"/>
          </w:tcPr>
          <w:p>
            <w:pPr>
              <w:pStyle w:val="TableContents"/>
              <w:bidi w:val="0"/>
              <w:spacing w:before="0" w:after="1"/>
              <w:ind w:left="0" w:right="0" w:hanging="0"/>
              <w:jc w:val="righ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467"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1,186,438</w:t>
            </w:r>
          </w:p>
        </w:tc>
        <w:tc>
          <w:tcPr>
            <w:tcW w:w="26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98"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(1,178,752)</w:t>
            </w:r>
          </w:p>
        </w:tc>
        <w:tc>
          <w:tcPr>
            <w:tcW w:w="266" w:type="dxa"/>
            <w:tcBorders/>
            <w:vAlign w:val="center"/>
          </w:tcPr>
          <w:p>
            <w:pPr>
              <w:pStyle w:val="TableContents"/>
              <w:bidi w:val="0"/>
              <w:spacing w:before="0" w:after="1"/>
              <w:ind w:left="0" w:right="0" w:hanging="0"/>
              <w:jc w:val="right"/>
              <w:rPr/>
            </w:pPr>
            <w:r>
              <w:rPr/>
              <w:t>​</w:t>
            </w:r>
          </w:p>
        </w:tc>
        <w:tc>
          <w:tcPr>
            <w:tcW w:w="272"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5" w:type="dxa"/>
            <w:tcBorders>
              <w:bottom w:val="double" w:sz="6" w:space="0" w:color="000000"/>
            </w:tcBorders>
            <w:tcMar>
              <w:bottom w:w="28" w:type="dxa"/>
            </w:tcMar>
            <w:vAlign w:val="center"/>
          </w:tcPr>
          <w:p>
            <w:pPr>
              <w:pStyle w:val="TableContents"/>
              <w:bidi w:val="0"/>
              <w:spacing w:before="0" w:after="1"/>
              <w:ind w:left="0" w:right="60" w:hanging="0"/>
              <w:jc w:val="right"/>
              <w:rPr>
                <w:rFonts w:ascii="Arial;Helvetica;sans-serif" w:hAnsi="Arial;Helvetica;sans-serif"/>
                <w:sz w:val="18"/>
              </w:rPr>
            </w:pPr>
            <w:r>
              <w:rPr>
                <w:rFonts w:ascii="Arial;Helvetica;sans-serif" w:hAnsi="Arial;Helvetica;sans-serif"/>
                <w:sz w:val="18"/>
              </w:rPr>
              <w:t>7,710</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Arial;Helvetica;sans-serif" w:hAnsi="Arial;Helvetica;sans-serif"/>
          <w:sz w:val="20"/>
        </w:rPr>
      </w:pPr>
      <w:r>
        <w:rPr>
          <w:rFonts w:ascii="Arial;Helvetica;sans-serif" w:hAnsi="Arial;Helvetica;sans-serif"/>
          <w:sz w:val="20"/>
        </w:rPr>
        <w:t>See Notes to Condensed Consolidated Financial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bookmarkStart w:id="431" w:name="_9e2f5dcd_346f_4da9_9ec9_f4a34da55194"/>
      <w:bookmarkEnd w:id="431"/>
      <w:r>
        <w:rPr>
          <w:rFonts w:ascii="Arial;Helvetica;sans-serif" w:hAnsi="Arial;Helvetica;sans-serif"/>
          <w:b/>
          <w:sz w:val="20"/>
        </w:rPr>
        <w:t>Nu Ride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f/k/a Lordstown Motors Corp.</w:t>
      </w:r>
    </w:p>
    <w:p>
      <w:pPr>
        <w:pStyle w:val="TextBody"/>
        <w:bidi w:val="0"/>
        <w:spacing w:before="0" w:after="0"/>
        <w:ind w:left="0" w:right="0" w:hanging="0"/>
        <w:jc w:val="center"/>
        <w:rPr>
          <w:rFonts w:ascii="Arial;Helvetica;sans-serif" w:hAnsi="Arial;Helvetica;sans-serif"/>
          <w:b/>
          <w:sz w:val="20"/>
        </w:rPr>
      </w:pPr>
      <w:bookmarkStart w:id="432" w:name="StatementsofCashFlows_801693"/>
      <w:bookmarkEnd w:id="432"/>
      <w:r>
        <w:rPr>
          <w:rFonts w:ascii="Arial;Helvetica;sans-serif" w:hAnsi="Arial;Helvetica;sans-serif"/>
          <w:b/>
          <w:sz w:val="20"/>
        </w:rPr>
        <w:t>Statements of Cash Flows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(in thousands)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33" w:name="Tc_wwi6gHPXOEOeLj8vGtha_g_31_6"/>
      <w:bookmarkStart w:id="434" w:name="Tc_CKHBO1c2fk2Fmd6eJbuWxA_31_5"/>
      <w:bookmarkStart w:id="435" w:name="Tc_868k4HdfKE-Z73JOTCeOEw_31_2"/>
      <w:bookmarkStart w:id="436" w:name="Tc_wLo9lSi5CkeEs7jIUwhhlw_31_0"/>
      <w:bookmarkStart w:id="437" w:name="Tc_R6QQtYM1xkikuKBgZ6u_9w_30_5"/>
      <w:bookmarkStart w:id="438" w:name="Tc_EUZr0dSSM0KTXv01cTjoNw_30_3"/>
      <w:bookmarkStart w:id="439" w:name="Tc_c26a8XMQDU-giVcWT4cRtQ_30_2"/>
      <w:bookmarkStart w:id="440" w:name="Tc__DZXKDO0-UWxWw4_ixdezQ_30_0"/>
      <w:bookmarkStart w:id="441" w:name="Tc_4W26XAvZTkariCvRgwgtPA_28_5"/>
      <w:bookmarkStart w:id="442" w:name="Tc_UkuJyRfu2k6ebU_6lEZTkA_28_2"/>
      <w:bookmarkStart w:id="443" w:name="Tc_07IbTO5caUShnk9iZ7JqhA_28_0"/>
      <w:bookmarkStart w:id="444" w:name="Tc_QbZR8SD-IU-wvMJGwDxpXA_27_0"/>
      <w:bookmarkStart w:id="445" w:name="Tc_pnNeYK8Mg0CXyyRYPN33kg_26_5"/>
      <w:bookmarkStart w:id="446" w:name="Tc_XWziSHfy8UOMOkcCV8G1pg_26_2"/>
      <w:bookmarkStart w:id="447" w:name="Tc_rwlku0WTS0OomueWn6d9hA_26_0"/>
      <w:bookmarkStart w:id="448" w:name="Tc_6AQGqmqKF0OzotuXSoYqEw_25_6"/>
      <w:bookmarkStart w:id="449" w:name="Tc_vLe5UUlL7Eu3ZIVzDv54iA_25_5"/>
      <w:bookmarkStart w:id="450" w:name="Tc_IDCWWtV3nk6GSxgbUtPP-Q_25_2"/>
      <w:bookmarkStart w:id="451" w:name="Tc_xwGmgwlICU2G9rL0kVkBMg_25_0"/>
      <w:bookmarkStart w:id="452" w:name="Tc_upVRgD2vMUy4Y755MPZ-1A_24_6"/>
      <w:bookmarkStart w:id="453" w:name="Tc_IEXR6oIjEkqn4osSGMbBAw_24_0"/>
      <w:bookmarkStart w:id="454" w:name="Tc_83x01bCgrEypTc4xoZhvKg_22_5"/>
      <w:bookmarkStart w:id="455" w:name="Tc_UO8vmTCHr0KkztkwuT6JJA_22_3"/>
      <w:bookmarkStart w:id="456" w:name="Tc_-zEnmP4x60icITKMPhr0FA_22_2"/>
      <w:bookmarkStart w:id="457" w:name="Tc_vNzBwwR4HEy5BDgglHdJXQ_22_0"/>
      <w:bookmarkStart w:id="458" w:name="Tc_Xqd3ly2QCEWV4ObVm7Yw_A_21_3"/>
      <w:bookmarkStart w:id="459" w:name="Tc_70nSn0oLBECxZa2g_yKg4A_21_0"/>
      <w:bookmarkStart w:id="460" w:name="Tc_gZTh1eGoQUGNgqQgfcDFqA_20_3"/>
      <w:bookmarkStart w:id="461" w:name="Tc_O3hY_wcpXEOzJyIsQrCd6Q_20_0"/>
      <w:bookmarkStart w:id="462" w:name="Tc_QKfPCGz7t0uo3mvzWOvTRg_19_5"/>
      <w:bookmarkStart w:id="463" w:name="Tc_v2ld9cZaX0-Tmyi0NJzbCA_19_3"/>
      <w:bookmarkStart w:id="464" w:name="Tc_FEvy8nRfYEaFkz4yqffN5Q_19_2"/>
      <w:bookmarkStart w:id="465" w:name="Tc_WO1yCry1ekqTVhLiFeuxdQ_19_0"/>
      <w:bookmarkStart w:id="466" w:name="Tc_zuJPwh2hhEu3Q4nRG2BNdw_17_5"/>
      <w:bookmarkStart w:id="467" w:name="Tc_dQZxpw3f50ev25MTuv8iLw_17_2"/>
      <w:bookmarkStart w:id="468" w:name="Tc_G9c7Ay_4UEuGQM9fe5CtNQ_17_0"/>
      <w:bookmarkStart w:id="469" w:name="Tc_qi6_YQdQG0mqoMErxnZmmQ_16_0"/>
      <w:bookmarkStart w:id="470" w:name="Tc_61ngIicje0CjTzaIvjEZpQ_15_0"/>
      <w:bookmarkStart w:id="471" w:name="Tc_eqXTOUWaDkqjiZem2Mt6Tw_14_0"/>
      <w:bookmarkStart w:id="472" w:name="Tc_xSonq1YfZ02FKzi9shRJBg_13_0"/>
      <w:bookmarkStart w:id="473" w:name="Tc_kCaXOH0t0k6WoKWfxaguTA_12_3"/>
      <w:bookmarkStart w:id="474" w:name="Tc_DGf1QJ254keqqmaAqGiNmQ_12_0"/>
      <w:bookmarkStart w:id="475" w:name="Tc_vErVzj997U2OzOoU-GGaZQ_11_0"/>
      <w:bookmarkStart w:id="476" w:name="Tc_Vgx1-hRL-kemVmnhNA-_Tg_10_3"/>
      <w:bookmarkStart w:id="477" w:name="Tc_66TpNiXbak2RI24DEXWdbg_10_0"/>
      <w:bookmarkStart w:id="478" w:name="Tc_aUVbsl5uf0Sp1Mi5ubJAHw_9_3"/>
      <w:bookmarkStart w:id="479" w:name="Tc_O9gWbda1r0CpvObiy9apiw_9_0"/>
      <w:bookmarkStart w:id="480" w:name="Tc_qezprQdxbUa9iV6DRWcvdg_8_3"/>
      <w:bookmarkStart w:id="481" w:name="Tc_ZtUtdJ-ntUa95vJRi3PppQ_8_0"/>
      <w:bookmarkStart w:id="482" w:name="Tc_kUHYnWvXgEKZ5k5kV8_omQ_7_3"/>
      <w:bookmarkStart w:id="483" w:name="Tc_unCYTDAxBEOK6be_7NovEQ_7_0"/>
      <w:bookmarkStart w:id="484" w:name="Tc_N3UdnnMn2kega6mVDAH1fA_6_0"/>
      <w:bookmarkStart w:id="485" w:name="Tc_PSpHteLRHkuySO93rqicCw_5_0"/>
      <w:bookmarkStart w:id="486" w:name="Tc_BM4jE55MEEOgrNwe0Tpd4Q_4_5"/>
      <w:bookmarkStart w:id="487" w:name="Tc_NYKK1uHJZEaVmJ1TVTNqwg_4_2"/>
      <w:bookmarkStart w:id="488" w:name="Tc_nVreXvyC_0-sdQGI-mQY-g_4_0"/>
      <w:bookmarkStart w:id="489" w:name="Tc_mz6mYyE_tEi9FB_irPthCA_3_0"/>
      <w:bookmarkStart w:id="490" w:name="Tc_5ll4qSKnMUiphBAU9iv4rQ_2_5"/>
      <w:bookmarkStart w:id="491" w:name="Tc_DqZR0GcKhUSW2l-GsXI7qA_2_2"/>
      <w:bookmarkStart w:id="492" w:name="Tc_N8Kcdmfu4ku_c25A65uOgg_1_5"/>
      <w:bookmarkStart w:id="493" w:name="Tc__C4qDkrgiEiJb5LR-L99hA_1_2"/>
      <w:bookmarkStart w:id="494" w:name="_e7592bfb_c02d_42f2_8c0a_54b699b7e88f"/>
      <w:bookmarkStart w:id="495" w:name="Tc_wwi6gHPXOEOeLj8vGtha_g_31_6"/>
      <w:bookmarkStart w:id="496" w:name="Tc_CKHBO1c2fk2Fmd6eJbuWxA_31_5"/>
      <w:bookmarkStart w:id="497" w:name="Tc_868k4HdfKE-Z73JOTCeOEw_31_2"/>
      <w:bookmarkStart w:id="498" w:name="Tc_wLo9lSi5CkeEs7jIUwhhlw_31_0"/>
      <w:bookmarkStart w:id="499" w:name="Tc_R6QQtYM1xkikuKBgZ6u_9w_30_5"/>
      <w:bookmarkStart w:id="500" w:name="Tc_EUZr0dSSM0KTXv01cTjoNw_30_3"/>
      <w:bookmarkStart w:id="501" w:name="Tc_c26a8XMQDU-giVcWT4cRtQ_30_2"/>
      <w:bookmarkStart w:id="502" w:name="Tc__DZXKDO0-UWxWw4_ixdezQ_30_0"/>
      <w:bookmarkStart w:id="503" w:name="Tc_4W26XAvZTkariCvRgwgtPA_28_5"/>
      <w:bookmarkStart w:id="504" w:name="Tc_UkuJyRfu2k6ebU_6lEZTkA_28_2"/>
      <w:bookmarkStart w:id="505" w:name="Tc_07IbTO5caUShnk9iZ7JqhA_28_0"/>
      <w:bookmarkStart w:id="506" w:name="Tc_QbZR8SD-IU-wvMJGwDxpXA_27_0"/>
      <w:bookmarkStart w:id="507" w:name="Tc_pnNeYK8Mg0CXyyRYPN33kg_26_5"/>
      <w:bookmarkStart w:id="508" w:name="Tc_XWziSHfy8UOMOkcCV8G1pg_26_2"/>
      <w:bookmarkStart w:id="509" w:name="Tc_rwlku0WTS0OomueWn6d9hA_26_0"/>
      <w:bookmarkStart w:id="510" w:name="Tc_6AQGqmqKF0OzotuXSoYqEw_25_6"/>
      <w:bookmarkStart w:id="511" w:name="Tc_vLe5UUlL7Eu3ZIVzDv54iA_25_5"/>
      <w:bookmarkStart w:id="512" w:name="Tc_IDCWWtV3nk6GSxgbUtPP-Q_25_2"/>
      <w:bookmarkStart w:id="513" w:name="Tc_xwGmgwlICU2G9rL0kVkBMg_25_0"/>
      <w:bookmarkStart w:id="514" w:name="Tc_upVRgD2vMUy4Y755MPZ-1A_24_6"/>
      <w:bookmarkStart w:id="515" w:name="Tc_IEXR6oIjEkqn4osSGMbBAw_24_0"/>
      <w:bookmarkStart w:id="516" w:name="Tc_83x01bCgrEypTc4xoZhvKg_22_5"/>
      <w:bookmarkStart w:id="517" w:name="Tc_UO8vmTCHr0KkztkwuT6JJA_22_3"/>
      <w:bookmarkStart w:id="518" w:name="Tc_-zEnmP4x60icITKMPhr0FA_22_2"/>
      <w:bookmarkStart w:id="519" w:name="Tc_vNzBwwR4HEy5BDgglHdJXQ_22_0"/>
      <w:bookmarkStart w:id="520" w:name="Tc_Xqd3ly2QCEWV4ObVm7Yw_A_21_3"/>
      <w:bookmarkStart w:id="521" w:name="Tc_70nSn0oLBECxZa2g_yKg4A_21_0"/>
      <w:bookmarkStart w:id="522" w:name="Tc_gZTh1eGoQUGNgqQgfcDFqA_20_3"/>
      <w:bookmarkStart w:id="523" w:name="Tc_O3hY_wcpXEOzJyIsQrCd6Q_20_0"/>
      <w:bookmarkStart w:id="524" w:name="Tc_QKfPCGz7t0uo3mvzWOvTRg_19_5"/>
      <w:bookmarkStart w:id="525" w:name="Tc_v2ld9cZaX0-Tmyi0NJzbCA_19_3"/>
      <w:bookmarkStart w:id="526" w:name="Tc_FEvy8nRfYEaFkz4yqffN5Q_19_2"/>
      <w:bookmarkStart w:id="527" w:name="Tc_WO1yCry1ekqTVhLiFeuxdQ_19_0"/>
      <w:bookmarkStart w:id="528" w:name="Tc_zuJPwh2hhEu3Q4nRG2BNdw_17_5"/>
      <w:bookmarkStart w:id="529" w:name="Tc_dQZxpw3f50ev25MTuv8iLw_17_2"/>
      <w:bookmarkStart w:id="530" w:name="Tc_G9c7Ay_4UEuGQM9fe5CtNQ_17_0"/>
      <w:bookmarkStart w:id="531" w:name="Tc_qi6_YQdQG0mqoMErxnZmmQ_16_0"/>
      <w:bookmarkStart w:id="532" w:name="Tc_61ngIicje0CjTzaIvjEZpQ_15_0"/>
      <w:bookmarkStart w:id="533" w:name="Tc_eqXTOUWaDkqjiZem2Mt6Tw_14_0"/>
      <w:bookmarkStart w:id="534" w:name="Tc_xSonq1YfZ02FKzi9shRJBg_13_0"/>
      <w:bookmarkStart w:id="535" w:name="Tc_kCaXOH0t0k6WoKWfxaguTA_12_3"/>
      <w:bookmarkStart w:id="536" w:name="Tc_DGf1QJ254keqqmaAqGiNmQ_12_0"/>
      <w:bookmarkStart w:id="537" w:name="Tc_vErVzj997U2OzOoU-GGaZQ_11_0"/>
      <w:bookmarkStart w:id="538" w:name="Tc_Vgx1-hRL-kemVmnhNA-_Tg_10_3"/>
      <w:bookmarkStart w:id="539" w:name="Tc_66TpNiXbak2RI24DEXWdbg_10_0"/>
      <w:bookmarkStart w:id="540" w:name="Tc_aUVbsl5uf0Sp1Mi5ubJAHw_9_3"/>
      <w:bookmarkStart w:id="541" w:name="Tc_O9gWbda1r0CpvObiy9apiw_9_0"/>
      <w:bookmarkStart w:id="542" w:name="Tc_qezprQdxbUa9iV6DRWcvdg_8_3"/>
      <w:bookmarkStart w:id="543" w:name="Tc_ZtUtdJ-ntUa95vJRi3PppQ_8_0"/>
      <w:bookmarkStart w:id="544" w:name="Tc_kUHYnWvXgEKZ5k5kV8_omQ_7_3"/>
      <w:bookmarkStart w:id="545" w:name="Tc_unCYTDAxBEOK6be_7NovEQ_7_0"/>
      <w:bookmarkStart w:id="546" w:name="Tc_N3UdnnMn2kega6mVDAH1fA_6_0"/>
      <w:bookmarkStart w:id="547" w:name="Tc_PSpHteLRHkuySO93rqicCw_5_0"/>
      <w:bookmarkStart w:id="548" w:name="Tc_BM4jE55MEEOgrNwe0Tpd4Q_4_5"/>
      <w:bookmarkStart w:id="549" w:name="Tc_NYKK1uHJZEaVmJ1TVTNqwg_4_2"/>
      <w:bookmarkStart w:id="550" w:name="Tc_nVreXvyC_0-sdQGI-mQY-g_4_0"/>
      <w:bookmarkStart w:id="551" w:name="Tc_mz6mYyE_tEi9FB_irPthCA_3_0"/>
      <w:bookmarkStart w:id="552" w:name="Tc_5ll4qSKnMUiphBAU9iv4rQ_2_5"/>
      <w:bookmarkStart w:id="553" w:name="Tc_DqZR0GcKhUSW2l-GsXI7qA_2_2"/>
      <w:bookmarkStart w:id="554" w:name="Tc_N8Kcdmfu4ku_c25A65uOgg_1_5"/>
      <w:bookmarkStart w:id="555" w:name="Tc__C4qDkrgiEiJb5LR-L99hA_1_2"/>
      <w:bookmarkStart w:id="556" w:name="_e7592bfb_c02d_42f2_8c0a_54b699b7e88f"/>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tbl>
      <w:tblPr>
        <w:tblW w:w="10205" w:type="dxa"/>
        <w:jc w:val="left"/>
        <w:tblInd w:w="0" w:type="dxa"/>
        <w:tblLayout w:type="fixed"/>
        <w:tblCellMar>
          <w:top w:w="0" w:type="dxa"/>
          <w:left w:w="0" w:type="dxa"/>
          <w:bottom w:w="0" w:type="dxa"/>
          <w:right w:w="0" w:type="dxa"/>
        </w:tblCellMar>
      </w:tblPr>
      <w:tblGrid>
        <w:gridCol w:w="6200"/>
        <w:gridCol w:w="146"/>
        <w:gridCol w:w="414"/>
        <w:gridCol w:w="1316"/>
        <w:gridCol w:w="146"/>
        <w:gridCol w:w="337"/>
        <w:gridCol w:w="1393"/>
        <w:gridCol w:w="253"/>
      </w:tblGrid>
      <w:tr>
        <w:trPr/>
        <w:tc>
          <w:tcPr>
            <w:tcW w:w="6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937000" cy="175260"/>
                      <wp:effectExtent l="0" t="0" r="0" b="0"/>
                      <wp:wrapNone/>
                      <wp:docPr id="62" name="Frame62"/>
                      <a:graphic xmlns:a="http://schemas.openxmlformats.org/drawingml/2006/main">
                        <a:graphicData uri="http://schemas.microsoft.com/office/word/2010/wordprocessingShape">
                          <wps:wsp>
                            <wps:cNvSpPr txBox="1"/>
                            <wps:spPr>
                              <a:xfrm>
                                <a:off x="0" y="0"/>
                                <a:ext cx="393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92710" cy="175260"/>
                      <wp:effectExtent l="0" t="0" r="0" b="0"/>
                      <wp:wrapNone/>
                      <wp:docPr id="63" name="Frame6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62890" cy="175260"/>
                      <wp:effectExtent l="0" t="0" r="0" b="0"/>
                      <wp:wrapNone/>
                      <wp:docPr id="64" name="Frame64"/>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835660" cy="175260"/>
                      <wp:effectExtent l="0" t="0" r="0" b="0"/>
                      <wp:wrapNone/>
                      <wp:docPr id="65" name="Frame65"/>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2710" cy="175260"/>
                      <wp:effectExtent l="0" t="0" r="0" b="0"/>
                      <wp:wrapNone/>
                      <wp:docPr id="66" name="Frame6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3995" cy="175260"/>
                      <wp:effectExtent l="0" t="0" r="0" b="0"/>
                      <wp:wrapNone/>
                      <wp:docPr id="67" name="Frame67"/>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884555" cy="175260"/>
                      <wp:effectExtent l="0" t="0" r="0" b="0"/>
                      <wp:wrapNone/>
                      <wp:docPr id="68" name="Frame68"/>
                      <a:graphic xmlns:a="http://schemas.openxmlformats.org/drawingml/2006/main">
                        <a:graphicData uri="http://schemas.microsoft.com/office/word/2010/wordprocessingShape">
                          <wps:wsp>
                            <wps:cNvSpPr txBox="1"/>
                            <wps:spPr>
                              <a:xfrm>
                                <a:off x="0" y="0"/>
                                <a:ext cx="884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60655" cy="175260"/>
                      <wp:effectExtent l="0" t="0" r="0" b="0"/>
                      <wp:wrapNone/>
                      <wp:docPr id="69" name="Frame69"/>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0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3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46" w:type="dxa"/>
            <w:tcBorders/>
            <w:vAlign w:val="center"/>
          </w:tcPr>
          <w:p>
            <w:pPr>
              <w:pStyle w:val="TableContents"/>
              <w:bidi w:val="0"/>
              <w:spacing w:before="0" w:after="0"/>
              <w:ind w:left="0" w:right="0" w:hanging="0"/>
              <w:jc w:val="left"/>
              <w:rPr/>
            </w:pPr>
            <w:r>
              <w:rPr/>
              <w:t>​</w:t>
            </w:r>
          </w:p>
        </w:tc>
        <w:tc>
          <w:tcPr>
            <w:tcW w:w="173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2024</w:t>
            </w:r>
          </w:p>
        </w:tc>
        <w:tc>
          <w:tcPr>
            <w:tcW w:w="146" w:type="dxa"/>
            <w:tcBorders/>
            <w:vAlign w:val="center"/>
          </w:tcPr>
          <w:p>
            <w:pPr>
              <w:pStyle w:val="TableContents"/>
              <w:bidi w:val="0"/>
              <w:spacing w:before="0" w:after="0"/>
              <w:ind w:left="0" w:right="0" w:hanging="0"/>
              <w:jc w:val="left"/>
              <w:rPr/>
            </w:pPr>
            <w:r>
              <w:rPr/>
              <w:t>​</w:t>
            </w:r>
          </w:p>
        </w:tc>
        <w:tc>
          <w:tcPr>
            <w:tcW w:w="1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2023</w:t>
            </w:r>
          </w:p>
        </w:tc>
        <w:tc>
          <w:tcPr>
            <w:tcW w:w="253" w:type="dxa"/>
            <w:tcBorders/>
            <w:vAlign w:val="center"/>
          </w:tcPr>
          <w:p>
            <w:pPr>
              <w:pStyle w:val="TableContents"/>
              <w:bidi w:val="0"/>
              <w:spacing w:before="0" w:after="0"/>
              <w:ind w:left="0" w:right="0" w:hanging="0"/>
              <w:jc w:val="left"/>
              <w:rPr/>
            </w:pPr>
            <w:r>
              <w:rPr/>
              <w:t>  </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flows from operating activities</w:t>
            </w:r>
          </w:p>
        </w:tc>
        <w:tc>
          <w:tcPr>
            <w:tcW w:w="146" w:type="dxa"/>
            <w:tcBorders/>
            <w:shd w:fill="CCEEFF" w:val="clear"/>
            <w:vAlign w:val="center"/>
          </w:tcPr>
          <w:p>
            <w:pPr>
              <w:pStyle w:val="TableContents"/>
              <w:bidi w:val="0"/>
              <w:spacing w:before="0" w:after="0"/>
              <w:ind w:left="0" w:right="0" w:hanging="0"/>
              <w:jc w:val="left"/>
              <w:rPr/>
            </w:pPr>
            <w:r>
              <w:rPr/>
              <w:t> </w:t>
            </w:r>
          </w:p>
        </w:tc>
        <w:tc>
          <w:tcPr>
            <w:tcW w:w="414"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1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(8,473)</w:t>
            </w:r>
          </w:p>
        </w:tc>
        <w:tc>
          <w:tcPr>
            <w:tcW w:w="1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(171,719)</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reconcile net loss to cash used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 </w:t>
            </w:r>
          </w:p>
        </w:tc>
        <w:tc>
          <w:tcPr>
            <w:tcW w:w="131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 </w:t>
            </w:r>
          </w:p>
        </w:tc>
        <w:tc>
          <w:tcPr>
            <w:tcW w:w="1393"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1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3,395</w:t>
            </w:r>
          </w:p>
        </w:tc>
        <w:tc>
          <w:tcPr>
            <w:tcW w:w="1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39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2,414</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Impairment of property plant and equipment and intangible assets</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114,440</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of property plant and equipment</w:t>
            </w:r>
          </w:p>
        </w:tc>
        <w:tc>
          <w:tcPr>
            <w:tcW w:w="1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7,674</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Write down of inventory and prepaid inventory</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19,764</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non-cash changes</w:t>
            </w:r>
          </w:p>
        </w:tc>
        <w:tc>
          <w:tcPr>
            <w:tcW w:w="1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(1,085)</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assets and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Inventory</w:t>
            </w:r>
          </w:p>
        </w:tc>
        <w:tc>
          <w:tcPr>
            <w:tcW w:w="1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(12,432)</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insurance and 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3,372</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12,822</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1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1,541</w:t>
            </w:r>
          </w:p>
        </w:tc>
        <w:tc>
          <w:tcPr>
            <w:tcW w:w="1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(4,115)</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legal and professional</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(4,818)</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(211)</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and other liabilities</w:t>
            </w:r>
          </w:p>
        </w:tc>
        <w:tc>
          <w:tcPr>
            <w:tcW w:w="1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(4,572)</w:t>
            </w:r>
          </w:p>
        </w:tc>
        <w:tc>
          <w:tcPr>
            <w:tcW w:w="14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(5,668)</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(9,555)</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(38,116)</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right"/>
              <w:rPr/>
            </w:pPr>
            <w:r>
              <w:rPr/>
              <w:t>  </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Purchases of property plant and equipment</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16" w:type="dxa"/>
            <w:tcBorders/>
            <w:shd w:fill="CCEEFF" w:val="clear"/>
            <w:vAlign w:val="center"/>
          </w:tcPr>
          <w:p>
            <w:pPr>
              <w:pStyle w:val="TableContents"/>
              <w:bidi w:val="0"/>
              <w:spacing w:before="0" w:after="0"/>
              <w:ind w:left="0" w:right="0" w:hanging="0"/>
              <w:jc w:val="righ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(7,948)</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Purchases of short-term investments</w:t>
            </w:r>
          </w:p>
        </w:tc>
        <w:tc>
          <w:tcPr>
            <w:tcW w:w="1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39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(22,208)</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Maturities of short-term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55,000</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investing activities</w:t>
            </w:r>
          </w:p>
        </w:tc>
        <w:tc>
          <w:tcPr>
            <w:tcW w:w="1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16"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24,844</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right"/>
              <w:rPr/>
            </w:pPr>
            <w:r>
              <w:rPr/>
              <w:t>  </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Tax withholding payments related to net settled restricted stock compensation</w:t>
            </w:r>
          </w:p>
        </w:tc>
        <w:tc>
          <w:tcPr>
            <w:tcW w:w="1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w:t>
            </w:r>
          </w:p>
        </w:tc>
        <w:tc>
          <w:tcPr>
            <w:tcW w:w="1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393" w:type="dxa"/>
            <w:tcBorders>
              <w:bottom w:val="single" w:sz="2" w:space="0" w:color="000000"/>
            </w:tcBorders>
            <w:tcMar>
              <w:bottom w:w="28" w:type="dxa"/>
            </w:tcMar>
            <w:vAlign w:val="center"/>
          </w:tcPr>
          <w:p>
            <w:pPr>
              <w:pStyle w:val="TableContents"/>
              <w:bidi w:val="0"/>
              <w:spacing w:before="0" w:after="0"/>
              <w:ind w:left="0" w:right="0" w:hanging="0"/>
              <w:jc w:val="right"/>
              <w:rPr/>
            </w:pPr>
            <w:r>
              <w:rPr/>
              <w:t xml:space="preserve">— </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Decrease in cash, cash equivalents, and restricted cash</w:t>
            </w:r>
          </w:p>
        </w:tc>
        <w:tc>
          <w:tcPr>
            <w:tcW w:w="1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1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(9,661)</w:t>
            </w:r>
          </w:p>
        </w:tc>
        <w:tc>
          <w:tcPr>
            <w:tcW w:w="14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(13,272)</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beginning balance</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87,096</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121,358</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cash equivalents, and restricted cash ending balance</w:t>
            </w:r>
          </w:p>
        </w:tc>
        <w:tc>
          <w:tcPr>
            <w:tcW w:w="146" w:type="dxa"/>
            <w:tcBorders/>
            <w:vAlign w:val="center"/>
          </w:tcPr>
          <w:p>
            <w:pPr>
              <w:pStyle w:val="TableContents"/>
              <w:bidi w:val="0"/>
              <w:spacing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1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77,435</w:t>
            </w:r>
          </w:p>
        </w:tc>
        <w:tc>
          <w:tcPr>
            <w:tcW w:w="146"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108,086</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393" w:type="dxa"/>
            <w:tcBorders/>
            <w:shd w:fill="CCEEFF" w:val="cle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r>
      <w:tr>
        <w:trPr/>
        <w:tc>
          <w:tcPr>
            <w:tcW w:w="620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Non-cash derecognition of Foxconn down payments for sale of fixed assets</w:t>
            </w:r>
          </w:p>
        </w:tc>
        <w:tc>
          <w:tcPr>
            <w:tcW w:w="146" w:type="dxa"/>
            <w:tcBorders/>
            <w:vAlign w:val="center"/>
          </w:tcPr>
          <w:p>
            <w:pPr>
              <w:pStyle w:val="TableContents"/>
              <w:bidi w:val="0"/>
              <w:spacing w:before="0" w:after="0"/>
              <w:ind w:left="0" w:right="0" w:hanging="0"/>
              <w:jc w:val="lef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16" w:type="dxa"/>
            <w:tcBorders>
              <w:bottom w:val="double" w:sz="6" w:space="0" w:color="000000"/>
            </w:tcBorders>
            <w:tcMar>
              <w:bottom w:w="28" w:type="dxa"/>
            </w:tcMar>
            <w:vAlign w:val="center"/>
          </w:tcPr>
          <w:p>
            <w:pPr>
              <w:pStyle w:val="TableContents"/>
              <w:bidi w:val="0"/>
              <w:spacing w:before="0" w:after="0"/>
              <w:ind w:left="0" w:right="0" w:hanging="0"/>
              <w:jc w:val="right"/>
              <w:rPr/>
            </w:pPr>
            <w:r>
              <w:rPr/>
              <w:t xml:space="preserve">— </w:t>
            </w:r>
          </w:p>
        </w:tc>
        <w:tc>
          <w:tcPr>
            <w:tcW w:w="14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w:t>
            </w:r>
          </w:p>
        </w:tc>
        <w:tc>
          <w:tcPr>
            <w:tcW w:w="253" w:type="dxa"/>
            <w:tcBorders/>
            <w:vAlign w:val="center"/>
          </w:tcPr>
          <w:p>
            <w:pPr>
              <w:pStyle w:val="TableContents"/>
              <w:bidi w:val="0"/>
              <w:spacing w:before="0" w:after="0"/>
              <w:ind w:left="0" w:right="0" w:hanging="0"/>
              <w:jc w:val="left"/>
              <w:rPr/>
            </w:pPr>
            <w:r>
              <w:rPr/>
              <w:t>​</w:t>
            </w:r>
          </w:p>
        </w:tc>
      </w:tr>
      <w:tr>
        <w:trPr/>
        <w:tc>
          <w:tcPr>
            <w:tcW w:w="620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paid for reorganization items</w:t>
            </w:r>
          </w:p>
        </w:tc>
        <w:tc>
          <w:tcPr>
            <w:tcW w:w="146" w:type="dxa"/>
            <w:tcBorders/>
            <w:shd w:fill="CCEEFF" w:val="clear"/>
            <w:vAlign w:val="center"/>
          </w:tcPr>
          <w:p>
            <w:pPr>
              <w:pStyle w:val="TableContents"/>
              <w:bidi w:val="0"/>
              <w:spacing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5,600</w:t>
            </w:r>
          </w:p>
        </w:tc>
        <w:tc>
          <w:tcPr>
            <w:tcW w:w="146"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Arial;Helvetica;sans-serif" w:hAnsi="Arial;Helvetica;sans-serif"/>
          <w:sz w:val="20"/>
        </w:rPr>
      </w:pPr>
      <w:r>
        <w:rPr>
          <w:rFonts w:ascii="Arial;Helvetica;sans-serif" w:hAnsi="Arial;Helvetica;sans-serif"/>
          <w:sz w:val="20"/>
        </w:rPr>
        <w:t>See Notes to Condensed Consolidated Financial Statements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bookmarkStart w:id="557" w:name="_f87584de_4f22_43a3_8be1_5e2a2ea42cc7"/>
      <w:bookmarkEnd w:id="557"/>
      <w:r>
        <w:rPr>
          <w:rFonts w:ascii="Arial;Helvetica;sans-serif" w:hAnsi="Arial;Helvetica;sans-serif"/>
          <w:b/>
          <w:sz w:val="20"/>
        </w:rPr>
        <w:t>Nu Ride Inc.</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f/k/a Lordstown Motors Corp.</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bookmarkStart w:id="558" w:name="NOTESTOCONDENSEDCONSOLIDATEDFINANCIALSTA"/>
      <w:bookmarkEnd w:id="558"/>
      <w:r>
        <w:rPr>
          <w:rFonts w:ascii="Arial;Helvetica;sans-serif" w:hAnsi="Arial;Helvetica;sans-serif"/>
          <w:b/>
          <w:sz w:val="20"/>
        </w:rPr>
        <w:t>NOTES TO CONDENSED CONSOLIDATED FINANCIAL STATEMENTS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(unaudited)</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1 — DESCRIPTION OF ORGANIZATION AND BUSINESS OPERATIONS</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Description of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Overview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In connection with the Chapter 11 Cases, the Company ceased production and sales of its flagship vehicle, the Endurance, and new program development. Furthermore, the Company continued its cost-cutting actions that included significant personnel reductions. On September 29, 2023, the Company entered into the LandX Asset Purchase Agreement to sell specified assets related to the design, production and sale of electric light duty vehicles focused on the commercial fleet market free and clear of liens, claims, encumbrances, and other interests. The purchaser assumed certain specified liabilities of the Company for a total purchase price of $10.2</w:t>
      </w:r>
      <w:r>
        <w:rPr>
          <w:rFonts w:ascii="Times New Roman;Times;serif" w:hAnsi="Times New Roman;Times;serif"/>
          <w:sz w:val="20"/>
        </w:rPr>
        <w:t xml:space="preserve"> </w:t>
      </w:r>
      <w:r>
        <w:rPr>
          <w:rFonts w:ascii="Arial;Helvetica;sans-serif" w:hAnsi="Arial;Helvetica;sans-serif"/>
          <w:sz w:val="20"/>
        </w:rPr>
        <w:t xml:space="preserve">million in cash in a transaction that closed on October 27, 2023 (discussed below under “Sale of Certain Assets to LandX”). The Company’s remaining assets following the closing of the LandX Asset Purchase Agreement consist largely of cash on hand, the claims asserted in the Foxconn Litigation (as defined below), claims that the Company may have against other parties, as well as net operating loss (“NOL”) carryforwards and other tax attributes.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Upon emergence from bankruptcy, the near-term operations of the Company consist of (a) claims administration under the Plan, (b) addressing the Foxconn Litigation, (c) prosecuting, pursuing, compromising, settling, or otherwise disposing of other retained causes of action, (d) defending the Company against any counterclaims and (e) filing Exchange Act reports and satisfying other regulatory requirements.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the future, the Company may explore potential business opportunities, including strategic alternatives or business combinations, including those designed to maximize the value of the Company’s NOLs. No assurances can be made that we will be successful in prosecuting any claim or cause of action or that any strategic alternative or business combination will be identified and/or would result in profitable operations or the ability to realize any value from the NOLs. We anticipate that the prosecution of claims and causes of action and the evaluation and pursuit of potential strategic alternatives will be costly, complex, and risky. As of the date of this report, the Company has neither entered into a definitive agreement with any party, nor has the Company engaged in any specific discussions with any potential business combination candidate regarding business opportunities.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Arial;Helvetica;sans-serif" w:hAnsi="Arial;Helvetica;sans-serif"/>
          <w:sz w:val="20"/>
        </w:rPr>
        <w:t>Unless the context indicates otherwise, all shares of the Company’s Class A common stock are presented after giving effect to the 1:</w:t>
      </w:r>
      <w:r>
        <w:rPr>
          <w:rFonts w:ascii="Arial;Helvetica;sans-serif" w:hAnsi="Arial;Helvetica;sans-serif"/>
          <w:b w:val="false"/>
          <w:i w:val="false"/>
          <w:caps w:val="false"/>
          <w:smallCaps w:val="false"/>
          <w:sz w:val="20"/>
        </w:rPr>
        <w:t>15</w:t>
      </w:r>
      <w:r>
        <w:rPr>
          <w:rFonts w:ascii="Times New Roman;Times;serif" w:hAnsi="Times New Roman;Times;serif"/>
          <w:sz w:val="24"/>
        </w:rPr>
        <w:t> </w:t>
      </w:r>
      <w:r>
        <w:rPr>
          <w:rFonts w:ascii="Arial;Helvetica;sans-serif" w:hAnsi="Arial;Helvetica;sans-serif"/>
          <w:sz w:val="20"/>
        </w:rPr>
        <w:t xml:space="preserve">reverse stock split of the outstanding Class A common stock, which became effective on May 24,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Sale of Certain Assets to LandX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September 29, 2023, the Company entered into an Asset Purchase Agreement (the “LandX Asset Purchase Agreement”) with LAS Capital LLC and Mr. Stephen S. Burns, an individual, as guarantor of certain obligations of LAS Capital under the LandX Asset Purchase Agreement. The LandX Asset Purchase Agreement was assigned to LAS Capital’s affiliate, LandX Motors Inc., a Delaware corporation (the assignee and “Purchaser”) and approved by the Bankruptcy Court on October 18, 2023. The closing of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transactions contemplated by the LandX Asset Purchase Agreement occurred on October 27, 2023, at which time the Purchaser acquired certain assets held for sale related to the design, production and sale of electric light duty vehicles focused on the commercial fleet market free and clear of liens, claims, encumbrances, and other interests, and assumed certain specified liabilities for a total purchase price of $10.2</w:t>
      </w:r>
      <w:r>
        <w:rPr>
          <w:rFonts w:ascii="Times New Roman;Times;serif" w:hAnsi="Times New Roman;Times;serif"/>
          <w:sz w:val="20"/>
        </w:rPr>
        <w:t xml:space="preserve"> </w:t>
      </w:r>
      <w:r>
        <w:rPr>
          <w:rFonts w:ascii="Arial;Helvetica;sans-serif" w:hAnsi="Arial;Helvetica;sans-serif"/>
          <w:sz w:val="20"/>
        </w:rPr>
        <w:t>million in cash. Upon consummation of the sale, the Company’s investment banker became entitled to a transaction fee of $2.0</w:t>
      </w:r>
      <w:r>
        <w:rPr>
          <w:rFonts w:ascii="Times New Roman;Times;serif" w:hAnsi="Times New Roman;Times;serif"/>
          <w:sz w:val="20"/>
        </w:rPr>
        <w:t xml:space="preserve"> </w:t>
      </w:r>
      <w:r>
        <w:rPr>
          <w:rFonts w:ascii="Arial;Helvetica;sans-serif" w:hAnsi="Arial;Helvetica;sans-serif"/>
          <w:sz w:val="20"/>
        </w:rPr>
        <w:t>million after crediting certain other fees. The transaction fee was paid in January 2024, with no further amounts payable.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Emergence From Bankruptcy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1, 2023, the Debtors filed a Joint Plan of Lordstown Motors Corp. and Its Affiliated Debtors and a related proposed disclosure statement, which were amended and modified on each of October 24, 2023, October 29, 2023, and October 30, 2023. On January 31, 2024, the Debtors filed the Second Modified First Amended Joint Plan of Lordstown Motors Corp. and Its Affiliated Debtors (the “Plan”). The modifications to the Plan since the previously filed version incorporated, among other things, a settlement (the “Ohio Securities Litigation Settlement”) of claims against the Debtors and certain directors and officers of the Debtors that were serving in such roles as of December 12, 2023, asserted in, or on the same or similar basis as those claims asserted in, the securities class action captioned In re Lordstown Motors Corp. Securities Litigation (the “Ohio Securities Litigation”). The Plan also included, as a condition to confirmation of the Plan, that the SEC approve an offer of settlement submitted by the Debtors to resolve the SEC Claim (as defined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March 5, 2024, the Bankruptcy Court entered a confirmation order confirming the Plan (the “Confirmation Order”). Following the entry of the confirmation order and all conditions to effectiveness of the Plan being satisfied, the Debtors emerged from bankruptcy on March 14, 2024 under the name “Nu Ride Inc.” Upon emergence, the SEC Claim was deemed withdrawn pursuant to the terms of the settlement with the SEC and the Confirmation Order. Upon emergence, a new Board of Directors was appointed pursuant to the Plan and all remaining full-time employees, including the Company’s pre-emergence executive officers, were terminated. Some of those employees continue to provide services to the Company as consultants. The Company’s Chief Executive Officer, who is its sole executive officer, was elected by the new Board of Directors in accordance with the Plan, as of the Company’s emergence.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Upon emergence, the Company’s primary operations are: (i) resolving claims filed in the bankruptcy, (ii) prosecuting the Foxconn Litigation, (iii) pursuing, compromising, settling or otherwise disposing of other retained causes of action of the Company, and (iv) identifying potential transactions, including business combinations, or otherwise, that could create value, including through permitting the Company to make use of the NOLs, if preserved.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Foxconn 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June 27, 2023, the Company commenced an adversary proceeding against Foxconn (the “Foxconn Litigation”) in the Bankruptcy Court seeking relief for fraudulent and tortious conduct as well as breaches of the Investment Agreement (as defined below) and other agreements, the parties’ joint venture agreement, the Foxconn APA (as defined below), and the CMA (as defined below) that the Company believes were committed by Foxconn. As set forth in the complaint relating to the adversary proceeding, the Company believes Foxconn’s actions have caused substantial harm to the Company’s operations and prospects and significant damages.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the Equity Committee filed a notice of completion of briefing, which provided that the briefing of the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Foxconn Adversary Motion to Dismiss has been completed and such motion is ready for disposition. Oral argument on the Foxconn Adversary Motion to Dismiss has not been scheduled. The Company currently intends to continue to vigorously oppose that motion and pursue its claims against Foxconn.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If the Bankruptcy Court denies the Foxconn Adversary Motion to Dismiss, the Company will continue to prosecute the Foxconn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the outcome or recoveries, if 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See Note 8 – Commitments and Contingencies – Foxconn Litigation for additional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Basis of Presentation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accompanying unaudited condensed consolidated interim financial statements are presented in conformity with accounting principles generally accepted in the United States of America (“GAAP”) for interim financial statements and the instructions to the Quarterly Report on Form 10-Q and Rule 8-03 of Regulation S-X. The unaudited condensed consolidated interim financial statements include the accounts and operations of the Company and its wholly owned subsidiary. All intercompany accounts and transactions are eliminated upon consolidation.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Annual Report on Form 10-K for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from those estimates.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 xml:space="preserve">Liquidity and Going Concern </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accompanying consolidated financial statements have been prepared assuming the Company will continue as a going concern,</w:t>
      </w:r>
      <w:r>
        <w:rPr>
          <w:rFonts w:ascii="Times New Roman;Times;serif" w:hAnsi="Times New Roman;Times;serif"/>
          <w:sz w:val="20"/>
        </w:rPr>
        <w:t xml:space="preserve"> </w:t>
      </w:r>
      <w:r>
        <w:rPr>
          <w:rFonts w:ascii="Arial;Helvetica;sans-serif" w:hAnsi="Arial;Helvetica;sans-serif"/>
          <w:sz w:val="20"/>
        </w:rPr>
        <w:t>which presumes the Company will continue in operation for one year after the date these consolidated financial statements are issued and will be able to realize its assets and discharge its liabilities and commitments in the ordinary course of business. In accordance with Accounting Standards Codification ("ASC") 205-40, Going Concern, the Company has evaluated whether there are any conditions and events, considered in the aggregate, that raise substantial doubt about the Company's ability to continue as a going concern for one year from the date these consolidated financial statements are issued.</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Company had cash and cash equivalents of approximately $19.7</w:t>
      </w:r>
      <w:r>
        <w:rPr>
          <w:rFonts w:ascii="Times New Roman;Times;serif" w:hAnsi="Times New Roman;Times;serif"/>
          <w:sz w:val="20"/>
        </w:rPr>
        <w:t xml:space="preserve"> </w:t>
      </w:r>
      <w:r>
        <w:rPr>
          <w:rFonts w:ascii="Arial;Helvetica;sans-serif" w:hAnsi="Arial;Helvetica;sans-serif"/>
          <w:sz w:val="20"/>
        </w:rPr>
        <w:t>million, excluding restricted cash of approximately $57.7</w:t>
      </w:r>
      <w:r>
        <w:rPr>
          <w:rFonts w:ascii="Times New Roman;Times;serif" w:hAnsi="Times New Roman;Times;serif"/>
          <w:sz w:val="20"/>
        </w:rPr>
        <w:t xml:space="preserve"> </w:t>
      </w:r>
      <w:r>
        <w:rPr>
          <w:rFonts w:ascii="Arial;Helvetica;sans-serif" w:hAnsi="Arial;Helvetica;sans-serif"/>
          <w:sz w:val="20"/>
        </w:rPr>
        <w:t>million, an accumulated deficit of $1.2</w:t>
      </w:r>
      <w:r>
        <w:rPr>
          <w:rFonts w:ascii="Times New Roman;Times;serif" w:hAnsi="Times New Roman;Times;serif"/>
          <w:sz w:val="20"/>
        </w:rPr>
        <w:t xml:space="preserve"> </w:t>
      </w:r>
      <w:r>
        <w:rPr>
          <w:rFonts w:ascii="Arial;Helvetica;sans-serif" w:hAnsi="Arial;Helvetica;sans-serif"/>
          <w:sz w:val="20"/>
        </w:rPr>
        <w:t>billion at March 31, 2024 and a net loss of $8.5</w:t>
      </w:r>
      <w:r>
        <w:rPr>
          <w:rFonts w:ascii="Times New Roman;Times;serif" w:hAnsi="Times New Roman;Times;serif"/>
          <w:sz w:val="20"/>
        </w:rPr>
        <w:t xml:space="preserve"> </w:t>
      </w:r>
      <w:r>
        <w:rPr>
          <w:rFonts w:ascii="Arial;Helvetica;sans-serif" w:hAnsi="Arial;Helvetica;sans-serif"/>
          <w:sz w:val="20"/>
        </w:rPr>
        <w:t>million for the three months ended March 31, 2024. As a result of the Company’s accumulated deficit, lack of any immediate sources of revenue, and the risks and uncertainties related to the Company’s ability to successfully resolve known and unknown claims that are or may be filed against us, substantial doubt exists regarding our ability to continue as a going concern.</w:t>
      </w:r>
      <w:r>
        <w:rPr>
          <w:rFonts w:ascii="Times New Roman;Times;serif" w:hAnsi="Times New Roman;Times;serif"/>
          <w:sz w:val="20"/>
        </w:rPr>
        <w:t xml:space="preserve"> </w:t>
      </w:r>
      <w:r>
        <w:rPr>
          <w:rFonts w:ascii="Arial;Helvetica;sans-serif" w:hAnsi="Arial;Helvetica;sans-serif"/>
          <w:sz w:val="20"/>
        </w:rPr>
        <w:t xml:space="preserve">Our liquidity and ability to continue as a going concern is dependent upon, among other things: (i) the resolution of significant contingent and other claims, liabilities and (ii) the outcome of the Company’s efforts to realize value, if any, from its retained causes of action, including the Foxconn Litigation, and other remaining assets. The Company intends to explore potential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business opportunities, including strategic alternatives or business combinations, including those designed to maximize the value of the Company’s NOLs.</w:t>
      </w:r>
    </w:p>
    <w:p>
      <w:pPr>
        <w:pStyle w:val="TextBody"/>
        <w:bidi w:val="0"/>
        <w:spacing w:before="0" w:after="0"/>
        <w:ind w:left="0" w:right="0" w:hanging="0"/>
        <w:jc w:val="left"/>
        <w:rPr>
          <w:shd w:fill="FFFFFF" w:val="clear"/>
        </w:rPr>
      </w:pPr>
      <w:r>
        <w:rPr>
          <w:shd w:fill="FFFFFF" w:val="clear"/>
        </w:rPr>
        <w:t>​</w:t>
      </w:r>
    </w:p>
    <w:p>
      <w:pPr>
        <w:pStyle w:val="TextBody"/>
        <w:bidi w:val="0"/>
        <w:spacing w:before="0" w:after="200"/>
        <w:ind w:left="0" w:right="0" w:hanging="0"/>
        <w:jc w:val="left"/>
        <w:rPr>
          <w:rFonts w:ascii="Arial;Helvetica;sans-serif" w:hAnsi="Arial;Helvetica;sans-serif"/>
          <w:b/>
          <w:sz w:val="20"/>
        </w:rPr>
      </w:pPr>
      <w:bookmarkStart w:id="559" w:name="Narr_9caFWcKDlE23k8qNpiyp1w"/>
      <w:bookmarkStart w:id="560" w:name="Narr_kFCwy90RJEWspB-jNh2Twg"/>
      <w:bookmarkEnd w:id="559"/>
      <w:bookmarkEnd w:id="560"/>
      <w:r>
        <w:rPr>
          <w:rFonts w:ascii="Arial;Helvetica;sans-serif" w:hAnsi="Arial;Helvetica;sans-serif"/>
          <w:b/>
          <w:sz w:val="20"/>
        </w:rPr>
        <w:t>NOTE 2 — SUMMARY OF SIGNIFICANT ACCOUNTING POLICIES</w:t>
      </w:r>
    </w:p>
    <w:p>
      <w:pPr>
        <w:pStyle w:val="TextBody"/>
        <w:pBdr/>
        <w:bidi w:val="0"/>
        <w:spacing w:before="0" w:after="0"/>
        <w:ind w:left="0" w:right="0" w:hanging="0"/>
        <w:jc w:val="left"/>
        <w:rPr>
          <w:rFonts w:ascii="Arial;Helvetica;sans-serif" w:hAnsi="Arial;Helvetica;sans-serif"/>
          <w:b w:val="false"/>
          <w:i/>
          <w:sz w:val="20"/>
        </w:rPr>
      </w:pPr>
      <w:r>
        <w:rPr>
          <w:rFonts w:ascii="Arial;Helvetica;sans-serif" w:hAnsi="Arial;Helvetica;sans-serif"/>
          <w:b w:val="false"/>
          <w:i/>
          <w:sz w:val="20"/>
        </w:rPr>
        <w:t>Use of Estimates in Financial Statement Preparation</w:t>
      </w:r>
    </w:p>
    <w:p>
      <w:pPr>
        <w:pStyle w:val="TextBody"/>
        <w:shd w:fill="FFFFFF" w:val="clear"/>
        <w:bidi w:val="0"/>
        <w:spacing w:before="0" w:after="200"/>
        <w:ind w:left="0" w:right="0" w:hanging="0"/>
        <w:jc w:val="left"/>
        <w:rPr>
          <w:rFonts w:ascii="Arial;Helvetica;sans-serif" w:hAnsi="Arial;Helvetica;sans-serif"/>
          <w:sz w:val="20"/>
        </w:rPr>
      </w:pPr>
      <w:r>
        <w:rPr>
          <w:rFonts w:ascii="Arial;Helvetica;sans-serif" w:hAnsi="Arial;Helvetica;sans-serif"/>
          <w:sz w:val="20"/>
        </w:rPr>
        <w:t>The preparation of condensed consolidated ﬁnancial statements in accordance with GAAP is based on the selection and application of accounting policies that require us to make significant estimates and assumptions that affect the reported amounts in the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 The Chapter 11 Cases may result in ongoing, additional changes in facts and circumstances that may cause the Company’s estimates and assumptions to change, potentially materially. We undertake no obligation to update or revise any of the disclosures, whether as a result of new information, future events or otherwise, except as may be required under applicable securities laws.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There have been no material changes to the critical accounting policies and estimates described in our Annual Report on Form 10-K for the year ended December 31, 2023.</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Fresh Start Accounting</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Upon emergence from bankruptcy, the Company assessed the requirements of fresh start accounting as required in Accounting Standards Codification 852: Reorganizations (“ASC 852”). Based on the Company’s assessment, management concluded that the Company does not qualify for fresh start accounting under ASC 852 upon emergence from bankruptcy. Management’s conclusion was based on the fact the total of all post-petition liabilities and reserve for allowed claims did not exceed the reorganization value, and the holders of existing voting shares immediately prior to confirmation did not lose control of the entity, as defined as receiving less than 50% of the emerging entity’s voting shares. Accordingly, the Company continued to apply GAAP in the ongoing preparation of its financial statements post emergence. </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Segment Information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We have one reportable and operating segment.</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Cash and Cash Equivalents, Short-term Investments, and Restricted Cash</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The Company maintains its cash in bank deposit and securities accounts that exceed federally insured limits. We have not experienced significant losses in such accounts and management believes it is not exposed to material credit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Our short-term investments consist primarily of liquid investment grade commercial paper, which are diversified among individual issuers, including non-U.S. governments, non-U.S. governmental agencies, supranational institutions, banks and corporations. The short-term investments are accounted for as available-for-sale securities. The settlement risk related to these investments is insignificant given that the short-term investments held are primarily highly liquid investment-grade fixed-income securities.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Restricted cash balances represent cash reserves as required by the Plan.</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Inventory and Inventory Valuation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Substantially all the Company’s inventory was specific to the production of the Endurance. As discussed above, the Company ceased production of the Endurance in June 2023. All of our Endurance inventory was sold pursuant to closing the LandX Asset Purchase Agreement in the fourth quarter of 2023.</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The Company’s inventory was stated at the lower of cost or net realizable value (“NRV”). In addition to the NRV analysis, the Company recognized an excess inventory reserve to adjust for inventory quantities that were in excess of anticipated Endurance production. The charge to reflect NRV and excess inventory totaled $19.8</w:t>
      </w:r>
      <w:r>
        <w:rPr>
          <w:rFonts w:ascii="Times New Roman;Times;serif" w:hAnsi="Times New Roman;Times;serif"/>
          <w:sz w:val="20"/>
        </w:rPr>
        <w:t xml:space="preserve"> </w:t>
      </w:r>
      <w:r>
        <w:rPr>
          <w:rFonts w:ascii="Arial;Helvetica;sans-serif" w:hAnsi="Arial;Helvetica;sans-serif"/>
          <w:sz w:val="20"/>
        </w:rPr>
        <w:t>million for the three months ended March 31, 2023 and is recorded with Cost of Sales in the Company’s Condensed Consolidated Statement of Operations. No</w:t>
      </w:r>
      <w:r>
        <w:rPr>
          <w:rFonts w:ascii="Times New Roman;Times;serif" w:hAnsi="Times New Roman;Times;serif"/>
          <w:sz w:val="20"/>
        </w:rPr>
        <w:t xml:space="preserve"> </w:t>
      </w:r>
      <w:r>
        <w:rPr>
          <w:rFonts w:ascii="Arial;Helvetica;sans-serif" w:hAnsi="Arial;Helvetica;sans-serif"/>
          <w:sz w:val="20"/>
        </w:rPr>
        <w:t>such charges were recognized for the three months ended March 31, 2024.</w:t>
      </w:r>
    </w:p>
    <w:p>
      <w:pPr>
        <w:pStyle w:val="TextBody"/>
        <w:pBdr/>
        <w:bidi w:val="0"/>
        <w:spacing w:before="0" w:after="0"/>
        <w:ind w:left="0" w:right="0" w:hanging="0"/>
        <w:jc w:val="left"/>
        <w:rPr>
          <w:rFonts w:ascii="Arial;Helvetica;sans-serif" w:hAnsi="Arial;Helvetica;sans-serif"/>
          <w:b w:val="false"/>
          <w:i/>
          <w:sz w:val="20"/>
        </w:rPr>
      </w:pPr>
      <w:r>
        <w:rPr>
          <w:rFonts w:ascii="Arial;Helvetica;sans-serif" w:hAnsi="Arial;Helvetica;sans-serif"/>
          <w:b w:val="false"/>
          <w:i/>
          <w:sz w:val="20"/>
        </w:rPr>
        <w:t>Property, Plant and Equipment</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Property, plant and equipment were stated at cost less accumulated depreciation and impairment charges. Depreciation was computed using the straight-line method over the estimated useful lives and residual values of the related assets. Maintenance and repair expenditures were expensed as incurred, while major improvements that increase functionality of the asset are capitalized and depreciated ratably to expense over the identified useful life. </w:t>
      </w:r>
    </w:p>
    <w:p>
      <w:pPr>
        <w:pStyle w:val="TextBody"/>
        <w:pBdr/>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Substantially all our property, plant and equipment were sold pursuant to closing the LandX Asset Purchase Agreement in the fourth quarter of 2023.</w:t>
      </w:r>
    </w:p>
    <w:p>
      <w:pPr>
        <w:pStyle w:val="TextBody"/>
        <w:shd w:fill="FFFFFF" w:val="clear"/>
        <w:bidi w:val="0"/>
        <w:spacing w:before="0" w:after="200"/>
        <w:ind w:left="0" w:right="0" w:hanging="0"/>
        <w:jc w:val="left"/>
        <w:rPr>
          <w:rFonts w:ascii="Arial;Helvetica;sans-serif" w:hAnsi="Arial;Helvetica;sans-serif"/>
          <w:i/>
          <w:sz w:val="20"/>
        </w:rPr>
      </w:pPr>
      <w:r>
        <w:rPr>
          <w:rFonts w:ascii="Arial;Helvetica;sans-serif" w:hAnsi="Arial;Helvetica;sans-serif"/>
          <w:i/>
          <w:sz w:val="20"/>
        </w:rPr>
        <w:t>Valuation of Long-Lived and Intangible Assets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Long-lived assets, including intangible assets, were reviewed for potential impairment whenever events or changes in circumstances indicate that the carrying amount of an asset or asset group may not be recoverable. Asset impairment calculations required us to apply judgment in estimating asset group fair values and future cash flows, including periods of operation, projections of product pricing, production levels, product costs, market supply and demand, inflation, projected capital spending and, specifically for fixed assets acquired, assigned useful lives, residual values functional obsolescence, asset condition and discount rates. When performing impairment tests, we estimated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 and judgments used in estimating future cash flows and asset fair values. Changes in these estimates and assumptions could materially affect the determination of fair value and any impairment charge.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assets to be held and used, including identifiable intangible assets and long-lived assets subject to amortization, we initiated our review whenever events or changes in circumstances indicate that the carrying amount of these assets may not be recoverable. The recoverability of a long-lived asset subject to amortization is measured by comparison of its carrying amount to the expected future undiscounted cash flows that the asset is expected to generate. Any impairment recognized was measured by the amount by which the carrying amount of the asset exceeded its fair value. Significant management judgment is required in this process.</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The Company recognized impairment charges of $109.8</w:t>
      </w:r>
      <w:r>
        <w:rPr>
          <w:rFonts w:ascii="Times New Roman;Times;serif" w:hAnsi="Times New Roman;Times;serif"/>
          <w:sz w:val="20"/>
        </w:rPr>
        <w:t xml:space="preserve"> </w:t>
      </w:r>
      <w:r>
        <w:rPr>
          <w:rFonts w:ascii="Arial;Helvetica;sans-serif" w:hAnsi="Arial;Helvetica;sans-serif"/>
          <w:sz w:val="20"/>
        </w:rPr>
        <w:t>million for the three months ended March 31, 2023. No</w:t>
      </w:r>
      <w:r>
        <w:rPr>
          <w:rFonts w:ascii="Times New Roman;Times;serif" w:hAnsi="Times New Roman;Times;serif"/>
          <w:sz w:val="20"/>
        </w:rPr>
        <w:t xml:space="preserve"> </w:t>
      </w:r>
      <w:r>
        <w:rPr>
          <w:rFonts w:ascii="Arial;Helvetica;sans-serif" w:hAnsi="Arial;Helvetica;sans-serif"/>
          <w:sz w:val="20"/>
        </w:rPr>
        <w:t>such charges were recognized for the three months ended March 31, 2024.</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val="false"/>
          <w:i/>
          <w:sz w:val="20"/>
        </w:rPr>
      </w:pPr>
      <w:bookmarkStart w:id="561" w:name="Narr_53Ba3ieEJE-kX97zwJFqvw"/>
      <w:bookmarkEnd w:id="561"/>
      <w:r>
        <w:rPr>
          <w:rFonts w:ascii="Arial;Helvetica;sans-serif" w:hAnsi="Arial;Helvetica;sans-serif"/>
          <w:b w:val="false"/>
          <w:i/>
          <w:sz w:val="20"/>
        </w:rPr>
        <w:t>Liabilities Subject to Compromise</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In the accompanying Balance Sheet, the “Liabilities subject to compromise” line is reflective of expected allowed claim amounts in accordance with ASC 852-10 and are subject to change materially based on the continued consideration of claims that may be modified, allowed, or disallowed. Refer to Note 8 – Commitments and Contingencies for further detail.</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Warrants</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The Company accounted for its warrants in accordance with the guidance contained in ASC Topic 815-40-15-7D and 7F under which the warrants did not meet the criteria for equity treatment and were recorded as liabilities at their fair value at each reporting period. Any change in fair value was recognized in the statement of operations. As a result of the Chapter 11 Cases, the fair value of the Company’s warrants was deemed to be zero</w:t>
      </w:r>
      <w:r>
        <w:rPr>
          <w:rFonts w:ascii="Times New Roman;Times;serif" w:hAnsi="Times New Roman;Times;serif"/>
          <w:sz w:val="20"/>
        </w:rPr>
        <w:t xml:space="preserve"> </w:t>
      </w:r>
      <w:r>
        <w:rPr>
          <w:rFonts w:ascii="Arial;Helvetica;sans-serif" w:hAnsi="Arial;Helvetica;sans-serif"/>
          <w:sz w:val="20"/>
        </w:rPr>
        <w:t>and adjusted accordingly as of June 30, 2023.The fair value of the Company’s warrants is currently deemed to be zero.</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Revenue Recognition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Revenue was recognized when control of a promised good or service was transferred to a customer in an amount that reflects the consideration the Company expects to receive in exchange for the good or service. Our performance obligations were satisfied at a point in time. We recognized revenue when the customer confirmed acceptance of vehicle possession. Costs related to shipping and handling activities are a part of fulfillment costs and are therefore recognized under cost of sales. Our sales are final and do not have a right of return clause. There were limited instances of sales incentives offered to fleet management companies. The incentives offered were of an immaterial amount per vehicle, and there were no sales incentives recognized during 2024 or 2023.The Company did not offer financing options therefore there is no impact on the collectability of revenue. </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Product Warranty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estimated costs related to product warranties were accrued at the time products were sold and are charged to cost of sales which included our best estimate of the projected costs to repair or replace items under warranties and recalls if identified. As part of the bankruptcy proceedings, we received authorization from the Bankruptcy Court to repurchase all vehicles that were in the possession of our customers. We have repurchased and destroyed all but three of the vehicles that we sold. We do not believe that we have any warranty obligations related to the three vehicles retained by customers.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Costs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Company expensed research and development costs as they were incurred. Research and development costs consist primarily of personnel costs for engineering, testing and manufacturing costs, along with expenditures for prototype manufacturing, testing, validation, certification, contract and other professional services and costs. </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Stock-Based Compensation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Company has adopted ASC Topic 718, Accounting for Stock-Based Compensation (“ASC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 The resulting amount was charged to expense on the straight-line basis over the period in which the Company expects to receive the benefit, which is generally the vesting period. Further, pursuant to ASU 2016-09 – Compensation – Stock Compensation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(Topic 718), the Company has elected to account for forfeitures as they occur. See Note 7 – Stock Based Compensation.</w:t>
      </w:r>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Reorganization Items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sz w:val="20"/>
        </w:rPr>
        <w:t>Reorganization items of $4.2</w:t>
      </w:r>
      <w:r>
        <w:rPr>
          <w:rFonts w:ascii="Arial;Helvetica;sans-serif" w:hAnsi="Arial;Helvetica;sans-serif"/>
          <w:b/>
          <w:sz w:val="20"/>
        </w:rPr>
        <w:t xml:space="preserve"> </w:t>
      </w:r>
      <w:r>
        <w:rPr>
          <w:rFonts w:ascii="Arial;Helvetica;sans-serif" w:hAnsi="Arial;Helvetica;sans-serif"/>
          <w:b w:val="false"/>
          <w:sz w:val="20"/>
        </w:rPr>
        <w:t>million represent the expenses directly and incrementally resulting from the Chapter 11 Cases and are separately reported as Reorganization items in our condensed consolidated Statements of Operations. Our reorganization costs are significant and currently represent the majority of our ongoing total operating expenses.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Income Taxes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Income taxes are recorded in accordance with ASC Topic 740, Income Taxes (ASC Topic 740).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At December 31, 2023 the Company had $993.2 million of estimated federal net operating losses that carry forward indefinitely. At December 31, 2023, estimated state net operating losses of $322.3 million will be able to be carried forward 10 years and estimated local net operating losses of $558.0 million will be able to be carried forward between </w:t>
      </w:r>
      <w:r>
        <w:rPr>
          <w:rFonts w:ascii="Arial;Helvetica;sans-serif" w:hAnsi="Arial;Helvetica;sans-serif"/>
          <w:b w:val="false"/>
          <w:i w:val="false"/>
          <w:caps w:val="false"/>
          <w:smallCaps w:val="false"/>
          <w:sz w:val="20"/>
        </w:rPr>
        <w:t>two</w:t>
      </w:r>
      <w:r>
        <w:rPr>
          <w:rFonts w:ascii="Arial;Helvetica;sans-serif" w:hAnsi="Arial;Helvetica;sans-serif"/>
          <w:sz w:val="20"/>
        </w:rPr>
        <w:t xml:space="preserve"> to five years.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Reclassifications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Certain prior year amounts have been reclassified to conform with the March 31, 2024 presentation.</w:t>
      </w:r>
    </w:p>
    <w:p>
      <w:pPr>
        <w:pStyle w:val="TextBody"/>
        <w:bidi w:val="0"/>
        <w:spacing w:before="0" w:after="200"/>
        <w:ind w:left="0" w:right="0" w:hanging="0"/>
        <w:jc w:val="left"/>
        <w:rPr>
          <w:rFonts w:ascii="Arial;Helvetica;sans-serif" w:hAnsi="Arial;Helvetica;sans-serif"/>
          <w:b w:val="false"/>
          <w:i/>
          <w:sz w:val="20"/>
        </w:rPr>
      </w:pPr>
      <w:r>
        <w:rPr>
          <w:rFonts w:ascii="Arial;Helvetica;sans-serif" w:hAnsi="Arial;Helvetica;sans-serif"/>
          <w:b w:val="false"/>
          <w:i/>
          <w:sz w:val="20"/>
        </w:rPr>
        <w:t>Recently issued accounting pronouncements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val="false"/>
          <w:sz w:val="20"/>
        </w:rPr>
        <w:t>There are no recently</w:t>
      </w:r>
      <w:r>
        <w:rPr>
          <w:rFonts w:ascii="Arial;Helvetica;sans-serif" w:hAnsi="Arial;Helvetica;sans-serif"/>
          <w:b/>
          <w:sz w:val="20"/>
        </w:rPr>
        <w:t xml:space="preserve"> </w:t>
      </w:r>
      <w:r>
        <w:rPr>
          <w:rFonts w:ascii="Arial;Helvetica;sans-serif" w:hAnsi="Arial;Helvetica;sans-serif"/>
          <w:b w:val="false"/>
          <w:sz w:val="20"/>
        </w:rPr>
        <w:t>issued, but not yet adopted, accounting pronouncements which are expected to have a material impact on the Company’s Condensed Consolidated Financial Statements and related disclosures.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3 — FAIR VALUE MEASUREMENTS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Recurring Fair Value Measurements</w:t>
      </w:r>
    </w:p>
    <w:p>
      <w:pPr>
        <w:pStyle w:val="TextBody"/>
        <w:bidi w:val="0"/>
        <w:spacing w:before="0" w:after="240"/>
        <w:ind w:left="0" w:right="0" w:hanging="0"/>
        <w:jc w:val="both"/>
        <w:rPr>
          <w:rFonts w:ascii="Arial;Helvetica;sans-serif" w:hAnsi="Arial;Helvetica;sans-serif"/>
          <w:sz w:val="20"/>
        </w:rPr>
      </w:pPr>
      <w:r>
        <w:rPr>
          <w:rFonts w:ascii="Arial;Helvetica;sans-serif" w:hAnsi="Arial;Helvetica;sans-serif"/>
          <w:sz w:val="20"/>
        </w:rPr>
        <w:t>The Company follows the accounting guidance in ASC Topic 820, Fair Value Measurements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idi w:val="0"/>
        <w:spacing w:before="0" w:after="0"/>
        <w:ind w:left="0" w:right="0" w:hanging="0"/>
        <w:jc w:val="both"/>
        <w:rPr>
          <w:rFonts w:ascii="Arial;Helvetica;sans-serif" w:hAnsi="Arial;Helvetica;sans-serif"/>
          <w:sz w:val="20"/>
          <w:shd w:fill="FFFFFF" w:val="clear"/>
        </w:rPr>
      </w:pPr>
      <w:bookmarkStart w:id="562" w:name="Tc_VZHsCYhITUuLq4FhJADUsA_6_2"/>
      <w:bookmarkStart w:id="563" w:name="Tc_-C2q1KLwEUOjaXoFirvMTw_6_0"/>
      <w:bookmarkStart w:id="564" w:name="Tc_yGjF80gKDEaCrtzYE61Nlg_5_0"/>
      <w:bookmarkStart w:id="565" w:name="Tc_LiAs4TU3mUWLkbA-nkMTFw_4_2"/>
      <w:bookmarkStart w:id="566" w:name="Tc_YC1BJuzesUizQB2Staw03Q_4_0"/>
      <w:bookmarkStart w:id="567" w:name="Tc_5ZKiFVKqpUOatk8UVFZDew_3_2"/>
      <w:bookmarkStart w:id="568" w:name="Tc_viSJzznD_02ye2930rT2cQ_2_2"/>
      <w:bookmarkStart w:id="569" w:name="_a166d385_c80c_41be_9a38_cf38df588e54"/>
      <w:bookmarkEnd w:id="562"/>
      <w:bookmarkEnd w:id="563"/>
      <w:bookmarkEnd w:id="564"/>
      <w:bookmarkEnd w:id="565"/>
      <w:bookmarkEnd w:id="566"/>
      <w:bookmarkEnd w:id="567"/>
      <w:bookmarkEnd w:id="568"/>
      <w:bookmarkEnd w:id="569"/>
      <w:r>
        <w:rPr>
          <w:rFonts w:ascii="Arial;Helvetica;sans-serif" w:hAnsi="Arial;Helvetica;sans-serif"/>
          <w:sz w:val="20"/>
          <w:shd w:fill="FFFFFF" w:val="clear"/>
        </w:rPr>
        <w:t>As of March 31, 2023, the Company had short-term investments which were commercial paper that are classified as Level II. The Company had no such investments as of March 31,2024.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pStyle w:val="TextBody"/>
        <w:pBdr/>
        <w:shd w:fill="FFFFFF" w:val="clear"/>
        <w:bidi w:val="0"/>
        <w:spacing w:before="0" w:after="0"/>
        <w:ind w:left="0" w:right="0" w:hanging="0"/>
        <w:jc w:val="both"/>
        <w:rPr>
          <w:rFonts w:ascii="Times New Roman;Times;serif" w:hAnsi="Times New Roman;Times;serif"/>
          <w:sz w:val="20"/>
        </w:rPr>
      </w:pPr>
      <w:r>
        <w:rPr>
          <w:rFonts w:ascii="Arial;Helvetica;sans-serif" w:hAnsi="Arial;Helvetica;sans-serif"/>
          <w:sz w:val="20"/>
        </w:rPr>
        <w:t>The Company has the following warrants outstanding as of March 31, 2024 (with exercise prices shown in pre-Reverse Stock Split amounts): (i) warrants (the “Private Warrants”) to purchase Class A common stock with an exercise price of $11.50</w:t>
      </w:r>
      <w:r>
        <w:rPr>
          <w:rFonts w:ascii="Times New Roman;Times;serif" w:hAnsi="Times New Roman;Times;serif"/>
          <w:sz w:val="20"/>
        </w:rPr>
        <w:t xml:space="preserve"> </w:t>
      </w:r>
      <w:r>
        <w:rPr>
          <w:rFonts w:ascii="Arial;Helvetica;sans-serif" w:hAnsi="Arial;Helvetica;sans-serif"/>
          <w:sz w:val="20"/>
        </w:rPr>
        <w:t>per share, and (ii) the Foxconn Warrants to purchase shares of Class A common stock with an exercise price of $10.50.</w:t>
      </w:r>
    </w:p>
    <w:p>
      <w:pPr>
        <w:pStyle w:val="TextBody"/>
        <w:shd w:fill="FFFFFF" w:val="clear"/>
        <w:bidi w:val="0"/>
        <w:spacing w:before="0" w:after="0"/>
        <w:ind w:left="0" w:right="0" w:hanging="0"/>
        <w:jc w:val="both"/>
        <w:rPr>
          <w:rFonts w:ascii="Times New Roman;Times;serif" w:hAnsi="Times New Roman;Times;serif"/>
          <w:sz w:val="20"/>
        </w:rPr>
      </w:pPr>
      <w:r>
        <w:rPr>
          <w:rFonts w:ascii="Arial;Helvetica;sans-serif" w:hAnsi="Arial;Helvetica;sans-serif"/>
          <w:sz w:val="20"/>
        </w:rPr>
        <w:t>As of March 31, 2024, following the Reverse Stock Split, we had 0.113</w:t>
      </w:r>
      <w:r>
        <w:rPr>
          <w:rFonts w:ascii="Times New Roman;Times;serif" w:hAnsi="Times New Roman;Times;serif"/>
          <w:sz w:val="20"/>
        </w:rPr>
        <w:t xml:space="preserve"> </w:t>
      </w:r>
      <w:r>
        <w:rPr>
          <w:rFonts w:ascii="Arial;Helvetica;sans-serif" w:hAnsi="Arial;Helvetica;sans-serif"/>
          <w:sz w:val="20"/>
        </w:rPr>
        <w:t>million Foxconn Warrants with an exercise price of $157.50, and 0.153</w:t>
      </w:r>
      <w:r>
        <w:rPr>
          <w:rFonts w:ascii="Times New Roman;Times;serif" w:hAnsi="Times New Roman;Times;serif"/>
          <w:sz w:val="20"/>
        </w:rPr>
        <w:t xml:space="preserve"> </w:t>
      </w:r>
      <w:r>
        <w:rPr>
          <w:rFonts w:ascii="Arial;Helvetica;sans-serif" w:hAnsi="Arial;Helvetica;sans-serif"/>
          <w:sz w:val="20"/>
        </w:rPr>
        <w:t>million Private Warrants with a strike price of $172.50. The fair value of the Foxconn Warrants was $0.3</w:t>
      </w:r>
      <w:r>
        <w:rPr>
          <w:rFonts w:ascii="Times New Roman;Times;serif" w:hAnsi="Times New Roman;Times;serif"/>
          <w:sz w:val="20"/>
        </w:rPr>
        <w:t xml:space="preserve"> </w:t>
      </w:r>
      <w:r>
        <w:rPr>
          <w:rFonts w:ascii="Arial;Helvetica;sans-serif" w:hAnsi="Arial;Helvetica;sans-serif"/>
          <w:sz w:val="20"/>
        </w:rPr>
        <w:t>million at issuance. The Private Warrants and the Foxconn Warrants were classified as a liability with any changes in the fair value recognized immediately in our consolidated statements of operations. As a result of the Chapter 11 Cases, the fair value of the Company’s warrants was deemed to be zero</w:t>
      </w:r>
      <w:r>
        <w:rPr>
          <w:rFonts w:ascii="Times New Roman;Times;serif" w:hAnsi="Times New Roman;Times;serif"/>
          <w:sz w:val="20"/>
        </w:rPr>
        <w:t xml:space="preserve"> </w:t>
      </w:r>
      <w:r>
        <w:rPr>
          <w:rFonts w:ascii="Arial;Helvetica;sans-serif" w:hAnsi="Arial;Helvetica;sans-serif"/>
          <w:sz w:val="20"/>
        </w:rPr>
        <w:t>and adjusted accordingly during the year-ended December 31, 2023. The following table summarizes the net loss on changes in fair value related to the Private Warrants and the Foxconn Warrants for the three months ended March 31, 2023 (in thousands):</w:t>
      </w:r>
    </w:p>
    <w:p>
      <w:pPr>
        <w:pStyle w:val="TextBody"/>
        <w:shd w:fill="FFFFFF" w:val="clear"/>
        <w:bidi w:val="0"/>
        <w:spacing w:before="0" w:after="0"/>
        <w:ind w:left="0" w:right="0" w:hanging="0"/>
        <w:jc w:val="both"/>
        <w:rPr/>
      </w:pPr>
      <w:r>
        <w:rPr/>
        <w:t>​</w:t>
      </w:r>
    </w:p>
    <w:tbl>
      <w:tblPr>
        <w:tblW w:w="4880" w:type="dxa"/>
        <w:jc w:val="left"/>
        <w:tblInd w:w="0" w:type="dxa"/>
        <w:tblLayout w:type="fixed"/>
        <w:tblCellMar>
          <w:top w:w="0" w:type="dxa"/>
          <w:left w:w="0" w:type="dxa"/>
          <w:bottom w:w="0" w:type="dxa"/>
          <w:right w:w="0" w:type="dxa"/>
        </w:tblCellMar>
      </w:tblPr>
      <w:tblGrid>
        <w:gridCol w:w="2971"/>
        <w:gridCol w:w="109"/>
        <w:gridCol w:w="476"/>
        <w:gridCol w:w="1324"/>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86585" cy="175260"/>
                      <wp:effectExtent l="0" t="0" r="0" b="0"/>
                      <wp:wrapNone/>
                      <wp:docPr id="70" name="Frame70"/>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02260" cy="175260"/>
                      <wp:effectExtent l="0" t="0" r="0" b="0"/>
                      <wp:wrapNone/>
                      <wp:docPr id="72" name="Frame72"/>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840740" cy="175260"/>
                      <wp:effectExtent l="0" t="0" r="0" b="0"/>
                      <wp:wrapNone/>
                      <wp:docPr id="73" name="Frame73"/>
                      <a:graphic xmlns:a="http://schemas.openxmlformats.org/drawingml/2006/main">
                        <a:graphicData uri="http://schemas.microsoft.com/office/word/2010/wordprocessingShape">
                          <wps:wsp>
                            <wps:cNvSpPr txBox="1"/>
                            <wps:spPr>
                              <a:xfrm>
                                <a:off x="0" y="0"/>
                                <a:ext cx="840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00" w:type="dxa"/>
            <w:gridSpan w:val="2"/>
            <w:tcBorders/>
            <w:vAlign w:val="center"/>
          </w:tcPr>
          <w:p>
            <w:pPr>
              <w:pStyle w:val="TableContents"/>
              <w:bidi w:val="0"/>
              <w:spacing w:before="0" w:after="0"/>
              <w:ind w:left="0" w:right="0" w:hanging="0"/>
              <w:jc w:val="center"/>
              <w:rPr/>
            </w:pPr>
            <w:r>
              <w:rPr/>
              <w:t>​</w: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Three months ended</w: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2023</w:t>
            </w:r>
          </w:p>
        </w:tc>
      </w:tr>
      <w:tr>
        <w:trPr/>
        <w:tc>
          <w:tcPr>
            <w:tcW w:w="29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Private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29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Foxconn Warrants</w:t>
            </w:r>
          </w:p>
        </w:tc>
        <w:tc>
          <w:tcPr>
            <w:tcW w:w="109" w:type="dxa"/>
            <w:tcBorders/>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w:t>
            </w:r>
          </w:p>
        </w:tc>
      </w:tr>
      <w:tr>
        <w:trPr/>
        <w:tc>
          <w:tcPr>
            <w:tcW w:w="29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gain on changes in fair value</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24"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(367)</w:t>
            </w:r>
          </w:p>
        </w:tc>
      </w:tr>
    </w:tbl>
    <w:p>
      <w:pPr>
        <w:pStyle w:val="TextBody"/>
        <w:shd w:fill="FFFFFF" w:val="clear"/>
        <w:bidi w:val="0"/>
        <w:spacing w:before="0" w:after="0"/>
        <w:ind w:left="0" w:right="0" w:hanging="0"/>
        <w:jc w:val="both"/>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Private Warrants and the Foxconn Warrants were measured at fair value using Level 3 inputs. These instruments are not actively traded and were valued as of March 31, 2023 using a Monte Carlo option pricing model and Black-Scholes option pricing model, respectively, that use observable and unobservable market data as inputs.</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The stock price volatility rate utilized was 90%</w:t>
      </w:r>
      <w:r>
        <w:rPr>
          <w:rFonts w:ascii="Times New Roman;Times;serif" w:hAnsi="Times New Roman;Times;serif"/>
          <w:sz w:val="20"/>
        </w:rPr>
        <w:t xml:space="preserve"> </w:t>
      </w:r>
      <w:r>
        <w:rPr>
          <w:rFonts w:ascii="Arial;Helvetica;sans-serif" w:hAnsi="Arial;Helvetica;sans-serif"/>
          <w:sz w:val="20"/>
        </w:rPr>
        <w:t>for the valuation as of March 31, 2023. This assumption considered observed historical stock price volatility of other companies operating in the same or similar industry as the Company over a period similar to the remaining term of the Private Warrants, as well as the volatility implied by the traded options of the Company. For the three months ended March 31, 2023, the risk-free rates utilized were 3.819% and 3.896% for the Private Warrants and Foxconn Warrants, respectively.</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The Company had cash and cash equivalents of approximately $19.7</w:t>
      </w:r>
      <w:r>
        <w:rPr>
          <w:rFonts w:ascii="Times New Roman;Times;serif" w:hAnsi="Times New Roman;Times;serif"/>
          <w:sz w:val="20"/>
        </w:rPr>
        <w:t xml:space="preserve"> </w:t>
      </w:r>
      <w:r>
        <w:rPr>
          <w:rFonts w:ascii="Arial;Helvetica;sans-serif" w:hAnsi="Arial;Helvetica;sans-serif"/>
          <w:sz w:val="20"/>
        </w:rPr>
        <w:t>million and $87.1</w:t>
      </w:r>
      <w:r>
        <w:rPr>
          <w:rFonts w:ascii="Times New Roman;Times;serif" w:hAnsi="Times New Roman;Times;serif"/>
          <w:sz w:val="20"/>
        </w:rPr>
        <w:t xml:space="preserve"> </w:t>
      </w:r>
      <w:r>
        <w:rPr>
          <w:rFonts w:ascii="Arial;Helvetica;sans-serif" w:hAnsi="Arial;Helvetica;sans-serif"/>
          <w:sz w:val="20"/>
        </w:rPr>
        <w:t>million as of March 31, 2024, and December 31, 2023, respectively. The Company had restricted cash of $57.7</w:t>
      </w:r>
      <w:r>
        <w:rPr>
          <w:rFonts w:ascii="Times New Roman;Times;serif" w:hAnsi="Times New Roman;Times;serif"/>
          <w:sz w:val="20"/>
        </w:rPr>
        <w:t xml:space="preserve"> </w:t>
      </w:r>
      <w:r>
        <w:rPr>
          <w:rFonts w:ascii="Arial;Helvetica;sans-serif" w:hAnsi="Arial;Helvetica;sans-serif"/>
          <w:sz w:val="20"/>
        </w:rPr>
        <w:t>million as of March 31, 2024, which represents cash reserves as required by the Plan. The carrying amounts of cash, cash equivalents, and restricted cash reported in the Company’s Condensed Consolidated Balance Sheets approximate the fair value.</w:t>
      </w:r>
    </w:p>
    <w:p>
      <w:pPr>
        <w:pStyle w:val="TextBody"/>
        <w:bidi w:val="0"/>
        <w:spacing w:before="0" w:after="0"/>
        <w:ind w:left="0" w:right="0" w:hanging="0"/>
        <w:jc w:val="both"/>
        <w:rPr>
          <w:rFonts w:ascii="Arial;Helvetica;sans-serif" w:hAnsi="Arial;Helvetica;sans-serif"/>
          <w:i/>
          <w:sz w:val="20"/>
        </w:rPr>
      </w:pPr>
      <w:r>
        <w:rPr>
          <w:rFonts w:ascii="Arial;Helvetica;sans-serif" w:hAnsi="Arial;Helvetica;sans-serif"/>
          <w:i/>
          <w:sz w:val="20"/>
        </w:rPr>
        <w:t>Non-Recurring Fair Value Measurements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Arial;Helvetica;sans-serif" w:hAnsi="Arial;Helvetica;sans-serif"/>
          <w:sz w:val="20"/>
        </w:rPr>
        <w:t>For the three months ended March 31, 2023, we recognized a property, plant and equipment impairment charge of $109.8</w:t>
      </w:r>
      <w:r>
        <w:rPr>
          <w:rFonts w:ascii="Times New Roman;Times;serif" w:hAnsi="Times New Roman;Times;serif"/>
          <w:sz w:val="20"/>
        </w:rPr>
        <w:t xml:space="preserve"> </w:t>
      </w:r>
      <w:r>
        <w:rPr>
          <w:rFonts w:ascii="Arial;Helvetica;sans-serif" w:hAnsi="Arial;Helvetica;sans-serif"/>
          <w:sz w:val="20"/>
        </w:rPr>
        <w:t>million based on the difference between the carrying value of the fixed assets and their fair value as of March 31, 2023. No</w:t>
      </w:r>
      <w:r>
        <w:rPr>
          <w:rFonts w:ascii="Times New Roman;Times;serif" w:hAnsi="Times New Roman;Times;serif"/>
          <w:sz w:val="20"/>
        </w:rPr>
        <w:t xml:space="preserve"> </w:t>
      </w:r>
      <w:r>
        <w:rPr>
          <w:rFonts w:ascii="Arial;Helvetica;sans-serif" w:hAnsi="Arial;Helvetica;sans-serif"/>
          <w:sz w:val="20"/>
        </w:rPr>
        <w:t>fixed asset impairment charges were recognized for the three months ended March 31, 2024. The categorization of the framework used to value the assets is Level 3 given the significant unobservable inputs used to determine fair value. Refer to Note 4 – Property, Plant and Equipment and Assets Held for Sale for further detail.</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4 — PROPERTY, PLANT AND EQUIPMENT AND ASSETS HELD FOR SALE</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The Company </w:t>
      </w:r>
      <w:r>
        <w:rPr>
          <w:rFonts w:ascii="Arial;Helvetica;sans-serif" w:hAnsi="Arial;Helvetica;sans-serif"/>
          <w:sz w:val="20"/>
          <w:shd w:fill="FFFFFF" w:val="clear"/>
        </w:rPr>
        <w:t xml:space="preserve">determined that its property, plant, and equipment represent one asset group which is the lowest level for which identifiable cash flows are available. Historically, fair value of the Company’s property, plant, and equipment was derived from the Company’s enterprise value at the time of impairment as the Company believed it represented the most appropriate fair value of the asset group in accordance with accounting guidance. </w:t>
      </w:r>
      <w:r>
        <w:rPr>
          <w:rFonts w:ascii="Arial;Helvetica;sans-serif" w:hAnsi="Arial;Helvetica;sans-serif"/>
          <w:sz w:val="20"/>
        </w:rPr>
        <w:t>In conjunction with the Chapter 11 Cases, substantially all our property, plant and equipment were sold pursuant to closing the LandX Asset Purchase Agreement in the fourth quarter of 2023.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For the three months ended March 31, 2023, the Company recognized impairment and depreciation charges of $109.8</w:t>
      </w:r>
      <w:r>
        <w:rPr>
          <w:rFonts w:ascii="Times New Roman;Times;serif" w:hAnsi="Times New Roman;Times;serif"/>
          <w:sz w:val="20"/>
        </w:rPr>
        <w:t xml:space="preserve"> </w:t>
      </w:r>
      <w:r>
        <w:rPr>
          <w:rFonts w:ascii="Arial;Helvetica;sans-serif" w:hAnsi="Arial;Helvetica;sans-serif"/>
          <w:sz w:val="20"/>
        </w:rPr>
        <w:t>million and $7.4</w:t>
      </w:r>
      <w:r>
        <w:rPr>
          <w:rFonts w:ascii="Times New Roman;Times;serif" w:hAnsi="Times New Roman;Times;serif"/>
          <w:sz w:val="20"/>
        </w:rPr>
        <w:t xml:space="preserve"> </w:t>
      </w:r>
      <w:r>
        <w:rPr>
          <w:rFonts w:ascii="Arial;Helvetica;sans-serif" w:hAnsi="Arial;Helvetica;sans-serif"/>
          <w:sz w:val="20"/>
        </w:rPr>
        <w:t>million, respectively. No</w:t>
      </w:r>
      <w:r>
        <w:rPr>
          <w:rFonts w:ascii="Times New Roman;Times;serif" w:hAnsi="Times New Roman;Times;serif"/>
          <w:sz w:val="20"/>
        </w:rPr>
        <w:t xml:space="preserve"> </w:t>
      </w:r>
      <w:r>
        <w:rPr>
          <w:rFonts w:ascii="Arial;Helvetica;sans-serif" w:hAnsi="Arial;Helvetica;sans-serif"/>
          <w:sz w:val="20"/>
        </w:rPr>
        <w:t>such charges were incurred for the three months ended March 31, 2024.</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b/>
          <w:sz w:val="20"/>
        </w:rPr>
        <w:t>NOTE 5 – SERIES A CONVERTIBLE PREFERED STOCK</w:t>
      </w:r>
      <w:r>
        <w:rPr>
          <w:rFonts w:ascii="Times New Roman;Times;serif" w:hAnsi="Times New Roman;Times;serif"/>
          <w:sz w:val="20"/>
        </w:rPr>
        <w:t xml:space="preserve"> </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Except as set forth below, the circumstances set forth in Note 5 – Mezzanine Equity to the financial statements included in our Annual Report on Form 10-K for the year ended December 31, 2023 appropriately represent, in all material respects, the current status of our Series A convertible preferred stock, $0.0001</w:t>
      </w:r>
      <w:r>
        <w:rPr>
          <w:rFonts w:ascii="Times New Roman;Times;serif" w:hAnsi="Times New Roman;Times;serif"/>
          <w:sz w:val="20"/>
        </w:rPr>
        <w:t xml:space="preserve"> </w:t>
      </w:r>
      <w:r>
        <w:rPr>
          <w:rFonts w:ascii="Arial;Helvetica;sans-serif" w:hAnsi="Arial;Helvetica;sans-serif"/>
          <w:sz w:val="20"/>
        </w:rPr>
        <w:t>par value (the “Preferred Stock”). Mezzanine equity of $33.4</w:t>
      </w:r>
      <w:r>
        <w:rPr>
          <w:rFonts w:ascii="Times New Roman;Times;serif" w:hAnsi="Times New Roman;Times;serif"/>
          <w:sz w:val="20"/>
        </w:rPr>
        <w:t xml:space="preserve"> </w:t>
      </w:r>
      <w:r>
        <w:rPr>
          <w:rFonts w:ascii="Arial;Helvetica;sans-serif" w:hAnsi="Arial;Helvetica;sans-serif"/>
          <w:sz w:val="20"/>
        </w:rPr>
        <w:t>million and $32.8</w:t>
      </w:r>
      <w:r>
        <w:rPr>
          <w:rFonts w:ascii="Times New Roman;Times;serif" w:hAnsi="Times New Roman;Times;serif"/>
          <w:sz w:val="20"/>
        </w:rPr>
        <w:t xml:space="preserve"> </w:t>
      </w:r>
      <w:r>
        <w:rPr>
          <w:rFonts w:ascii="Arial;Helvetica;sans-serif" w:hAnsi="Arial;Helvetica;sans-serif"/>
          <w:sz w:val="20"/>
        </w:rPr>
        <w:t>million as of March 31, 2024, and December 31, 2023, respectively, represent the $30.0</w:t>
      </w:r>
      <w:r>
        <w:rPr>
          <w:rFonts w:ascii="Times New Roman;Times;serif" w:hAnsi="Times New Roman;Times;serif"/>
          <w:sz w:val="20"/>
        </w:rPr>
        <w:t xml:space="preserve"> </w:t>
      </w:r>
      <w:r>
        <w:rPr>
          <w:rFonts w:ascii="Arial;Helvetica;sans-serif" w:hAnsi="Arial;Helvetica;sans-serif"/>
          <w:sz w:val="20"/>
        </w:rPr>
        <w:t>million gross proceeds from the issuance of the Preferred Stock, plus accrued and unpaid dividends.</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Upon emergence from bankruptcy, and as of the date of this report, the Preferred Stock remains outstanding and unimpaired. Upon a change of control (as defined in the Certificate of Designation, Preferences and Rights of the Series A Convertible Preferred Stock filed by the Company with the Secretary of State of the State of Delaware), Foxconn can cause the Company to purchase any or all of its Preferred Stock at a purchase price equal to the greater of its $30.0</w:t>
      </w:r>
      <w:r>
        <w:rPr>
          <w:rFonts w:ascii="Times New Roman;Times;serif" w:hAnsi="Times New Roman;Times;serif"/>
          <w:sz w:val="20"/>
        </w:rPr>
        <w:t xml:space="preserve"> </w:t>
      </w:r>
      <w:r>
        <w:rPr>
          <w:rFonts w:ascii="Arial;Helvetica;sans-serif" w:hAnsi="Arial;Helvetica;sans-serif"/>
          <w:sz w:val="20"/>
        </w:rPr>
        <w:t>million liquidation preference, plus any unpaid accrued dividends, and the amount of cash and other property that it would have received had it converted its Preferred Stock prior to the change of control transaction (the “Change of Control Put”). The liquidation preference, plus accrued dividends is presented as Mezzanine Equity within the Company’s Condensed Consolidated Balance Sheet and totaled $33.4</w:t>
      </w:r>
      <w:r>
        <w:rPr>
          <w:rFonts w:ascii="Times New Roman;Times;serif" w:hAnsi="Times New Roman;Times;serif"/>
          <w:sz w:val="20"/>
        </w:rPr>
        <w:t xml:space="preserve"> </w:t>
      </w:r>
      <w:r>
        <w:rPr>
          <w:rFonts w:ascii="Arial;Helvetica;sans-serif" w:hAnsi="Arial;Helvetica;sans-serif"/>
          <w:sz w:val="20"/>
        </w:rPr>
        <w:t>million and $32.8</w:t>
      </w:r>
      <w:r>
        <w:rPr>
          <w:rFonts w:ascii="Times New Roman;Times;serif" w:hAnsi="Times New Roman;Times;serif"/>
          <w:sz w:val="20"/>
        </w:rPr>
        <w:t xml:space="preserve"> </w:t>
      </w:r>
      <w:r>
        <w:rPr>
          <w:rFonts w:ascii="Arial;Helvetica;sans-serif" w:hAnsi="Arial;Helvetica;sans-serif"/>
          <w:sz w:val="20"/>
        </w:rPr>
        <w:t>million as of March 31, 2024, and 2023, respectively. As of March 31, 2024, the Company did not consider a change of control to be probable. The Company notes that there is significant uncertainty regarding the outcome of the Foxconn Litigation which may impact the foregoing determination, and that the Company can provide no assurance regarding such determination.</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6 — CAPITAL STOCK AND LOSS PER SHARE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color w:val="231F20"/>
          <w:sz w:val="20"/>
        </w:rPr>
        <w:t xml:space="preserve">On August 17, 2022, the Company held a special meeting of stockholders whereby our stockholders voted to amend the Charter to increase our authorized shares of capital stock from 312 million to 462 million, consisting of (i) 450 million shares of Class A common stock and (ii) 12 million shares of preferred stock, each with a par </w:t>
      </w:r>
      <w:r>
        <w:rPr>
          <w:rFonts w:ascii="Arial;Helvetica;sans-serif" w:hAnsi="Arial;Helvetica;sans-serif"/>
          <w:b w:val="false"/>
          <w:i w:val="false"/>
          <w:caps w:val="false"/>
          <w:smallCaps w:val="false"/>
          <w:color w:val="231F20"/>
          <w:sz w:val="20"/>
        </w:rPr>
        <w:t>value</w:t>
      </w:r>
      <w:r>
        <w:rPr>
          <w:rFonts w:ascii="Arial;Helvetica;sans-serif" w:hAnsi="Arial;Helvetica;sans-serif"/>
          <w:color w:val="231F20"/>
          <w:sz w:val="20"/>
        </w:rPr>
        <w:t xml:space="preserve"> of $0.0001.</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color w:val="231F20"/>
          <w:sz w:val="20"/>
        </w:rPr>
        <w:t>At the 2023 Annual Meeting, the stockholders of the Company approved a proposal to amend the Charter to effect a reverse split of the Company’s outstanding shares of Class A common stock at a ratio within a range of between 1:</w:t>
      </w:r>
      <w:r>
        <w:rPr>
          <w:rFonts w:ascii="Arial;Helvetica;sans-serif" w:hAnsi="Arial;Helvetica;sans-serif"/>
          <w:b w:val="false"/>
          <w:i w:val="false"/>
          <w:caps w:val="false"/>
          <w:smallCaps w:val="false"/>
          <w:color w:val="231F20"/>
          <w:sz w:val="20"/>
        </w:rPr>
        <w:t>3</w:t>
      </w:r>
      <w:r>
        <w:rPr>
          <w:rFonts w:ascii="Arial;Helvetica;sans-serif" w:hAnsi="Arial;Helvetica;sans-serif"/>
          <w:color w:val="231F20"/>
          <w:sz w:val="20"/>
        </w:rPr>
        <w:t xml:space="preserve"> and 1:</w:t>
      </w:r>
      <w:r>
        <w:rPr>
          <w:rFonts w:ascii="Arial;Helvetica;sans-serif" w:hAnsi="Arial;Helvetica;sans-serif"/>
          <w:b w:val="false"/>
          <w:i w:val="false"/>
          <w:caps w:val="false"/>
          <w:smallCaps w:val="false"/>
          <w:color w:val="231F20"/>
          <w:sz w:val="20"/>
        </w:rPr>
        <w:t>15</w:t>
      </w:r>
      <w:r>
        <w:rPr>
          <w:rFonts w:ascii="Arial;Helvetica;sans-serif" w:hAnsi="Arial;Helvetica;sans-serif"/>
          <w:color w:val="231F20"/>
          <w:sz w:val="20"/>
        </w:rPr>
        <w:t>, with the timing and the exact ratio of the reverse split to be determined by the Board in its sole discretion. The Board authorized the Reverse Stock Split at a 1:</w:t>
      </w:r>
      <w:r>
        <w:rPr>
          <w:rFonts w:ascii="Arial;Helvetica;sans-serif" w:hAnsi="Arial;Helvetica;sans-serif"/>
          <w:b w:val="false"/>
          <w:i w:val="false"/>
          <w:caps w:val="false"/>
          <w:smallCaps w:val="false"/>
          <w:color w:val="231F20"/>
          <w:sz w:val="20"/>
        </w:rPr>
        <w:t>15</w:t>
      </w:r>
      <w:r>
        <w:rPr>
          <w:rFonts w:ascii="Arial;Helvetica;sans-serif" w:hAnsi="Arial;Helvetica;sans-serif"/>
          <w:color w:val="231F20"/>
          <w:sz w:val="20"/>
        </w:rPr>
        <w:t xml:space="preserve"> ratio, which became effective as of May 24, 2023 (the “Effective Date”).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Company filed an Amendment to the Charter on May 22, 2023, which provided that, at the Effective Date, every </w:t>
      </w:r>
      <w:r>
        <w:rPr>
          <w:rFonts w:ascii="Arial;Helvetica;sans-serif" w:hAnsi="Arial;Helvetica;sans-serif"/>
          <w:b w:val="false"/>
          <w:i w:val="false"/>
          <w:caps w:val="false"/>
          <w:smallCaps w:val="false"/>
          <w:sz w:val="20"/>
        </w:rPr>
        <w:t>15</w:t>
      </w:r>
      <w:r>
        <w:rPr>
          <w:rFonts w:ascii="Arial;Helvetica;sans-serif" w:hAnsi="Arial;Helvetica;sans-serif"/>
          <w:sz w:val="20"/>
        </w:rPr>
        <w:t xml:space="preserve"> shares of the issued and outstanding Class A common stock would automatically be combined into one issued and outstanding share of Class A common stock.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color w:val="231F20"/>
          <w:sz w:val="20"/>
        </w:rPr>
        <w:t xml:space="preserve">After giving effect to the Reverse Stock Split, we had approximately 16.1 and 16.0 million </w:t>
      </w:r>
      <w:r>
        <w:rPr>
          <w:rFonts w:ascii="Arial;Helvetica;sans-serif" w:hAnsi="Arial;Helvetica;sans-serif"/>
          <w:b w:val="false"/>
          <w:i w:val="false"/>
          <w:caps w:val="false"/>
          <w:smallCaps w:val="false"/>
          <w:sz w:val="20"/>
        </w:rPr>
        <w:t>shares</w:t>
      </w:r>
      <w:r>
        <w:rPr>
          <w:rFonts w:ascii="Arial;Helvetica;sans-serif" w:hAnsi="Arial;Helvetica;sans-serif"/>
          <w:sz w:val="20"/>
        </w:rPr>
        <w:t xml:space="preserve"> of Class A common stock issued and </w:t>
      </w:r>
      <w:r>
        <w:rPr>
          <w:rFonts w:ascii="Arial;Helvetica;sans-serif" w:hAnsi="Arial;Helvetica;sans-serif"/>
          <w:b w:val="false"/>
          <w:i w:val="false"/>
          <w:caps w:val="false"/>
          <w:smallCaps w:val="false"/>
          <w:sz w:val="20"/>
        </w:rPr>
        <w:t>outstanding</w:t>
      </w:r>
      <w:r>
        <w:rPr>
          <w:rFonts w:ascii="Arial;Helvetica;sans-serif" w:hAnsi="Arial;Helvetica;sans-serif"/>
          <w:sz w:val="20"/>
        </w:rPr>
        <w:t xml:space="preserve"> </w:t>
      </w:r>
      <w:r>
        <w:rPr>
          <w:rFonts w:ascii="Arial;Helvetica;sans-serif" w:hAnsi="Arial;Helvetica;sans-serif"/>
          <w:color w:val="231F20"/>
          <w:sz w:val="20"/>
        </w:rPr>
        <w:t>a</w:t>
      </w:r>
      <w:r>
        <w:rPr>
          <w:rFonts w:ascii="Arial;Helvetica;sans-serif" w:hAnsi="Arial;Helvetica;sans-serif"/>
          <w:sz w:val="20"/>
        </w:rPr>
        <w:t xml:space="preserve">s of March 31, 2024 and December 31, 2023.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bookmarkStart w:id="570" w:name="Tc_uaajBrYc5USgbhu-dalY6g_8_0"/>
      <w:bookmarkStart w:id="571" w:name="Tc_yjWypMkGVU-jq3TOWBgxLg_7_0"/>
      <w:bookmarkStart w:id="572" w:name="Tc_E_qEJ6w-OEGoiwY9ELR80g_6_3"/>
      <w:bookmarkStart w:id="573" w:name="Tc_NF-Q3AK4d0iy8kwK-Y_ktg_6_0"/>
      <w:bookmarkStart w:id="574" w:name="Tc_HKukFZLvZ0m5BO7WlnrJYw_5_0"/>
      <w:bookmarkStart w:id="575" w:name="Tc_25prBt2C_UybZn9i0hRnPg_4_3"/>
      <w:bookmarkStart w:id="576" w:name="Tc_aolmgR7N6EKM0Am0YTBWjw_4_0"/>
      <w:bookmarkStart w:id="577" w:name="Tc_keHLfvm-80GKKebxTC204A_3_0"/>
      <w:bookmarkStart w:id="578" w:name="Tc_jGQEjtffzEWdKNun_ghY0g_2_6"/>
      <w:bookmarkStart w:id="579" w:name="Tc_csLjz80tZkS9i-gN4BpfYQ_2_3"/>
      <w:bookmarkStart w:id="580" w:name="Tc_o18g3LoerUeytbrim5QQEw_1_6"/>
      <w:bookmarkStart w:id="581" w:name="Tc_iF9xL5QGUkCVI_9H0XQFoA_1_3"/>
      <w:bookmarkStart w:id="582" w:name="_c9cd79dd_f796_4d78_a23b_d9baa85d9c8e"/>
      <w:bookmarkStart w:id="583" w:name="Tc_-Q-jR3BNIkKPPw__9UhXUw_5_0"/>
      <w:bookmarkStart w:id="584" w:name="Tc_LpSIKwabk0q0x2G5xM4PCg_4_0"/>
      <w:bookmarkStart w:id="585" w:name="Tc_rPGSF3zEkEuM1U6BcU35ow_3_4"/>
      <w:bookmarkStart w:id="586" w:name="Tc_kDM5b1JVskaXwDbi0snkzA_3_2"/>
      <w:bookmarkStart w:id="587" w:name="Tc_qkCSd36GeUOShBHjqzxKQA_2_4"/>
      <w:bookmarkStart w:id="588" w:name="Tc_Om-ozCHQWk6jOvNSg2wOZg_2_2"/>
      <w:bookmarkStart w:id="589" w:name="_2710ffa0_f45d_4b2c_aa91_21e69995b30e"/>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r>
        <w:rPr>
          <w:rFonts w:ascii="Arial;Helvetica;sans-serif" w:hAnsi="Arial;Helvetica;sans-serif"/>
          <w:sz w:val="20"/>
        </w:rPr>
        <w:t xml:space="preserve">We had 0.3 million </w:t>
      </w:r>
      <w:r>
        <w:rPr>
          <w:rFonts w:ascii="Arial;Helvetica;sans-serif" w:hAnsi="Arial;Helvetica;sans-serif"/>
          <w:b w:val="false"/>
          <w:i w:val="false"/>
          <w:caps w:val="false"/>
          <w:smallCaps w:val="false"/>
          <w:sz w:val="20"/>
        </w:rPr>
        <w:t>shares</w:t>
      </w:r>
      <w:r>
        <w:rPr>
          <w:rFonts w:ascii="Arial;Helvetica;sans-serif" w:hAnsi="Arial;Helvetica;sans-serif"/>
          <w:sz w:val="20"/>
        </w:rPr>
        <w:t xml:space="preserve"> of Preferred Stock </w:t>
      </w:r>
      <w:r>
        <w:rPr>
          <w:rFonts w:ascii="Arial;Helvetica;sans-serif" w:hAnsi="Arial;Helvetica;sans-serif"/>
          <w:b w:val="false"/>
          <w:i w:val="false"/>
          <w:caps w:val="false"/>
          <w:smallCaps w:val="false"/>
          <w:sz w:val="20"/>
        </w:rPr>
        <w:t>issued</w:t>
      </w:r>
      <w:r>
        <w:rPr>
          <w:rFonts w:ascii="Arial;Helvetica;sans-serif" w:hAnsi="Arial;Helvetica;sans-serif"/>
          <w:sz w:val="20"/>
        </w:rPr>
        <w:t xml:space="preserve"> and </w:t>
      </w:r>
      <w:r>
        <w:rPr>
          <w:rFonts w:ascii="Arial;Helvetica;sans-serif" w:hAnsi="Arial;Helvetica;sans-serif"/>
          <w:b w:val="false"/>
          <w:i w:val="false"/>
          <w:caps w:val="false"/>
          <w:smallCaps w:val="false"/>
          <w:sz w:val="20"/>
        </w:rPr>
        <w:t>outstanding</w:t>
      </w:r>
      <w:r>
        <w:rPr>
          <w:rFonts w:ascii="Arial;Helvetica;sans-serif" w:hAnsi="Arial;Helvetica;sans-serif"/>
          <w:sz w:val="20"/>
        </w:rPr>
        <w:t xml:space="preserve"> as of March 31, 2024 and December 31, 2023.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weighted-average number of shares outstanding for basic and diluted loss per share of Class A common stock is as follows (in thousands):</w:t>
      </w:r>
    </w:p>
    <w:tbl>
      <w:tblPr>
        <w:tblW w:w="8185" w:type="dxa"/>
        <w:jc w:val="left"/>
        <w:tblInd w:w="0" w:type="dxa"/>
        <w:tblLayout w:type="fixed"/>
        <w:tblCellMar>
          <w:top w:w="0" w:type="dxa"/>
          <w:left w:w="0" w:type="dxa"/>
          <w:bottom w:w="0" w:type="dxa"/>
          <w:right w:w="0" w:type="dxa"/>
        </w:tblCellMar>
      </w:tblPr>
      <w:tblGrid>
        <w:gridCol w:w="4006"/>
        <w:gridCol w:w="266"/>
        <w:gridCol w:w="1801"/>
        <w:gridCol w:w="266"/>
        <w:gridCol w:w="184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543810" cy="175260"/>
                      <wp:effectExtent l="0" t="0" r="0" b="0"/>
                      <wp:wrapNone/>
                      <wp:docPr id="74" name="Frame74"/>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8910" cy="175260"/>
                      <wp:effectExtent l="0" t="0" r="0" b="0"/>
                      <wp:wrapNone/>
                      <wp:docPr id="75" name="Frame7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143635" cy="175260"/>
                      <wp:effectExtent l="0" t="0" r="0" b="0"/>
                      <wp:wrapNone/>
                      <wp:docPr id="76" name="Frame76"/>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8910" cy="175260"/>
                      <wp:effectExtent l="0" t="0" r="0" b="0"/>
                      <wp:wrapNone/>
                      <wp:docPr id="77" name="Frame7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172210" cy="175260"/>
                      <wp:effectExtent l="0" t="0" r="0" b="0"/>
                      <wp:wrapNone/>
                      <wp:docPr id="78" name="Frame7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center"/>
              <w:rPr/>
            </w:pPr>
            <w:r>
              <w:rPr/>
              <w:t>​</w:t>
            </w:r>
          </w:p>
        </w:tc>
        <w:tc>
          <w:tcPr>
            <w:tcW w:w="1801"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1846"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266"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400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18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2024</w:t>
            </w:r>
          </w:p>
        </w:tc>
        <w:tc>
          <w:tcPr>
            <w:tcW w:w="266" w:type="dxa"/>
            <w:tcBorders/>
            <w:vAlign w:val="center"/>
          </w:tcPr>
          <w:p>
            <w:pPr>
              <w:pStyle w:val="TableContents"/>
              <w:bidi w:val="0"/>
              <w:spacing w:before="0" w:after="0"/>
              <w:ind w:left="0" w:right="0" w:hanging="0"/>
              <w:jc w:val="left"/>
              <w:rPr/>
            </w:pPr>
            <w:r>
              <w:rPr/>
              <w:t>   </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2023</w:t>
            </w:r>
          </w:p>
        </w:tc>
      </w:tr>
      <w:tr>
        <w:trPr/>
        <w:tc>
          <w:tcPr>
            <w:tcW w:w="400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 weighted average shares outstanding</w:t>
            </w:r>
          </w:p>
        </w:tc>
        <w:tc>
          <w:tcPr>
            <w:tcW w:w="266" w:type="dxa"/>
            <w:tcBorders/>
            <w:shd w:fill="CCEEFF" w:val="clear"/>
            <w:vAlign w:val="center"/>
          </w:tcPr>
          <w:p>
            <w:pPr>
              <w:pStyle w:val="TableContents"/>
              <w:bidi w:val="0"/>
              <w:spacing w:before="0" w:after="0"/>
              <w:ind w:left="0" w:right="0" w:hanging="0"/>
              <w:jc w:val="left"/>
              <w:rPr/>
            </w:pPr>
            <w:r>
              <w:rPr/>
              <w:t>​</w:t>
            </w:r>
          </w:p>
        </w:tc>
        <w:tc>
          <w:tcPr>
            <w:tcW w:w="1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16,047</w:t>
            </w:r>
          </w:p>
        </w:tc>
        <w:tc>
          <w:tcPr>
            <w:tcW w:w="266"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15,984</w:t>
            </w:r>
          </w:p>
        </w:tc>
      </w:tr>
      <w:tr>
        <w:trPr/>
        <w:tc>
          <w:tcPr>
            <w:tcW w:w="40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weighted average shares outstanding</w:t>
            </w:r>
          </w:p>
        </w:tc>
        <w:tc>
          <w:tcPr>
            <w:tcW w:w="266"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16,047</w:t>
            </w:r>
          </w:p>
        </w:tc>
        <w:tc>
          <w:tcPr>
            <w:tcW w:w="266"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15,984</w:t>
            </w:r>
          </w:p>
        </w:tc>
      </w:tr>
    </w:tbl>
    <w:p>
      <w:pPr>
        <w:pStyle w:val="TextBody"/>
        <w:shd w:fill="FFFFFF" w:val="clear"/>
        <w:bidi w:val="0"/>
        <w:spacing w:before="0" w:after="0"/>
        <w:ind w:left="14" w:right="0" w:hanging="0"/>
        <w:jc w:val="left"/>
        <w:rPr/>
      </w:pPr>
      <w:r>
        <w:rPr/>
        <w:t>​</w:t>
      </w:r>
    </w:p>
    <w:p>
      <w:pPr>
        <w:pStyle w:val="TextBody"/>
        <w:shd w:fill="FFFFFF" w:val="clear"/>
        <w:bidi w:val="0"/>
        <w:spacing w:before="0" w:after="200"/>
        <w:ind w:left="15" w:right="0" w:hanging="0"/>
        <w:jc w:val="left"/>
        <w:rPr>
          <w:rFonts w:ascii="Arial;Helvetica;sans-serif" w:hAnsi="Arial;Helvetica;sans-serif"/>
          <w:sz w:val="20"/>
        </w:rPr>
      </w:pPr>
      <w:r>
        <w:rPr>
          <w:rFonts w:ascii="Arial;Helvetica;sans-serif" w:hAnsi="Arial;Helvetica;sans-serif"/>
          <w:sz w:val="20"/>
        </w:rPr>
        <w:t>The following outstanding potentially dilutive common stock equivalents have been excluded from the computation of diluted net loss per share attributable to common shareholders for the periods presented due to their anti-dilutive effect (in thousands):</w:t>
      </w:r>
    </w:p>
    <w:tbl>
      <w:tblPr>
        <w:tblW w:w="6645" w:type="dxa"/>
        <w:jc w:val="left"/>
        <w:tblInd w:w="0" w:type="dxa"/>
        <w:tblLayout w:type="fixed"/>
        <w:tblCellMar>
          <w:top w:w="0" w:type="dxa"/>
          <w:left w:w="0" w:type="dxa"/>
          <w:bottom w:w="0" w:type="dxa"/>
          <w:right w:w="0" w:type="dxa"/>
        </w:tblCellMar>
      </w:tblPr>
      <w:tblGrid>
        <w:gridCol w:w="2296"/>
        <w:gridCol w:w="109"/>
        <w:gridCol w:w="109"/>
        <w:gridCol w:w="1801"/>
        <w:gridCol w:w="109"/>
        <w:gridCol w:w="266"/>
        <w:gridCol w:w="1801"/>
        <w:gridCol w:w="154"/>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457960" cy="175260"/>
                      <wp:effectExtent l="0" t="0" r="0" b="0"/>
                      <wp:wrapNone/>
                      <wp:docPr id="79" name="Frame79"/>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143635" cy="175260"/>
                      <wp:effectExtent l="0" t="0" r="0" b="0"/>
                      <wp:wrapNone/>
                      <wp:docPr id="82" name="Frame8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8910" cy="175260"/>
                      <wp:effectExtent l="0" t="0" r="0" b="0"/>
                      <wp:wrapNone/>
                      <wp:docPr id="84" name="Frame8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143635" cy="175260"/>
                      <wp:effectExtent l="0" t="0" r="0" b="0"/>
                      <wp:wrapNone/>
                      <wp:docPr id="85" name="Frame8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7790" cy="175260"/>
                      <wp:effectExtent l="0" t="0" r="0" b="0"/>
                      <wp:wrapNone/>
                      <wp:docPr id="86" name="Frame8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154" w:type="dxa"/>
            <w:tcBorders/>
            <w:vAlign w:val="center"/>
          </w:tcPr>
          <w:p>
            <w:pPr>
              <w:pStyle w:val="TableContents"/>
              <w:bidi w:val="0"/>
              <w:spacing w:before="0" w:after="0"/>
              <w:ind w:left="0" w:right="0" w:hanging="0"/>
              <w:jc w:val="center"/>
              <w:rPr/>
            </w:pPr>
            <w:r>
              <w:rPr/>
              <w:t>​</w:t>
            </w:r>
          </w:p>
        </w:tc>
      </w:tr>
      <w:tr>
        <w:trPr/>
        <w:tc>
          <w:tcPr>
            <w:tcW w:w="2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2024</w:t>
            </w:r>
          </w:p>
        </w:tc>
        <w:tc>
          <w:tcPr>
            <w:tcW w:w="109"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18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2023</w:t>
            </w:r>
          </w:p>
        </w:tc>
        <w:tc>
          <w:tcPr>
            <w:tcW w:w="154" w:type="dxa"/>
            <w:tcBorders/>
            <w:vAlign w:val="center"/>
          </w:tcPr>
          <w:p>
            <w:pPr>
              <w:pStyle w:val="TableContents"/>
              <w:bidi w:val="0"/>
              <w:spacing w:before="0" w:after="0"/>
              <w:ind w:left="0" w:right="0" w:hanging="0"/>
              <w:jc w:val="center"/>
              <w:rPr/>
            </w:pPr>
            <w:r>
              <w:rPr/>
              <w:t>​</w:t>
            </w:r>
          </w:p>
        </w:tc>
      </w:tr>
      <w:tr>
        <w:trPr/>
        <w:tc>
          <w:tcPr>
            <w:tcW w:w="22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Foxconn Preferred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1,150</w:t>
            </w:r>
          </w:p>
        </w:tc>
        <w:tc>
          <w:tcPr>
            <w:tcW w:w="109"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 awards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right"/>
              <w:rPr/>
            </w:pPr>
            <w:r>
              <w:rPr/>
              <w:t xml:space="preserve">— </w:t>
            </w:r>
          </w:p>
        </w:tc>
        <w:tc>
          <w:tcPr>
            <w:tcW w:w="109"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154" w:type="dxa"/>
            <w:tcBorders/>
            <w:vAlign w:val="center"/>
          </w:tcPr>
          <w:p>
            <w:pPr>
              <w:pStyle w:val="TableContents"/>
              <w:bidi w:val="0"/>
              <w:spacing w:before="0" w:after="0"/>
              <w:ind w:left="0" w:right="0" w:hanging="0"/>
              <w:jc w:val="left"/>
              <w:rPr/>
            </w:pPr>
            <w:r>
              <w:rPr/>
              <w:t>​</w:t>
            </w:r>
          </w:p>
        </w:tc>
      </w:tr>
      <w:tr>
        <w:trPr/>
        <w:tc>
          <w:tcPr>
            <w:tcW w:w="22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Foxconn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w:t>
            </w:r>
          </w:p>
        </w:tc>
        <w:tc>
          <w:tcPr>
            <w:tcW w:w="109" w:type="dxa"/>
            <w:tcBorders/>
            <w:shd w:fill="CCEEFF" w:val="clear"/>
            <w:vAlign w:val="center"/>
          </w:tcPr>
          <w:p>
            <w:pPr>
              <w:pStyle w:val="TableContents"/>
              <w:bidi w:val="0"/>
              <w:spacing w:before="0" w:after="0"/>
              <w:ind w:left="0" w:right="0" w:hanging="0"/>
              <w:jc w:val="center"/>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80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BGL Warrants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right"/>
              <w:rPr/>
            </w:pPr>
            <w:r>
              <w:rPr/>
              <w:t xml:space="preserve">— </w:t>
            </w:r>
          </w:p>
        </w:tc>
        <w:tc>
          <w:tcPr>
            <w:tcW w:w="109"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1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w:t>
            </w:r>
          </w:p>
        </w:tc>
        <w:tc>
          <w:tcPr>
            <w:tcW w:w="154" w:type="dxa"/>
            <w:tcBorders/>
            <w:vAlign w:val="center"/>
          </w:tcPr>
          <w:p>
            <w:pPr>
              <w:pStyle w:val="TableContents"/>
              <w:bidi w:val="0"/>
              <w:spacing w:before="0" w:after="0"/>
              <w:ind w:left="0" w:right="0" w:hanging="0"/>
              <w:jc w:val="left"/>
              <w:rPr/>
            </w:pPr>
            <w:r>
              <w:rPr/>
              <w:t>​</w:t>
            </w:r>
          </w:p>
        </w:tc>
      </w:tr>
      <w:tr>
        <w:trPr/>
        <w:tc>
          <w:tcPr>
            <w:tcW w:w="229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Private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w:t>
            </w:r>
          </w:p>
        </w:tc>
        <w:tc>
          <w:tcPr>
            <w:tcW w:w="109" w:type="dxa"/>
            <w:tcBorders/>
            <w:shd w:fill="CCEEFF" w:val="clear"/>
            <w:vAlign w:val="center"/>
          </w:tcPr>
          <w:p>
            <w:pPr>
              <w:pStyle w:val="TableContents"/>
              <w:bidi w:val="0"/>
              <w:spacing w:before="0" w:after="0"/>
              <w:ind w:left="0" w:right="0" w:hanging="0"/>
              <w:jc w:val="center"/>
              <w:rPr>
                <w:color w:val="FF0000"/>
              </w:rPr>
            </w:pPr>
            <w:r>
              <w:rPr>
                <w:color w:val="FF0000"/>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1,417</w:t>
            </w:r>
          </w:p>
        </w:tc>
        <w:tc>
          <w:tcPr>
            <w:tcW w:w="109"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18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1,447</w:t>
            </w:r>
          </w:p>
        </w:tc>
        <w:tc>
          <w:tcPr>
            <w:tcW w:w="154" w:type="dxa"/>
            <w:tcBorders/>
            <w:vAlign w:val="center"/>
          </w:tcPr>
          <w:p>
            <w:pPr>
              <w:pStyle w:val="TableContents"/>
              <w:bidi w:val="0"/>
              <w:spacing w:before="0" w:after="0"/>
              <w:ind w:left="0" w:right="0" w:hanging="0"/>
              <w:jc w:val="center"/>
              <w:rPr/>
            </w:pPr>
            <w:r>
              <w:rPr/>
              <w:t>​</w:t>
            </w:r>
          </w:p>
        </w:tc>
      </w:tr>
    </w:tbl>
    <w:p>
      <w:pPr>
        <w:pStyle w:val="TextBody"/>
        <w:shd w:fill="FFFFFF" w:val="clear"/>
        <w:bidi w:val="0"/>
        <w:spacing w:before="0" w:after="20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7 – STOCK BASED COMPENSATION</w:t>
      </w:r>
    </w:p>
    <w:p>
      <w:pPr>
        <w:pStyle w:val="TextBody"/>
        <w:bidi w:val="0"/>
        <w:spacing w:before="0" w:after="200"/>
        <w:ind w:left="0" w:right="0" w:hanging="0"/>
        <w:jc w:val="left"/>
        <w:rPr>
          <w:rFonts w:ascii="Times New Roman;Times;serif" w:hAnsi="Times New Roman;Times;serif"/>
          <w:sz w:val="24"/>
        </w:rPr>
      </w:pPr>
      <w:r>
        <w:rPr>
          <w:rFonts w:ascii="Arial;Helvetica;sans-serif" w:hAnsi="Arial;Helvetica;sans-serif"/>
          <w:sz w:val="20"/>
        </w:rPr>
        <w:t>The vesting and settlement of any unvested equity awards was suspended during the pendency of the Chapter 11 Cases. Upon emergence, the suspended awards were settled if the vesting conditions had been satisfied. All vested options to purchase Class A common stock that remain outstanding as of the date the Company emerged remain outstanding in accordance with their terms and the terms of the Plan and any options not exercised within three months</w:t>
      </w:r>
      <w:r>
        <w:rPr>
          <w:rFonts w:ascii="Times New Roman;Times;serif" w:hAnsi="Times New Roman;Times;serif"/>
          <w:sz w:val="24"/>
        </w:rPr>
        <w:t xml:space="preserve"> </w:t>
      </w:r>
      <w:r>
        <w:rPr>
          <w:rFonts w:ascii="Arial;Helvetica;sans-serif" w:hAnsi="Arial;Helvetica;sans-serif"/>
          <w:sz w:val="20"/>
        </w:rPr>
        <w:t xml:space="preserve">of an officer’s or director’s termination of employment or board service with the Company will terminate. </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 xml:space="preserve">The Company and each of its Named Executive Officers (“NEO’s) had previously entered into employment agreements, that provided for certain payment upon their termination </w:t>
      </w:r>
      <w:r>
        <w:rPr>
          <w:rFonts w:ascii="Arial;Helvetica;sans-serif" w:hAnsi="Arial;Helvetica;sans-serif"/>
          <w:spacing w:val="4"/>
          <w:sz w:val="20"/>
        </w:rPr>
        <w:t>by the Company without “Cause” or their own termination with “Good Reason”, including the accelerated vesting of equity awards. Accordingly, upon emergence, the Company issued 101,947</w:t>
      </w:r>
      <w:r>
        <w:rPr>
          <w:rFonts w:ascii="Times New Roman;Times;serif" w:hAnsi="Times New Roman;Times;serif"/>
          <w:spacing w:val="4"/>
          <w:sz w:val="20"/>
        </w:rPr>
        <w:t xml:space="preserve"> </w:t>
      </w:r>
      <w:r>
        <w:rPr>
          <w:rFonts w:ascii="Arial;Helvetica;sans-serif" w:hAnsi="Arial;Helvetica;sans-serif"/>
          <w:spacing w:val="4"/>
          <w:sz w:val="20"/>
        </w:rPr>
        <w:t>shares that had vested during the pendency of the Chapter 11 Cases, and 102,889</w:t>
      </w:r>
      <w:r>
        <w:rPr>
          <w:rFonts w:ascii="Times New Roman;Times;serif" w:hAnsi="Times New Roman;Times;serif"/>
          <w:spacing w:val="4"/>
          <w:sz w:val="20"/>
        </w:rPr>
        <w:t xml:space="preserve"> </w:t>
      </w:r>
      <w:r>
        <w:rPr>
          <w:rFonts w:ascii="Arial;Helvetica;sans-serif" w:hAnsi="Arial;Helvetica;sans-serif"/>
          <w:spacing w:val="4"/>
          <w:sz w:val="20"/>
        </w:rPr>
        <w:t>shares related to the accelerated vesting of the NEO awards. The accelerated vesting of the NEO awards resulted in the recognition of $2.6</w:t>
      </w:r>
      <w:r>
        <w:rPr>
          <w:rFonts w:ascii="Times New Roman;Times;serif" w:hAnsi="Times New Roman;Times;serif"/>
          <w:spacing w:val="4"/>
          <w:sz w:val="20"/>
        </w:rPr>
        <w:t xml:space="preserve"> </w:t>
      </w:r>
      <w:r>
        <w:rPr>
          <w:rFonts w:ascii="Arial;Helvetica;sans-serif" w:hAnsi="Arial;Helvetica;sans-serif"/>
          <w:spacing w:val="4"/>
          <w:sz w:val="20"/>
        </w:rPr>
        <w:t>million of stock compensation expense.</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0"/>
        </w:rPr>
        <w:t>In accordance with the Plan, on March 14, 2024, the Board of Directors approved, adopted and ratified an amendment to the Company’s 2020 Equity Incentive Plan, as amended to increase the number of shares of Class A common stock reserved for issuance thereunder to an aggregate of 3,000,000</w:t>
      </w:r>
      <w:r>
        <w:rPr>
          <w:rFonts w:ascii="Times New Roman;Times;serif" w:hAnsi="Times New Roman;Times;serif"/>
          <w:sz w:val="20"/>
        </w:rPr>
        <w:t xml:space="preserve"> </w:t>
      </w:r>
      <w:r>
        <w:rPr>
          <w:rFonts w:ascii="Arial;Helvetica;sans-serif" w:hAnsi="Arial;Helvetica;sans-serif"/>
          <w:sz w:val="20"/>
        </w:rPr>
        <w:t>shares.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8 – COMMITMENTS AND CONTINGENCIES</w:t>
      </w:r>
    </w:p>
    <w:p>
      <w:pPr>
        <w:pStyle w:val="TextBody"/>
        <w:bidi w:val="0"/>
        <w:spacing w:before="288" w:after="288"/>
        <w:ind w:left="14" w:right="14" w:hanging="0"/>
        <w:jc w:val="left"/>
        <w:rPr>
          <w:rFonts w:ascii="Arial;Helvetica;sans-serif" w:hAnsi="Arial;Helvetica;sans-serif"/>
          <w:i/>
          <w:sz w:val="20"/>
        </w:rPr>
      </w:pPr>
      <w:r>
        <w:rPr>
          <w:rFonts w:ascii="Arial;Helvetica;sans-serif" w:hAnsi="Arial;Helvetica;sans-serif"/>
          <w:i/>
          <w:sz w:val="20"/>
        </w:rPr>
        <w:t>Voluntary Chapter 11 Proceedings, Liabilities Subject to Compromise and Other Potential Claims</w:t>
      </w:r>
    </w:p>
    <w:p>
      <w:pPr>
        <w:pStyle w:val="TextBody"/>
        <w:bidi w:val="0"/>
        <w:spacing w:before="288" w:after="288"/>
        <w:ind w:left="14" w:right="14" w:hanging="0"/>
        <w:jc w:val="left"/>
        <w:rPr>
          <w:rFonts w:ascii="Arial;Helvetica;sans-serif" w:hAnsi="Arial;Helvetica;sans-serif"/>
          <w:sz w:val="20"/>
        </w:rPr>
      </w:pPr>
      <w:r>
        <w:rPr>
          <w:rFonts w:ascii="Arial;Helvetica;sans-serif" w:hAnsi="Arial;Helvetica;sans-serif"/>
          <w:sz w:val="20"/>
        </w:rPr>
        <w:t>On June 27, 2023, the Company and its subsidiaries commenced the Chapter 11 Cases in the Bankruptcy Court. See Note 1 – Description of Organization and Business Operations – Description of Business – Voluntary Chapter 11 Proceedings.</w:t>
      </w:r>
    </w:p>
    <w:p>
      <w:pPr>
        <w:pStyle w:val="TextBody"/>
        <w:bidi w:val="0"/>
        <w:spacing w:before="288" w:after="288"/>
        <w:ind w:left="14" w:right="14" w:hanging="0"/>
        <w:jc w:val="left"/>
        <w:rPr>
          <w:rFonts w:ascii="Arial;Helvetica;sans-serif" w:hAnsi="Arial;Helvetica;sans-serif"/>
          <w:sz w:val="20"/>
        </w:rPr>
      </w:pPr>
      <w:r>
        <w:rPr>
          <w:rFonts w:ascii="Arial;Helvetica;sans-serif" w:hAnsi="Arial;Helvetica;sans-serif"/>
          <w:sz w:val="20"/>
        </w:rPr>
        <w:t>Since filing the Chapter 11 petitions, until our emergence from bankruptcy on March 14, 2024, the Company operated as debtor-in-possession under the jurisdiction of the Bankruptcy Court and in accordance with the applicable provisions of the Bankruptcy Code.</w:t>
      </w:r>
    </w:p>
    <w:p>
      <w:pPr>
        <w:pStyle w:val="TextBody"/>
        <w:bidi w:val="0"/>
        <w:spacing w:before="288" w:after="288"/>
        <w:ind w:left="14" w:right="14" w:hanging="0"/>
        <w:jc w:val="left"/>
        <w:rPr>
          <w:rFonts w:ascii="Arial;Helvetica;sans-serif" w:hAnsi="Arial;Helvetica;sans-serif"/>
          <w:sz w:val="20"/>
        </w:rPr>
      </w:pPr>
      <w:r>
        <w:rPr>
          <w:rFonts w:ascii="Arial;Helvetica;sans-serif" w:hAnsi="Arial;Helvetica;sans-serif"/>
          <w:sz w:val="20"/>
        </w:rPr>
        <w:t xml:space="preserve">The Company received the Bankruptcy Court’s approval of its customary motions filed on June 27, 2023, which authorized the Company to conduct its business activities in the ordinary course, including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(vii) establish certain procedures to protect any potential value of the Company’s NOLs. </w:t>
      </w:r>
    </w:p>
    <w:p>
      <w:pPr>
        <w:pStyle w:val="TextBody"/>
        <w:bidi w:val="0"/>
        <w:spacing w:before="288" w:after="288"/>
        <w:ind w:left="14" w:right="14" w:hanging="0"/>
        <w:jc w:val="left"/>
        <w:rPr>
          <w:rFonts w:ascii="Times New Roman;Times;serif" w:hAnsi="Times New Roman;Times;serif"/>
          <w:sz w:val="20"/>
        </w:rPr>
      </w:pPr>
      <w:r>
        <w:rPr>
          <w:rFonts w:ascii="Arial;Helvetica;sans-serif" w:hAnsi="Arial;Helvetica;sans-serif"/>
          <w:sz w:val="20"/>
        </w:rPr>
        <w:t>On August 8, 2023, the Bankruptcy Court approved procedures for the Company to conduct a comprehensive marketing and sale process for some, all, or substantially all of their assets in order to maximize the value of those assets. The marketing process culminated in the Company entering into the LandX Asset Purchase Agreement on March 29, 2023, providing for the sale of</w:t>
      </w:r>
      <w:r>
        <w:rPr>
          <w:rFonts w:ascii="Times New Roman;Times;serif" w:hAnsi="Times New Roman;Times;serif"/>
          <w:sz w:val="20"/>
          <w:shd w:fill="FFFFFF" w:val="clear"/>
        </w:rPr>
        <w:t xml:space="preserve"> </w:t>
      </w:r>
      <w:r>
        <w:rPr>
          <w:rFonts w:ascii="Arial;Helvetica;sans-serif" w:hAnsi="Arial;Helvetica;sans-serif"/>
          <w:sz w:val="20"/>
          <w:shd w:fill="FFFFFF" w:val="clear"/>
        </w:rPr>
        <w:t>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$10.2</w:t>
      </w:r>
      <w:r>
        <w:rPr>
          <w:rFonts w:ascii="Times New Roman;Times;serif" w:hAnsi="Times New Roman;Times;serif"/>
          <w:sz w:val="20"/>
          <w:shd w:fill="FFFFFF" w:val="clear"/>
        </w:rPr>
        <w:t xml:space="preserve"> </w:t>
      </w:r>
      <w:r>
        <w:rPr>
          <w:rFonts w:ascii="Arial;Helvetica;sans-serif" w:hAnsi="Arial;Helvetica;sans-serif"/>
          <w:sz w:val="20"/>
          <w:shd w:fill="FFFFFF" w:val="clear"/>
        </w:rPr>
        <w:t>million in cash. This transaction closed on October 27, 2023. See Note 1 – Description of Organization and Business Operations – Description of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Company has been subject to extensive pending and threatened legal proceedings arising in the ordinary course of business and has already incurred, and expects to continue to incur, significant legal expenses in defending against these claims. The Company sought and achieved resolution of many of these matters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Condensed Consolidated Financial Statements when a loss is known or considered probable and the amount can be reasonably estimated. Legal fees and costs of litigation, settlement by the Company or adverse decisions with respect to the matters disclosed may result in a liability that is not insured or that is in excess of insurance coverage and could significantly exceed our current accrual and ability to pay and be, individually or in the aggregate, material to the Company’s consolidated results of operations, financial condition or cash flows, and diminish or eliminate any assets available for any distribution to creditors and Interest holders.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With respect to the stockholder derivative suits filed on behalf of the Company against certain of its officers and directors and certain former DiamondPeak directors prior to the Chapter 11 Cases, the derivative claims asserted in those suits became the property of the Company. The Company appointed an independent committee of directors to evaluate such claims with the assistance and advice of special litigation counsel, to make a recommendation as to the disposition of such claims, including, among other things, whether to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pursue or release some or all of those claims against some or all of those officers and directors. Ultimately, such claims were retained by the Company and not released under the Plan.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With respect to the Ohio Securities Class Action opt-out claims (discussed below),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w:t>
      </w:r>
    </w:p>
    <w:p>
      <w:pPr>
        <w:pStyle w:val="TextBody"/>
        <w:bidi w:val="0"/>
        <w:spacing w:before="240" w:after="0"/>
        <w:ind w:left="0" w:right="0" w:hanging="0"/>
        <w:jc w:val="left"/>
        <w:rPr>
          <w:rFonts w:ascii="Arial;Helvetica;sans-serif" w:hAnsi="Arial;Helvetica;sans-serif"/>
          <w:sz w:val="20"/>
        </w:rPr>
      </w:pPr>
      <w:r>
        <w:rPr>
          <w:rFonts w:ascii="Arial;Helvetica;sans-serif" w:hAnsi="Arial;Helvetica;sans-serif"/>
          <w:sz w:val="20"/>
        </w:rPr>
        <w:t xml:space="preserve">The Bankruptcy Court established October 10, 2023 as the deadline by which parties were required to file proofs of claim in the Chapter 11 Cases and December 26, 2023 for all governmental entities to file their proofs of claim, which includes any claim asserted by the SEC with respect to the matter described under “SEC Matter” below or that may arise due to our obligations under the Highway Safety Act of 1970 (the “Safety Act”) administered by the National Highway Traffic Safety Administration (“NHTSA”) described under “NHTSA Matters” below. </w:t>
      </w:r>
    </w:p>
    <w:p>
      <w:pPr>
        <w:pStyle w:val="TextBody"/>
        <w:bidi w:val="0"/>
        <w:spacing w:before="240" w:after="0"/>
        <w:ind w:left="0" w:right="0" w:hanging="0"/>
        <w:jc w:val="left"/>
        <w:rPr>
          <w:rFonts w:ascii="Arial;Helvetica;sans-serif" w:hAnsi="Arial;Helvetica;sans-serif"/>
          <w:sz w:val="20"/>
        </w:rPr>
      </w:pPr>
      <w:r>
        <w:rPr>
          <w:rFonts w:ascii="Arial;Helvetica;sans-serif" w:hAnsi="Arial;Helvetica;sans-serif"/>
          <w:sz w:val="20"/>
        </w:rPr>
        <w:t xml:space="preserve">In addition, the deadline for parties to file proofs of claim arising from the Company’s rejection of an executory contract or unexpired lease, and proofs of claim for administrative expense claims, was April 15, 2024. </w:t>
      </w:r>
    </w:p>
    <w:p>
      <w:pPr>
        <w:pStyle w:val="TextBody"/>
        <w:bidi w:val="0"/>
        <w:spacing w:before="240" w:after="0"/>
        <w:ind w:left="0" w:right="0" w:hanging="0"/>
        <w:jc w:val="left"/>
        <w:rPr>
          <w:rFonts w:ascii="Arial;Helvetica;sans-serif" w:hAnsi="Arial;Helvetica;sans-serif"/>
          <w:sz w:val="20"/>
        </w:rPr>
      </w:pPr>
      <w:r>
        <w:rPr>
          <w:rFonts w:ascii="Arial;Helvetica;sans-serif" w:hAnsi="Arial;Helvetica;sans-serif"/>
          <w:sz w:val="20"/>
        </w:rPr>
        <w:t xml:space="preserve">Several rejection damages and administrative expense claims were filed and are being reviewed by the Company. While the Company may file objections to some or all of these additional claims, the Company cannot provide any assurances as to what the Company’s total actual liabilities will be based on such claims. The amount of such liability may diminish the assets available to satisfy general unsecured claims. There is substantial risk of litigation by and against the Company or its indemnified directors and officers with respect to such claims. </w:t>
      </w:r>
    </w:p>
    <w:p>
      <w:pPr>
        <w:pStyle w:val="TextBody"/>
        <w:bidi w:val="0"/>
        <w:spacing w:before="288" w:after="288"/>
        <w:ind w:left="14" w:right="14" w:hanging="0"/>
        <w:jc w:val="left"/>
        <w:rPr>
          <w:rFonts w:ascii="Arial;Helvetica;sans-serif" w:hAnsi="Arial;Helvetica;sans-serif"/>
          <w:sz w:val="20"/>
        </w:rPr>
      </w:pPr>
      <w:r>
        <w:rPr>
          <w:rFonts w:ascii="Arial;Helvetica;sans-serif" w:hAnsi="Arial;Helvetica;sans-serif"/>
          <w:sz w:val="20"/>
        </w:rPr>
        <w:t>In accordance with ASC 852, in the accompanying March 31, 2024 Condensed Consolidated Balance Sheet, the caption “Liabilities subject to compromise” reflects the expected allowed amount of the pre-petition claims that are not fully secured and that have at least a possibility of not being repaid at the full claim amount. “Liabilities subject to compromise” at March 31 2024 consisted of the following:</w:t>
      </w:r>
    </w:p>
    <w:p>
      <w:pPr>
        <w:pStyle w:val="TextBody"/>
        <w:bidi w:val="0"/>
        <w:spacing w:before="288" w:after="120"/>
        <w:ind w:left="14" w:right="14" w:hanging="0"/>
        <w:jc w:val="left"/>
        <w:rPr/>
      </w:pPr>
      <w:r>
        <w:rPr/>
        <w:t>“</w:t>
      </w:r>
      <w:r>
        <w:rPr>
          <w:rFonts w:ascii="Arial;Helvetica;sans-serif" w:hAnsi="Arial;Helvetica;sans-serif"/>
          <w:sz w:val="20"/>
        </w:rPr>
        <w:t xml:space="preserve">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they may be settled or resolved for materially different amounts. These amounts are also subject to adjustments if we make changes to our assumptions or estimates related to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 </w:t>
      </w:r>
    </w:p>
    <w:p>
      <w:pPr>
        <w:pStyle w:val="TextBody"/>
        <w:bidi w:val="0"/>
        <w:spacing w:before="240" w:after="0"/>
        <w:ind w:left="0" w:right="0" w:hanging="0"/>
        <w:jc w:val="left"/>
        <w:rPr>
          <w:rFonts w:ascii="Times New Roman;Times;serif" w:hAnsi="Times New Roman;Times;serif"/>
          <w:sz w:val="20"/>
        </w:rPr>
      </w:pPr>
      <w:r>
        <w:rPr>
          <w:rFonts w:ascii="Arial;Helvetica;sans-serif" w:hAnsi="Arial;Helvetica;sans-serif"/>
          <w:sz w:val="20"/>
        </w:rPr>
        <w:t>As a result of the Chapter 11 Cases and ceasing production of the Endurance, the Company has received claims from its suppliers and vendors for amounts those parties believe the Company owes. We are conducting an extensive claims reconciliation process to analyze approximately $23.1</w:t>
      </w:r>
      <w:r>
        <w:rPr>
          <w:rFonts w:ascii="Times New Roman;Times;serif" w:hAnsi="Times New Roman;Times;serif"/>
          <w:sz w:val="20"/>
        </w:rPr>
        <w:t xml:space="preserve"> </w:t>
      </w:r>
      <w:r>
        <w:rPr>
          <w:rFonts w:ascii="Arial;Helvetica;sans-serif" w:hAnsi="Arial;Helvetica;sans-serif"/>
          <w:sz w:val="20"/>
        </w:rPr>
        <w:t>million of claims. In addition, there are $7.2</w:t>
      </w:r>
      <w:r>
        <w:rPr>
          <w:rFonts w:ascii="Times New Roman;Times;serif" w:hAnsi="Times New Roman;Times;serif"/>
          <w:sz w:val="20"/>
        </w:rPr>
        <w:t xml:space="preserve"> </w:t>
      </w:r>
      <w:r>
        <w:rPr>
          <w:rFonts w:ascii="Arial;Helvetica;sans-serif" w:hAnsi="Arial;Helvetica;sans-serif"/>
          <w:sz w:val="20"/>
        </w:rPr>
        <w:t>million in asserted claims for liquidated portion of indemnification obligations (excluding those contained in the litigation accrual described below), rejection damages related to certain contracts and real property leases, potential government claims and interest due on allowed claims. The Company, its advisors, and the Claims Ombudsman appointed in the Chapter 11 Cases are analyzing the claims for validity and intends to vigorously defend against claims it believes are invalid. We have accounts payable and accrued vendor claims of approximately $26.9</w:t>
      </w:r>
      <w:r>
        <w:rPr>
          <w:rFonts w:ascii="Times New Roman;Times;serif" w:hAnsi="Times New Roman;Times;serif"/>
          <w:sz w:val="20"/>
        </w:rPr>
        <w:t xml:space="preserve"> </w:t>
      </w:r>
      <w:r>
        <w:rPr>
          <w:rFonts w:ascii="Arial;Helvetica;sans-serif" w:hAnsi="Arial;Helvetica;sans-serif"/>
          <w:sz w:val="20"/>
        </w:rPr>
        <w:t>million and $30.5</w:t>
      </w:r>
      <w:r>
        <w:rPr>
          <w:rFonts w:ascii="Times New Roman;Times;serif" w:hAnsi="Times New Roman;Times;serif"/>
          <w:sz w:val="20"/>
        </w:rPr>
        <w:t xml:space="preserve"> </w:t>
      </w:r>
      <w:r>
        <w:rPr>
          <w:rFonts w:ascii="Arial;Helvetica;sans-serif" w:hAnsi="Arial;Helvetica;sans-serif"/>
          <w:sz w:val="20"/>
        </w:rPr>
        <w:t>million as of March 31, 2024 and December 31, 2023, respectively,</w:t>
      </w:r>
      <w:r>
        <w:rPr>
          <w:rFonts w:ascii="Times New Roman;Times;serif" w:hAnsi="Times New Roman;Times;serif"/>
          <w:sz w:val="20"/>
        </w:rPr>
        <w:t xml:space="preserve"> </w:t>
      </w:r>
      <w:r>
        <w:rPr>
          <w:rFonts w:ascii="Arial;Helvetica;sans-serif" w:hAnsi="Arial;Helvetica;sans-serif"/>
          <w:sz w:val="20"/>
        </w:rPr>
        <w:t xml:space="preserve">which reflect both undisputed and partially disputed amounts we may owe, reported in Liabilities subject to compromise. The remainder is disputed for one or more reasons, including a lack of information provided by the claimant.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Company had accruals of $3.5</w:t>
      </w:r>
      <w:r>
        <w:rPr>
          <w:rFonts w:ascii="Times New Roman;Times;serif" w:hAnsi="Times New Roman;Times;serif"/>
          <w:sz w:val="20"/>
        </w:rPr>
        <w:t xml:space="preserve"> </w:t>
      </w:r>
      <w:r>
        <w:rPr>
          <w:rFonts w:ascii="Arial;Helvetica;sans-serif" w:hAnsi="Arial;Helvetica;sans-serif"/>
          <w:sz w:val="20"/>
        </w:rPr>
        <w:t>million and $6.5</w:t>
      </w:r>
      <w:r>
        <w:rPr>
          <w:rFonts w:ascii="Times New Roman;Times;serif" w:hAnsi="Times New Roman;Times;serif"/>
          <w:sz w:val="20"/>
        </w:rPr>
        <w:t xml:space="preserve"> </w:t>
      </w:r>
      <w:r>
        <w:rPr>
          <w:rFonts w:ascii="Arial;Helvetica;sans-serif" w:hAnsi="Arial;Helvetica;sans-serif"/>
          <w:sz w:val="20"/>
        </w:rPr>
        <w:t>million, for the periods ending March 31, 2024 and December 31, 2023, respectively, for certain of its outstanding legal proceedings and potential related obligations within</w:t>
      </w:r>
      <w:r>
        <w:rPr>
          <w:rFonts w:ascii="Times New Roman;Times;serif" w:hAnsi="Times New Roman;Times;serif"/>
          <w:sz w:val="20"/>
        </w:rPr>
        <w:t xml:space="preserve"> “</w:t>
      </w:r>
      <w:r>
        <w:rPr>
          <w:rFonts w:ascii="Arial;Helvetica;sans-serif" w:hAnsi="Arial;Helvetica;sans-serif"/>
          <w:sz w:val="24"/>
        </w:rPr>
        <w:t>l</w:t>
      </w:r>
      <w:r>
        <w:rPr>
          <w:rFonts w:ascii="Arial;Helvetica;sans-serif" w:hAnsi="Arial;Helvetica;sans-serif"/>
          <w:sz w:val="20"/>
        </w:rPr>
        <w:t xml:space="preserve">iabilities subject to compromise” and “accrued and other current liabilities” on its Condensed Consolidated Balance Sheet. Our liabilities for legal proceedings and potential related obligations may include amounts for the securities litigation, government claims and indemnification obligations described in more detail below or other claims that may be asserted against us and may or may not be offset by insurance. The amount accrued as of March 31, 2024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 </w:t>
      </w:r>
    </w:p>
    <w:p>
      <w:pPr>
        <w:pStyle w:val="TextBody"/>
        <w:bidi w:val="0"/>
        <w:spacing w:before="240" w:after="200"/>
        <w:ind w:left="0" w:right="0" w:hanging="0"/>
        <w:jc w:val="left"/>
        <w:rPr>
          <w:rFonts w:ascii="Arial;Helvetica;sans-serif" w:hAnsi="Arial;Helvetica;sans-serif"/>
          <w:i/>
          <w:color w:val="231F20"/>
          <w:sz w:val="20"/>
        </w:rPr>
      </w:pPr>
      <w:r>
        <w:rPr>
          <w:rFonts w:ascii="Arial;Helvetica;sans-serif" w:hAnsi="Arial;Helvetica;sans-serif"/>
          <w:i/>
          <w:color w:val="231F20"/>
          <w:sz w:val="20"/>
        </w:rPr>
        <w:t xml:space="preserve">Insurance Matters </w:t>
      </w:r>
    </w:p>
    <w:p>
      <w:pPr>
        <w:pStyle w:val="TextBody"/>
        <w:bidi w:val="0"/>
        <w:spacing w:before="0" w:after="200"/>
        <w:ind w:left="0" w:right="0" w:hanging="0"/>
        <w:jc w:val="left"/>
        <w:rPr>
          <w:rFonts w:ascii="Arial;Helvetica;sans-serif" w:hAnsi="Arial;Helvetica;sans-serif"/>
          <w:color w:val="231F20"/>
          <w:sz w:val="20"/>
        </w:rPr>
      </w:pPr>
      <w:r>
        <w:rPr>
          <w:rFonts w:ascii="Arial;Helvetica;sans-serif" w:hAnsi="Arial;Helvetica;sans-serif"/>
          <w:color w:val="231F20"/>
          <w:sz w:val="20"/>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The Company is analyzing the insurer’s position and intends to pursue any available coverage under this policy and other insurance. As a result of the denial of coverage, no or limited insurance may be available to us to reimburse our expenses or cover any potential losses for these matters, which could be significant. The insurers in our Side A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w:t>
      </w:r>
    </w:p>
    <w:p>
      <w:pPr>
        <w:pStyle w:val="TextBody"/>
        <w:bidi w:val="0"/>
        <w:spacing w:before="0" w:after="200"/>
        <w:ind w:left="0" w:right="0" w:hanging="0"/>
        <w:jc w:val="left"/>
        <w:rPr>
          <w:rFonts w:ascii="Arial;Helvetica;sans-serif" w:hAnsi="Arial;Helvetica;sans-serif"/>
          <w:color w:val="231F20"/>
          <w:sz w:val="20"/>
        </w:rPr>
      </w:pPr>
      <w:r>
        <w:rPr>
          <w:rFonts w:ascii="Arial;Helvetica;sans-serif" w:hAnsi="Arial;Helvetica;sans-serif"/>
          <w:color w:val="231F20"/>
          <w:sz w:val="20"/>
        </w:rPr>
        <w:t>Changes in our operations in connection with the Chapter 11 Cases reduced our need to maintain insurance coverage at previous levels or to carry certain insurance policies.</w:t>
      </w:r>
    </w:p>
    <w:p>
      <w:pPr>
        <w:pStyle w:val="TextBody"/>
        <w:pBdr/>
        <w:bidi w:val="0"/>
        <w:spacing w:before="0" w:after="0"/>
        <w:ind w:left="0" w:right="0" w:hanging="0"/>
        <w:jc w:val="left"/>
        <w:rPr>
          <w:rFonts w:ascii="Times New Roman;Times;serif" w:hAnsi="Times New Roman;Times;serif"/>
          <w:sz w:val="20"/>
        </w:rPr>
      </w:pPr>
      <w:r>
        <w:rPr>
          <w:rFonts w:ascii="Arial;Helvetica;sans-serif" w:hAnsi="Arial;Helvetica;sans-serif"/>
          <w:i/>
          <w:sz w:val="20"/>
        </w:rPr>
        <w:t>Ohio Securities Class Action</w:t>
      </w:r>
      <w:r>
        <w:rPr>
          <w:rFonts w:ascii="Times New Roman;Times;serif" w:hAnsi="Times New Roman;Times;serif"/>
          <w:color w:val="231F20"/>
          <w:sz w:val="20"/>
        </w:rPr>
        <w:t xml:space="preserve"> </w:t>
      </w:r>
    </w:p>
    <w:p>
      <w:pPr>
        <w:pStyle w:val="TextBody"/>
        <w:pBdr/>
        <w:shd w:fill="FFFFFF" w:val="clear"/>
        <w:bidi w:val="0"/>
        <w:spacing w:before="0" w:after="0"/>
        <w:ind w:left="0" w:right="0" w:hanging="0"/>
        <w:jc w:val="left"/>
        <w:rPr>
          <w:rFonts w:ascii="Times New Roman;Times;serif" w:hAnsi="Times New Roman;Times;serif"/>
          <w:sz w:val="20"/>
        </w:rPr>
      </w:pPr>
      <w:r>
        <w:rPr>
          <w:rFonts w:ascii="Arial;Helvetica;sans-serif" w:hAnsi="Arial;Helvetica;sans-serif"/>
          <w:sz w:val="20"/>
        </w:rPr>
        <w:t>Six</w:t>
      </w:r>
      <w:r>
        <w:rPr>
          <w:rFonts w:ascii="Times New Roman;Times;serif" w:hAnsi="Times New Roman;Times;serif"/>
          <w:sz w:val="20"/>
        </w:rPr>
        <w:t xml:space="preserve"> </w:t>
      </w:r>
      <w:r>
        <w:rPr>
          <w:rFonts w:ascii="Arial;Helvetica;sans-serif" w:hAnsi="Arial;Helvetica;sans-serif"/>
          <w:sz w:val="20"/>
        </w:rPr>
        <w:t>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Palumbo v. Lordstown Motors Corp., et al.; Zuod v. Lordstown Motors Corp., et al.; Brury v. Lordstown Motors Corp., et al.; Romano v. Lordstown Motors Corp., et al.; and FNY Managed Accounts LLC v. Lordstown Motors Corp., et al.). The matters have been consolidated and the Court appointed George Troicky as lead plaintiff and Labaton Sucharow LLP as lead plaintiff’s counsel (the “Ohio Securities Class Action”). On March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2023.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shd w:fill="FFFFFF" w:val="clear"/>
        <w:bidi w:val="0"/>
        <w:spacing w:before="0" w:after="200"/>
        <w:ind w:left="0" w:right="0" w:hanging="0"/>
        <w:jc w:val="left"/>
        <w:rPr>
          <w:rFonts w:ascii="Times New Roman;Times;serif" w:hAnsi="Times New Roman;Times;serif"/>
          <w:sz w:val="20"/>
        </w:rPr>
      </w:pPr>
      <w:r>
        <w:rPr>
          <w:rFonts w:ascii="Arial;Helvetica;sans-serif" w:hAnsi="Arial;Helvetica;sans-serif"/>
          <w:sz w:val="20"/>
        </w:rPr>
        <w:t>The Plan settled the Ohio Securities Class Action, with the lead plaintiff receiving (i) $3</w:t>
      </w:r>
      <w:r>
        <w:rPr>
          <w:rFonts w:ascii="Times New Roman;Times;serif" w:hAnsi="Times New Roman;Times;serif"/>
          <w:sz w:val="20"/>
        </w:rPr>
        <w:t xml:space="preserve"> </w:t>
      </w:r>
      <w:r>
        <w:rPr>
          <w:rFonts w:ascii="Arial;Helvetica;sans-serif" w:hAnsi="Arial;Helvetica;sans-serif"/>
          <w:sz w:val="20"/>
        </w:rPr>
        <w:t>million in cash and (ii) up to an additional $7</w:t>
      </w:r>
      <w:r>
        <w:rPr>
          <w:rFonts w:ascii="Times New Roman;Times;serif" w:hAnsi="Times New Roman;Times;serif"/>
          <w:sz w:val="20"/>
        </w:rPr>
        <w:t xml:space="preserve"> </w:t>
      </w:r>
      <w:r>
        <w:rPr>
          <w:rFonts w:ascii="Arial;Helvetica;sans-serif" w:hAnsi="Arial;Helvetica;sans-serif"/>
          <w:sz w:val="20"/>
        </w:rPr>
        <w:t>million, consisting of (a) 25%</w:t>
      </w:r>
      <w:r>
        <w:rPr>
          <w:rFonts w:ascii="Times New Roman;Times;serif" w:hAnsi="Times New Roman;Times;serif"/>
          <w:sz w:val="20"/>
        </w:rPr>
        <w:t xml:space="preserve"> </w:t>
      </w:r>
      <w:r>
        <w:rPr>
          <w:rFonts w:ascii="Arial;Helvetica;sans-serif" w:hAnsi="Arial;Helvetica;sans-serif"/>
          <w:sz w:val="20"/>
        </w:rPr>
        <w:t>of all net litigation proceeds received by the Company on Retained Causes of Action (if any); and (b) the lesser of (x) 16%</w:t>
      </w:r>
      <w:r>
        <w:rPr>
          <w:rFonts w:ascii="Times New Roman;Times;serif" w:hAnsi="Times New Roman;Times;serif"/>
          <w:sz w:val="20"/>
        </w:rPr>
        <w:t xml:space="preserve"> </w:t>
      </w:r>
      <w:r>
        <w:rPr>
          <w:rFonts w:ascii="Arial;Helvetica;sans-serif" w:hAnsi="Arial;Helvetica;sans-serif"/>
          <w:sz w:val="20"/>
        </w:rPr>
        <w:t>of any distribution made by the Company on account of Foxconn’s preferred stock liquidation preference, and (y) $5</w:t>
      </w:r>
      <w:r>
        <w:rPr>
          <w:rFonts w:ascii="Times New Roman;Times;serif" w:hAnsi="Times New Roman;Times;serif"/>
          <w:sz w:val="20"/>
        </w:rPr>
        <w:t xml:space="preserve"> </w:t>
      </w:r>
      <w:r>
        <w:rPr>
          <w:rFonts w:ascii="Arial;Helvetica;sans-serif" w:hAnsi="Arial;Helvetica;sans-serif"/>
          <w:sz w:val="20"/>
        </w:rPr>
        <w:t xml:space="preserve">million, on behalf of the Ohio Settlement Class (as defined in the Plan). </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i/>
          <w:sz w:val="20"/>
        </w:rPr>
        <w:t>Derivative Litigation</w:t>
      </w:r>
      <w:r>
        <w:rPr>
          <w:rFonts w:ascii="Times New Roman;Times;serif" w:hAnsi="Times New Roman;Times;serif"/>
          <w:color w:val="231F20"/>
          <w:sz w:val="20"/>
        </w:rPr>
        <w:t xml:space="preserve"> </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Four</w:t>
      </w:r>
      <w:r>
        <w:rPr>
          <w:rFonts w:ascii="Times New Roman;Times;serif" w:hAnsi="Times New Roman;Times;serif"/>
          <w:sz w:val="20"/>
        </w:rPr>
        <w:t xml:space="preserve"> </w:t>
      </w:r>
      <w:r>
        <w:rPr>
          <w:rFonts w:ascii="Arial;Helvetica;sans-serif" w:hAnsi="Arial;Helvetica;sans-serif"/>
          <w:sz w:val="20"/>
        </w:rPr>
        <w:t>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Kelley, et al. v. Burns, et al.; Patterson, et al. v. Burns, et al.; and Sarabia v. Burns, et al.).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2023, the court granted in part defendants’ motion to stay, staying the action until the resolution of the motion to dismiss in the consolidated securities class action, but requiring the parties to submit a status report if the motion to dismiss was not resolved by March 3, 2023.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March 3, 2023.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The court entered an order acknowledging the effect of the automatic stay on June 28, 2023.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Another related stockholder derivative lawsuit was filed in U.S. District Court for the Northern District of Ohio on June 30, 2021 (Thai v. Burns, et al.),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derivative lawsuit was filed in the Delaware Court of Chancery on February 18, 2023 (Jackson v. Burns, et al. (C.A. No. 2023-0164)), also asserting breach of fiduciary duties, unjust enrichment, and insider selling, based on similar facts as the federal derivative actions. On April 19, 2023,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2023, the court granted the parties’ proposed stipulation and order to consolidate the actions, and to stay the consolidated action pending the resolution of the motion to dismiss in the consolidated securities class action. While the action remains stayed, on June 24, 2023,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i/>
          <w:sz w:val="20"/>
        </w:rPr>
        <w:t>DiamondPeak Delaware Class Action Litigation</w:t>
      </w:r>
      <w:r>
        <w:rPr>
          <w:rFonts w:ascii="Times New Roman;Times;serif" w:hAnsi="Times New Roman;Times;serif"/>
          <w:color w:val="231F20"/>
          <w:sz w:val="20"/>
        </w:rPr>
        <w:t xml:space="preserve"> </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Two</w:t>
      </w:r>
      <w:r>
        <w:rPr>
          <w:rFonts w:ascii="Times New Roman;Times;serif" w:hAnsi="Times New Roman;Times;serif"/>
          <w:sz w:val="20"/>
        </w:rPr>
        <w:t xml:space="preserve"> </w:t>
      </w:r>
      <w:r>
        <w:rPr>
          <w:rFonts w:ascii="Arial;Helvetica;sans-serif" w:hAnsi="Arial;Helvetica;sans-serif"/>
          <w:sz w:val="20"/>
        </w:rPr>
        <w:t>putative class action lawsuits were filed against former DiamondPeak directors and DiamondPeak Sponsor LLC on December 8 and 13, 2021 in the Delaware Court of Chancery (</w:t>
      </w:r>
      <w:r>
        <w:rPr>
          <w:rFonts w:ascii="Arial;Helvetica;sans-serif" w:hAnsi="Arial;Helvetica;sans-serif"/>
          <w:i/>
          <w:sz w:val="20"/>
        </w:rPr>
        <w:t>Hebert v. Hamamoto, et al.</w:t>
      </w:r>
      <w:r>
        <w:rPr>
          <w:rFonts w:ascii="Times New Roman;Times;serif" w:hAnsi="Times New Roman;Times;serif"/>
          <w:sz w:val="20"/>
        </w:rPr>
        <w:t xml:space="preserve"> </w:t>
      </w:r>
      <w:r>
        <w:rPr>
          <w:rFonts w:ascii="Arial;Helvetica;sans-serif" w:hAnsi="Arial;Helvetica;sans-serif"/>
          <w:sz w:val="20"/>
        </w:rPr>
        <w:t xml:space="preserve">(C.A. No. 2021-1066); and </w:t>
      </w:r>
      <w:r>
        <w:rPr>
          <w:rFonts w:ascii="Arial;Helvetica;sans-serif" w:hAnsi="Arial;Helvetica;sans-serif"/>
          <w:i/>
          <w:sz w:val="20"/>
        </w:rPr>
        <w:t>Amin v Hamamoto, et al.</w:t>
      </w:r>
      <w:r>
        <w:rPr>
          <w:rFonts w:ascii="Times New Roman;Times;serif" w:hAnsi="Times New Roman;Times;serif"/>
          <w:sz w:val="20"/>
        </w:rPr>
        <w:t xml:space="preserve"> </w:t>
      </w:r>
      <w:r>
        <w:rPr>
          <w:rFonts w:ascii="Arial;Helvetica;sans-serif" w:hAnsi="Arial;Helvetica;sans-serif"/>
          <w:sz w:val="20"/>
        </w:rPr>
        <w:t>(C.A. No. 2021-1085)) (collectively, the “Delaware Class Action Litigation”).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2023,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2023 and the court held oral argument on February 28, 2023. On March 7, 2023, the court denied the motion to stay. On March 10, 2023, defendants filed their brief in support of their motion to dismiss. The motion to dismiss was fully briefed on April 27, 2023, and was scheduled for oral argument on May 10, 2023. On May 6, 2023, defendants withdrew the motion to dismiss without prejudice. On July 22, 2023, co-lead plaintiffs filed an amended class action complaint asserting similar claims. Defendants filed a motion to dismiss the amended class action complaint on October 14, 2023. Plaintiffs’ answering brief and Defendants’ reply brief were due on November 18 and December 9, 2023,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Arial;Helvetica;sans-serif" w:hAnsi="Arial;Helvetica;sans-serif"/>
          <w:i/>
          <w:sz w:val="20"/>
        </w:rPr>
        <w:t>Lordstown Motors Corp. v. Amin</w:t>
      </w:r>
      <w:r>
        <w:rPr>
          <w:rFonts w:ascii="Arial;Helvetica;sans-serif" w:hAnsi="Arial;Helvetica;sans-serif"/>
          <w:sz w:val="20"/>
        </w:rPr>
        <w:t>, Adv. Proc. No. 23-50428 (Bankr. D. Del.) and (ii) a motion</w:t>
      </w:r>
      <w:r>
        <w:rPr>
          <w:rFonts w:ascii="Times New Roman;Times;serif" w:hAnsi="Times New Roman;Times;serif"/>
          <w:sz w:val="20"/>
        </w:rPr>
        <w:t xml:space="preserve"> </w:t>
      </w:r>
      <w:r>
        <w:rPr>
          <w:rFonts w:ascii="Arial;Helvetica;sans-serif" w:hAnsi="Arial;Helvetica;sans-serif"/>
          <w:sz w:val="20"/>
        </w:rPr>
        <w:t xml:space="preserve">and brief in support thereof, seeking a 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The parties have advised the Company that they have reached an agreement to resolve this matter, and the former DiamondPeak directors are seeking indemnification from the Company with respect to a portion of the settlement amount. The Company believes it has defenses to such indemnification claims, including that such indemnification claims are subject to subordination pursuant to applicable law, and, if allowed, should receive the treatment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set forth in Article III B.8 of the Plan. The proceedings remain subject to uncertainties inherent in the litigation process.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SEC Claim</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The Company received two</w:t>
      </w:r>
      <w:r>
        <w:rPr>
          <w:rFonts w:ascii="Times New Roman;Times;serif" w:hAnsi="Times New Roman;Times;serif"/>
          <w:sz w:val="20"/>
        </w:rPr>
        <w:t xml:space="preserve"> </w:t>
      </w:r>
      <w:r>
        <w:rPr>
          <w:rFonts w:ascii="Arial;Helvetica;sans-serif" w:hAnsi="Arial;Helvetica;sans-serif"/>
          <w:sz w:val="20"/>
        </w:rPr>
        <w:t>subpoenas from the SEC for the production of documents and information, including relating to the merger between DiamondPeak and Legacy Lordstown and pre-orders of vehicles, and the Company was informed by the U.S. Attorney’s Office for the Southern District of New York that it is investigating these matters. The Company cooperated, and will continue to cooperate, with these and any other regulatory or governmental investigations and inquiries. Ultimately, the SEC filed a claim against the Company for $45.0</w:t>
      </w:r>
      <w:r>
        <w:rPr>
          <w:rFonts w:ascii="Times New Roman;Times;serif" w:hAnsi="Times New Roman;Times;serif"/>
          <w:sz w:val="20"/>
        </w:rPr>
        <w:t xml:space="preserve"> </w:t>
      </w:r>
      <w:r>
        <w:rPr>
          <w:rFonts w:ascii="Arial;Helvetica;sans-serif" w:hAnsi="Arial;Helvetica;sans-serif"/>
          <w:sz w:val="20"/>
        </w:rPr>
        <w:t>million (the “SEC Claim”). The Company settled the SEC Claim by (i) settling the Ohio Securities Class Action and (ii) making an offer of settlement to the SEC, which was approved by the SEC on February 29, 2024. Upon the Company’s emergence from bankruptcy, the SEC Claim was deemed withdrawn pursuant to the terms of the offer of settlement and the Plan. See the section in this Note 8 titled “Ohio Securities Class Action” for additional information regarding the Company’s continuing contingent obligations related to the Ohio Securities Class Action settlement. No amounts attributable to the Company’s settlement of the SEC Claim were paid or are payable to the SEC.</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i/>
          <w:sz w:val="20"/>
        </w:rPr>
        <w:t>Indemnification Obligations</w:t>
      </w:r>
      <w:r>
        <w:rPr>
          <w:rFonts w:ascii="Times New Roman;Times;serif" w:hAnsi="Times New Roman;Times;serif"/>
          <w:color w:val="231F20"/>
          <w:sz w:val="20"/>
        </w:rPr>
        <w:t xml:space="preserve"> </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may have potential indemnification obligations with respect to the current and former directors named in the above-referenced actions, which obligations may be significant and may not be covered by the Company’s applicable directors and officers insurance. The Company believes it has defenses to certain of these potential indemnification obligations, including that such claims for indemnification are subject to subordination pursuant to applicable law, and, if allowed, should receive the treatment set forth in Article III.B.8 of the Plan.</w:t>
      </w:r>
    </w:p>
    <w:p>
      <w:pPr>
        <w:pStyle w:val="TextBody"/>
        <w:bidi w:val="0"/>
        <w:spacing w:before="288" w:after="288"/>
        <w:ind w:left="14" w:right="14" w:hanging="0"/>
        <w:jc w:val="left"/>
        <w:rPr>
          <w:rFonts w:ascii="Arial;Helvetica;sans-serif" w:hAnsi="Arial;Helvetica;sans-serif"/>
          <w:i/>
          <w:sz w:val="20"/>
        </w:rPr>
      </w:pPr>
      <w:r>
        <w:rPr>
          <w:rFonts w:ascii="Arial;Helvetica;sans-serif" w:hAnsi="Arial;Helvetica;sans-serif"/>
          <w:i/>
          <w:sz w:val="20"/>
        </w:rPr>
        <w:t>Foxconn Transactions</w:t>
      </w:r>
    </w:p>
    <w:p>
      <w:pPr>
        <w:pStyle w:val="TextBody"/>
        <w:bidi w:val="0"/>
        <w:spacing w:before="288" w:after="288"/>
        <w:ind w:left="14" w:right="14" w:hanging="0"/>
        <w:jc w:val="left"/>
        <w:rPr>
          <w:rFonts w:ascii="Arial;Helvetica;sans-serif" w:hAnsi="Arial;Helvetica;sans-serif"/>
          <w:sz w:val="20"/>
        </w:rPr>
      </w:pPr>
      <w:r>
        <w:rPr>
          <w:rFonts w:ascii="Arial;Helvetica;sans-serif" w:hAnsi="Arial;Helvetica;sans-serif"/>
          <w:sz w:val="20"/>
        </w:rPr>
        <w:t>We entered into a series of transactions with affiliates of Foxconn, beginning with the Agreement in Principle that was announced on September 30, 2021, pursuant to which we entered into definitive agreements to sell our manufacturing facility in Lordstown, Ohio under an asset purchase agreement (the “Foxconn APA”) and outsource manufacturing of the Endurance to Foxconn under a contract manufacturing agreement (the “CMA”). On November 7, 2022, we entered into an investment agreement with Foxconn under which Foxconn agreed to make additional equity investments in us (the “Investment Agreement”). The Investment Agreement superseded and replaced an earlier joint venture agreement. The Foxconn APA, the CMA and the Investment Agreement together are herein referred to as the “Foxconn Transactions.”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On June 27, 2023, we commenced the Foxconn Litigation in the Bankruptcy Court seeking relief for breaches of the Investment Agreement, the Foxconn APA and the CMA and fraudulent and tortious actions that the Company believes were committed by Foxconn. See the following section and Note 1 – Description of Business – Foxconn Litigation for additional information. The Investment Agreement and the CMA were rejected pursuant to the Plan upon the Company’s emergence from bankruptcy. The Foxconn APA transaction was consummated before the Chapter 11 Cases.</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Foxconn Litigation</w:t>
      </w:r>
      <w:r>
        <w:rPr>
          <w:rFonts w:ascii="Times New Roman;Times;serif" w:hAnsi="Times New Roman;Times;serif"/>
          <w:color w:val="231F20"/>
          <w:sz w:val="20"/>
        </w:rPr>
        <w:t xml:space="preserve"> </w:t>
      </w:r>
    </w:p>
    <w:p>
      <w:pPr>
        <w:pStyle w:val="TextBody"/>
        <w:bidi w:val="0"/>
        <w:spacing w:before="288" w:after="288"/>
        <w:ind w:left="14" w:right="14" w:hanging="0"/>
        <w:jc w:val="left"/>
        <w:rPr>
          <w:rFonts w:ascii="Arial;Helvetica;sans-serif" w:hAnsi="Arial;Helvetica;sans-serif"/>
          <w:sz w:val="20"/>
        </w:rPr>
      </w:pPr>
      <w:r>
        <w:rPr>
          <w:rFonts w:ascii="Arial;Helvetica;sans-serif" w:hAnsi="Arial;Helvetica;sans-serif"/>
          <w:sz w:val="20"/>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 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88"/>
        <w:ind w:left="14" w:right="14" w:hanging="0"/>
        <w:jc w:val="left"/>
        <w:rPr>
          <w:rFonts w:ascii="Arial;Helvetica;sans-serif" w:hAnsi="Arial;Helvetica;sans-serif"/>
          <w:sz w:val="20"/>
        </w:rPr>
      </w:pPr>
      <w:r>
        <w:rPr>
          <w:rFonts w:ascii="Arial;Helvetica;sans-serif" w:hAnsi="Arial;Helvetica;sans-serif"/>
          <w:sz w:val="20"/>
        </w:rPr>
        <w:t>The Debtors believe that the Foxconn Adversary Motion to Dismiss is without merit and, on November 6, 2023, the Company filed an opposition to Foxconn’s Adversary Motion to Dismiss. The Company intends to continue to vigorously oppose that motion and pursue its claims against Foxconn.</w:t>
      </w:r>
    </w:p>
    <w:p>
      <w:pPr>
        <w:pStyle w:val="TextBody"/>
        <w:bidi w:val="0"/>
        <w:spacing w:before="288" w:after="288"/>
        <w:ind w:left="14" w:right="14" w:hanging="0"/>
        <w:jc w:val="left"/>
        <w:rPr>
          <w:rFonts w:ascii="Arial;Helvetica;sans-serif" w:hAnsi="Arial;Helvetica;sans-serif"/>
          <w:sz w:val="20"/>
        </w:rPr>
      </w:pPr>
      <w:r>
        <w:rPr>
          <w:rFonts w:ascii="Arial;Helvetica;sans-serif" w:hAnsi="Arial;Helvetica;sans-serif"/>
          <w:sz w:val="20"/>
        </w:rPr>
        <w:t>Foxconn filed a reply in support of the Foxconn Adversary Motion to Dismiss on November 30, 2023. To date, the Bankruptcy Court has not ruled on the Foxconn Adversary Motion to Dismiss.</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The Post-Petition Securities Action</w:t>
      </w:r>
      <w:r>
        <w:rPr>
          <w:rFonts w:ascii="Times New Roman;Times;serif" w:hAnsi="Times New Roman;Times;serif"/>
          <w:color w:val="231F20"/>
          <w:sz w:val="20"/>
        </w:rPr>
        <w:t xml:space="preserve"> </w:t>
      </w:r>
    </w:p>
    <w:p>
      <w:pPr>
        <w:pStyle w:val="TextBody"/>
        <w:bidi w:val="0"/>
        <w:spacing w:before="288" w:after="288"/>
        <w:ind w:left="14" w:right="14" w:hanging="0"/>
        <w:jc w:val="left"/>
        <w:rPr>
          <w:rFonts w:ascii="Arial;Helvetica;sans-serif" w:hAnsi="Arial;Helvetica;sans-serif"/>
          <w:sz w:val="20"/>
        </w:rPr>
      </w:pPr>
      <w:r>
        <w:rPr>
          <w:rFonts w:ascii="Arial;Helvetica;sans-serif" w:hAnsi="Arial;Helvetica;sans-serif"/>
          <w:sz w:val="20"/>
        </w:rPr>
        <w:t xml:space="preserve">On July 26, 2023, a putative class action lawsuit was filed in the U.S. District Court for the Northern District of Ohio by Bandol Lim (“Plaintiff Lim”), individually and on behalf of other stockholders asserting violations of Section 10(b), Section 20(a) of the Exchange Act and Rule 10b-5 thereunder relating to the Company’s disclosure regarding its relationship with Foxconn and the Foxconn Transactions (the “Post-Petition Securities Action”). The lawsuit names Edward Hightower, Adam Kroll, and Daniel Ninivaggi as Defendants (“Defendants”) in their capacities as Company officers and/or directors. Defendants dispute the allegations and intend to vigorously defend against the suit. None of the Debtors is named as a Defendant in the Post-Petition Securities Action. Plaintiff Lim and RIDE Investor Group have each filed motions for appointment as lead plaintiff in the Post-Petition Securities Action and those motions remain pending as of the date of this filing.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Debtors dispute, each of the RIDE Proofs of Claim, and further dispute that the members of the Ride Investment Group had authority to file proofs of claim on behalf of the putative class in the Post-Petition Securities Action. Messrs. Hightower, Kroll, and Ninivaggi contend that they are both insureds under the directors’ and officers’ insurance policies of the Debtors that are currently in effect and have been granted relief from the automatic stay with respect to the Company to seek advancement and payment of expenses relating to the Post-Petition Securities Action under such policies. The Plan constituted an objection to each of the RIDE Proofs of Claim. To the extent any of the RIDE Claims are Allowed, the Plan provides for the treatment of Claims filed against the Debtors on the same or similar basis as those set forth in the Post-Petition Securities Action to limit recoveries (if any) from the Debtors on account of such Claims to available insurance. The Debtors dispute the merits of any such claims. </w:t>
      </w:r>
    </w:p>
    <w:p>
      <w:pPr>
        <w:pStyle w:val="TextBody"/>
        <w:bidi w:val="0"/>
        <w:spacing w:before="288" w:after="288"/>
        <w:ind w:left="14" w:right="14" w:hanging="0"/>
        <w:jc w:val="left"/>
        <w:rPr>
          <w:rFonts w:ascii="Times New Roman;Times;serif" w:hAnsi="Times New Roman;Times;serif"/>
          <w:sz w:val="20"/>
        </w:rPr>
      </w:pPr>
      <w:r>
        <w:rPr>
          <w:rFonts w:ascii="Arial;Helvetica;sans-serif" w:hAnsi="Arial;Helvetica;sans-serif"/>
          <w:i/>
          <w:sz w:val="20"/>
        </w:rPr>
        <w:t>NHTSA Matters</w:t>
      </w:r>
      <w:r>
        <w:rPr>
          <w:rFonts w:ascii="Times New Roman;Times;serif" w:hAnsi="Times New Roman;Times;serif"/>
          <w:color w:val="231F20"/>
          <w:sz w:val="20"/>
        </w:rPr>
        <w:t xml:space="preserve"> </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The Company’s obligations under the Safety Act administered by NHTSA for the vehicles it has manufactured and sold continued in force during the pendency of and following the Chapter 11 Cases. During the Chapter 11 Cases, the Company’s obligations were treated as a claim of the United States government against the Company. The Plan did not discharge the Company from claims arising after emergence from bankruptcy, nor did it preclude or enjoin the enforcement of any police or regulatory power. The Company sought to repurchase all vehicles that remain in the possession of our customers (other than LAS Capital or its affiliates); however, it repurchased 35</w:t>
      </w:r>
      <w:r>
        <w:rPr>
          <w:rFonts w:ascii="Times New Roman;Times;serif" w:hAnsi="Times New Roman;Times;serif"/>
          <w:sz w:val="20"/>
        </w:rPr>
        <w:t xml:space="preserve"> </w:t>
      </w:r>
      <w:r>
        <w:rPr>
          <w:rFonts w:ascii="Arial;Helvetica;sans-serif" w:hAnsi="Arial;Helvetica;sans-serif"/>
          <w:sz w:val="20"/>
        </w:rPr>
        <w:t>vehicles, with 3</w:t>
      </w:r>
      <w:r>
        <w:rPr>
          <w:rFonts w:ascii="Times New Roman;Times;serif" w:hAnsi="Times New Roman;Times;serif"/>
          <w:sz w:val="20"/>
        </w:rPr>
        <w:t xml:space="preserve"> </w:t>
      </w:r>
      <w:r>
        <w:rPr>
          <w:rFonts w:ascii="Arial;Helvetica;sans-serif" w:hAnsi="Arial;Helvetica;sans-serif"/>
          <w:sz w:val="20"/>
        </w:rPr>
        <w:t>vehicles still in use. Accordingly, we cannot predict the extent of the liability that may arise from the Safety Act obligations for vehicles the Company has already manufactured and sold, or any claims that may be asserted by NHTSA.</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NOTE 9 — RELATED PARTY TRANSACTIONS</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Under the Investment Agreement, Foxconn made additional equity investments in the Company, whereby it became a related party under the Company’s Related Party Transaction Policy as a 5%</w:t>
      </w:r>
      <w:r>
        <w:rPr>
          <w:rFonts w:ascii="Times New Roman;Times;serif" w:hAnsi="Times New Roman;Times;serif"/>
          <w:sz w:val="20"/>
        </w:rPr>
        <w:t xml:space="preserve"> </w:t>
      </w:r>
      <w:r>
        <w:rPr>
          <w:rFonts w:ascii="Arial;Helvetica;sans-serif" w:hAnsi="Arial;Helvetica;sans-serif"/>
          <w:sz w:val="20"/>
        </w:rPr>
        <w:t>or more beneficial owner of the Company’s Class A common stock. For the three months ended March 31, 2023, the Company paid Foxconn approximately $0.3</w:t>
      </w:r>
      <w:r>
        <w:rPr>
          <w:rFonts w:ascii="Times New Roman;Times;serif" w:hAnsi="Times New Roman;Times;serif"/>
          <w:sz w:val="20"/>
        </w:rPr>
        <w:t xml:space="preserve"> </w:t>
      </w:r>
      <w:r>
        <w:rPr>
          <w:rFonts w:ascii="Arial;Helvetica;sans-serif" w:hAnsi="Arial;Helvetica;sans-serif"/>
          <w:sz w:val="20"/>
        </w:rPr>
        <w:t>million primarily related to payments under the CMA and other manufacturing expenses. For the three months ended March 31, 2024, the Company made no</w:t>
      </w:r>
      <w:r>
        <w:rPr>
          <w:rFonts w:ascii="Times New Roman;Times;serif" w:hAnsi="Times New Roman;Times;serif"/>
          <w:sz w:val="20"/>
        </w:rPr>
        <w:t xml:space="preserve"> </w:t>
      </w:r>
      <w:r>
        <w:rPr>
          <w:rFonts w:ascii="Arial;Helvetica;sans-serif" w:hAnsi="Arial;Helvetica;sans-serif"/>
          <w:sz w:val="20"/>
        </w:rPr>
        <w:t>payments, and had no</w:t>
      </w:r>
      <w:r>
        <w:rPr>
          <w:rFonts w:ascii="Times New Roman;Times;serif" w:hAnsi="Times New Roman;Times;serif"/>
          <w:sz w:val="20"/>
        </w:rPr>
        <w:t xml:space="preserve"> </w:t>
      </w:r>
      <w:r>
        <w:rPr>
          <w:rFonts w:ascii="Arial;Helvetica;sans-serif" w:hAnsi="Arial;Helvetica;sans-serif"/>
          <w:sz w:val="20"/>
        </w:rPr>
        <w:t>amounts payable, to Foxconn.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William Gallagher, the Company’s Chief Executive Officer, is a principal of M3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Mr. Gallagher has been, and will remain, employed by M3 Partners and will provide his services pursuant to the Engagement Agreement. Pursuant to the Engagement Agreement, M3 Partners’ fees are calculated on an hourly basis. The Company incurred approximately $0.1 million in fees payable to M3 Partners under the Engagement Agreement for the three months ended March 31, 2024. For the three months ended March 31, 2023, Mr. Gallagher was not a related party</w:t>
      </w:r>
    </w:p>
    <w:p>
      <w:pPr>
        <w:pStyle w:val="TextBody"/>
        <w:bidi w:val="0"/>
        <w:spacing w:before="0" w:after="200"/>
        <w:ind w:left="0" w:right="0" w:hanging="0"/>
        <w:jc w:val="left"/>
        <w:rPr>
          <w:rFonts w:ascii="Arial;Helvetica;sans-serif" w:hAnsi="Arial;Helvetica;sans-serif"/>
          <w:b/>
          <w:sz w:val="20"/>
        </w:rPr>
      </w:pPr>
      <w:bookmarkStart w:id="590" w:name="MANAGEMENTSDISCUSSIONANDANALYSISOFFINANC"/>
      <w:bookmarkStart w:id="591" w:name="_073ebccb_5579_4416_ae3f_c874fb591c5c"/>
      <w:bookmarkEnd w:id="590"/>
      <w:bookmarkEnd w:id="591"/>
      <w:r>
        <w:rPr>
          <w:rFonts w:ascii="Arial;Helvetica;sans-serif" w:hAnsi="Arial;Helvetica;sans-serif"/>
          <w:b/>
          <w:sz w:val="20"/>
        </w:rPr>
        <w:t>Item 2. MANAGEMENT’S DISCUSSION AND ANALYSIS OF FINANCIAL CONDITION AND RESULTS OF OPERATIONS</w:t>
      </w:r>
    </w:p>
    <w:p>
      <w:pPr>
        <w:pStyle w:val="TextBody"/>
        <w:bidi w:val="0"/>
        <w:spacing w:before="0" w:after="200"/>
        <w:ind w:left="0" w:right="0" w:hanging="0"/>
        <w:jc w:val="left"/>
        <w:rPr>
          <w:rFonts w:ascii="Arial;Helvetica;sans-serif" w:hAnsi="Arial;Helvetica;sans-serif"/>
          <w:i/>
          <w:sz w:val="20"/>
        </w:rPr>
      </w:pPr>
      <w:bookmarkStart w:id="592" w:name="_Hlk164775461"/>
      <w:bookmarkEnd w:id="592"/>
      <w:r>
        <w:rPr>
          <w:rFonts w:ascii="Arial;Helvetica;sans-serif" w:hAnsi="Arial;Helvetica;sans-serif"/>
          <w:i/>
          <w:sz w:val="20"/>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Item 1A. Risk Factors for a discussion of these risks and uncertainties, including without limitation, with respect to the Chapter 11 Cases, our emergence from bankruptcy and our liquidity, capital resources and financial condition.</w:t>
      </w:r>
    </w:p>
    <w:p>
      <w:pPr>
        <w:pStyle w:val="TextBody"/>
        <w:bidi w:val="0"/>
        <w:spacing w:before="0" w:after="200"/>
        <w:ind w:left="14" w:right="14" w:hanging="0"/>
        <w:jc w:val="left"/>
        <w:rPr>
          <w:rFonts w:ascii="Arial;Helvetica;sans-serif" w:hAnsi="Arial;Helvetica;sans-serif"/>
          <w:sz w:val="20"/>
        </w:rPr>
      </w:pPr>
      <w:r>
        <w:rPr>
          <w:rFonts w:ascii="Arial;Helvetica;sans-serif" w:hAnsi="Arial;Helvetica;sans-serif"/>
          <w:sz w:val="20"/>
        </w:rPr>
        <w:t>As we’ve previously disclosed, (i) on June 27, 2023, Lordstown Motors Corp. and its subsidiaries commenced voluntary proceedings under chapter 11 (the “Chapter 11 Cases”) of the U.S. Bankruptcy Code in the U.S. Bankruptcy Court for the District of Delaware (the “Bankruptcy Court”); (ii) on September 1, 2023, we filed with the Bankruptcy Court a plan of reorganization and related disclosure statement, which were amended and modified on each of October 24, 2023, October 29, 2023, and October 30, 2023 (as amended, the “Proposed Plan”); (iii) on November 1, 2023, the Bankruptcy Court entered the Disclosure Statement Order and, thereafter, we solicited votes from their creditors and shareholders for approval of the Proposed Plan; (iv) on January 31, 2024, we filed the as-approved Proposed Plan with the Bankruptcy Court; and (v) on March 5, 2024, the Bankruptcy Court entered a confirmation order confirming the Proposed Plan (as confirmed, the “Plan”). Following the entry of the confirmation order and all conditions to effectiveness of the Plan being satisfied, we emerged from bankruptcy on March 14, 2024 under the name “Nu Ride Inc.”</w:t>
      </w:r>
    </w:p>
    <w:p>
      <w:pPr>
        <w:pStyle w:val="TextBody"/>
        <w:bidi w:val="0"/>
        <w:spacing w:before="0" w:after="200"/>
        <w:ind w:left="14" w:right="14" w:hanging="0"/>
        <w:jc w:val="left"/>
        <w:rPr>
          <w:rFonts w:ascii="Arial;Helvetica;sans-serif" w:hAnsi="Arial;Helvetica;sans-serif"/>
          <w:sz w:val="20"/>
        </w:rPr>
      </w:pPr>
      <w:r>
        <w:rPr>
          <w:rFonts w:ascii="Arial;Helvetica;sans-serif" w:hAnsi="Arial;Helvetica;sans-serif"/>
          <w:sz w:val="20"/>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In addition, the deadline for parties to file proofs of claim arising from the Debtors’ rejection of an executory contract or unexpired lease is the later of (a) the general bar date or the governmental bar date, as applicable, and (b) 5:00 p.m. (ET) on the date that is 30 days after the service of an order of the Bankruptcy Court authorizing the Debtors’ rejection of the applicable executory contract or unexpired lease. Finally, the deadline for parties to file administrative claims against the Debtors was April 15, 2024. Claimants may have the ability to amend their proofs of claim that could significantly increase the total claims, beyond our estimates or reserve. Furthermore, proofs of claim have been filed asserting unliquidated damages or claims in respect of certain indemnifications or otherwise, that we may not be able to estimate, or may be materially more than we estimate.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Upon emergence:</w:t>
      </w:r>
      <w:r>
        <w:rPr>
          <w:rFonts w:ascii="Times New Roman;Times;serif" w:hAnsi="Times New Roman;Times;serif"/>
          <w:sz w:val="20"/>
        </w:rPr>
        <w:t xml:space="preserve"> </w:t>
      </w:r>
      <w:r>
        <w:rPr>
          <w:rFonts w:ascii="Arial;Helvetica;sans-serif" w:hAnsi="Arial;Helvetica;sans-serif"/>
          <w:sz w:val="20"/>
        </w:rPr>
        <w:t>(i) the Foxconn Litigation and other retained causes of action of the Company were preserved and may be prosecuted; (ii) claims filed in the bankruptcy will continue to be resolved pursuant to the claims resolution process with allowed claims being treated in accordance with the Plan; (iii) distributions to holders of allowed claims and allowed Interests will be made subject to the provisions of the Plan of Reorganization, and (iv) we will continue to conduct business and may enter into transactions, including business combinations, or otherwise, that could permit the Company to create value, including through use of the NOLs.</w:t>
      </w:r>
    </w:p>
    <w:p>
      <w:pPr>
        <w:pStyle w:val="TextBody"/>
        <w:bidi w:val="0"/>
        <w:spacing w:lineRule="auto" w:line="302" w:before="0" w:after="200"/>
        <w:ind w:left="0" w:right="0" w:hanging="0"/>
        <w:jc w:val="left"/>
        <w:rPr>
          <w:rFonts w:ascii="Arial;Helvetica;sans-serif" w:hAnsi="Arial;Helvetica;sans-serif"/>
          <w:sz w:val="20"/>
        </w:rPr>
      </w:pPr>
      <w:r>
        <w:rPr>
          <w:rFonts w:ascii="Arial;Helvetica;sans-serif" w:hAnsi="Arial;Helvetica;sans-serif"/>
          <w:sz w:val="20"/>
        </w:rPr>
        <w:t>Upon emergence, a new Board of Directors was appointed pursuant to the Plan and all remaining full-time employees, including the Company’s pre-emergence executive officers, were terminated. The Board of Directors oversees and directs the administration of the Company’s operations, in accordance with the Plan. Some of those employees continue to provide services to the Company as consultants. Our Chief Executive Officer, who is the sole executive officer, was elected by the new Board of Directors in accordance with the Plan, as of the date we emerged from bankruptcy.</w:t>
      </w:r>
    </w:p>
    <w:p>
      <w:pPr>
        <w:pStyle w:val="TextBody"/>
        <w:bidi w:val="0"/>
        <w:spacing w:lineRule="auto" w:line="302" w:before="0" w:after="200"/>
        <w:ind w:left="0" w:right="0" w:hanging="0"/>
        <w:jc w:val="left"/>
        <w:rPr>
          <w:rFonts w:ascii="Arial;Helvetica;sans-serif" w:hAnsi="Arial;Helvetica;sans-serif"/>
          <w:sz w:val="20"/>
        </w:rPr>
      </w:pPr>
      <w:r>
        <w:rPr>
          <w:rFonts w:ascii="Arial;Helvetica;sans-serif" w:hAnsi="Arial;Helvetica;sans-serif"/>
          <w:sz w:val="20"/>
        </w:rPr>
        <w:t>Our primary operations during the quarter ended March 31, 2024 and to date in the second quarter of 2024 have consisted of actions and related expenditures associated with completing the Chapter 11 Cases and emerging from bankruptcy, resolving substantial litigation, claims reconciliation and financial reporting. Our assets consist of cash, cash equivalents and restricted cash. Additional potential assets, such as the Foxconn Litigation claims, claims the Company may have against other parties, and NOLs, are not reflected in the financial statements.</w:t>
      </w:r>
    </w:p>
    <w:p>
      <w:pPr>
        <w:pStyle w:val="TextBody"/>
        <w:bidi w:val="0"/>
        <w:spacing w:lineRule="auto" w:line="302" w:before="0" w:after="200"/>
        <w:ind w:left="0" w:right="0" w:hanging="0"/>
        <w:jc w:val="left"/>
        <w:rPr>
          <w:rFonts w:ascii="Arial;Helvetica;sans-serif" w:hAnsi="Arial;Helvetica;sans-serif"/>
          <w:sz w:val="20"/>
        </w:rPr>
      </w:pPr>
      <w:r>
        <w:rPr>
          <w:rFonts w:ascii="Arial;Helvetica;sans-serif" w:hAnsi="Arial;Helvetica;sans-serif"/>
          <w:sz w:val="20"/>
        </w:rPr>
        <w:t>In light of our emergence from bankruptcy, which occurred 17 days prior to the end of the fiscal quarter covered by this report, our results for the quarter ended March 31, 2024, reflect the accounting assumptions and treatment caused by the Chapter 11 Cases and the Plan and may not be representative of our operations and results going forward. See Part I – Item 1A. Risk Factors for further discussion of the risks associated with our emergence from bankruptcy, our liquidity, capital resources and financial condition, and the use of estimates and resulting uncertainty in establishing our presented financial results, among other risks.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Results of Operations for the three months ended March 31, 2024 and 2023</w:t>
      </w:r>
    </w:p>
    <w:tbl>
      <w:tblPr>
        <w:tblW w:w="9912" w:type="dxa"/>
        <w:jc w:val="left"/>
        <w:tblInd w:w="0" w:type="dxa"/>
        <w:tblLayout w:type="fixed"/>
        <w:tblCellMar>
          <w:top w:w="0" w:type="dxa"/>
          <w:left w:w="0" w:type="dxa"/>
          <w:bottom w:w="0" w:type="dxa"/>
          <w:right w:w="0" w:type="dxa"/>
        </w:tblCellMar>
      </w:tblPr>
      <w:tblGrid>
        <w:gridCol w:w="5941"/>
        <w:gridCol w:w="414"/>
        <w:gridCol w:w="1386"/>
        <w:gridCol w:w="326"/>
        <w:gridCol w:w="332"/>
        <w:gridCol w:w="1513"/>
      </w:tblGrid>
      <w:tr>
        <w:trPr/>
        <w:tc>
          <w:tcPr>
            <w:tcW w:w="5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772535" cy="175260"/>
                      <wp:effectExtent l="0" t="0" r="0" b="0"/>
                      <wp:wrapNone/>
                      <wp:docPr id="87" name="Frame87"/>
                      <a:graphic xmlns:a="http://schemas.openxmlformats.org/drawingml/2006/main">
                        <a:graphicData uri="http://schemas.microsoft.com/office/word/2010/wordprocessingShape">
                          <wps:wsp>
                            <wps:cNvSpPr txBox="1"/>
                            <wps:spPr>
                              <a:xfrm>
                                <a:off x="0" y="0"/>
                                <a:ext cx="377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62890" cy="175260"/>
                      <wp:effectExtent l="0" t="0" r="0" b="0"/>
                      <wp:wrapNone/>
                      <wp:docPr id="88" name="Frame88"/>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80110" cy="175260"/>
                      <wp:effectExtent l="0" t="0" r="0" b="0"/>
                      <wp:wrapNone/>
                      <wp:docPr id="89" name="Frame89"/>
                      <a:graphic xmlns:a="http://schemas.openxmlformats.org/drawingml/2006/main">
                        <a:graphicData uri="http://schemas.microsoft.com/office/word/2010/wordprocessingShape">
                          <wps:wsp>
                            <wps:cNvSpPr txBox="1"/>
                            <wps:spPr>
                              <a:xfrm>
                                <a:off x="0" y="0"/>
                                <a:ext cx="88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0820" cy="175260"/>
                      <wp:effectExtent l="0" t="0" r="0" b="0"/>
                      <wp:wrapNone/>
                      <wp:docPr id="91" name="Frame91"/>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960755" cy="175260"/>
                      <wp:effectExtent l="0" t="0" r="0" b="0"/>
                      <wp:wrapNone/>
                      <wp:docPr id="92" name="Frame92"/>
                      <a:graphic xmlns:a="http://schemas.openxmlformats.org/drawingml/2006/main">
                        <a:graphicData uri="http://schemas.microsoft.com/office/word/2010/wordprocessingShape">
                          <wps:wsp>
                            <wps:cNvSpPr txBox="1"/>
                            <wps:spPr>
                              <a:xfrm>
                                <a:off x="0" y="0"/>
                                <a:ext cx="960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41" w:type="dxa"/>
            <w:tcBorders/>
            <w:vAlign w:val="center"/>
          </w:tcPr>
          <w:p>
            <w:pPr>
              <w:pStyle w:val="TableContents"/>
              <w:bidi w:val="0"/>
              <w:spacing w:before="0" w:after="0"/>
              <w:ind w:left="0" w:right="0" w:hanging="0"/>
              <w:jc w:val="left"/>
              <w:rPr/>
            </w:pPr>
            <w:r>
              <w:rPr/>
              <w:t>​</w:t>
            </w:r>
          </w:p>
        </w:tc>
        <w:tc>
          <w:tcPr>
            <w:tcW w:w="1800"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845"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5941" w:type="dxa"/>
            <w:tcBorders/>
            <w:vAlign w:val="center"/>
          </w:tcPr>
          <w:p>
            <w:pPr>
              <w:pStyle w:val="TableContents"/>
              <w:bidi w:val="0"/>
              <w:spacing w:before="0" w:after="0"/>
              <w:ind w:left="0" w:right="0" w:hanging="0"/>
              <w:jc w:val="left"/>
              <w:rPr/>
            </w:pPr>
            <w:r>
              <w:rPr/>
              <w:t>​</w:t>
            </w:r>
          </w:p>
        </w:tc>
        <w:tc>
          <w:tcPr>
            <w:tcW w:w="1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2024</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March 31, 2023</w:t>
            </w:r>
          </w:p>
        </w:tc>
      </w:tr>
      <w:tr>
        <w:trPr/>
        <w:tc>
          <w:tcPr>
            <w:tcW w:w="59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sales</w:t>
            </w:r>
          </w:p>
        </w:tc>
        <w:tc>
          <w:tcPr>
            <w:tcW w:w="414"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shd w:fill="CCEEFF" w:val="clear"/>
            <w:vAlign w:val="center"/>
          </w:tcPr>
          <w:p>
            <w:pPr>
              <w:pStyle w:val="TableContents"/>
              <w:bidi w:val="0"/>
              <w:spacing w:before="0" w:after="0"/>
              <w:ind w:left="0" w:right="0" w:hanging="0"/>
              <w:jc w:val="right"/>
              <w:rPr/>
            </w:pPr>
            <w:r>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w:t>
            </w:r>
          </w:p>
        </w:tc>
      </w:tr>
      <w:tr>
        <w:trPr/>
        <w:tc>
          <w:tcPr>
            <w:tcW w:w="59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w:t>
            </w:r>
          </w:p>
        </w:tc>
        <w:tc>
          <w:tcPr>
            <w:tcW w:w="414" w:type="dxa"/>
            <w:tcBorders/>
            <w:vAlign w:val="center"/>
          </w:tcPr>
          <w:p>
            <w:pPr>
              <w:pStyle w:val="TableContents"/>
              <w:bidi w:val="0"/>
              <w:spacing w:before="0" w:after="0"/>
              <w:ind w:left="0" w:right="0" w:hanging="0"/>
              <w:jc w:val="left"/>
              <w:rPr/>
            </w:pPr>
            <w:r>
              <w:rPr/>
              <w:t>​</w:t>
            </w:r>
          </w:p>
        </w:tc>
        <w:tc>
          <w:tcPr>
            <w:tcW w:w="1386" w:type="dxa"/>
            <w:tcBorders/>
            <w:vAlign w:val="center"/>
          </w:tcPr>
          <w:p>
            <w:pPr>
              <w:pStyle w:val="TableContents"/>
              <w:bidi w:val="0"/>
              <w:spacing w:before="0" w:after="0"/>
              <w:ind w:left="0" w:right="0" w:hanging="0"/>
              <w:jc w:val="right"/>
              <w:rPr/>
            </w:pPr>
            <w:r>
              <w:rPr/>
              <w:t xml:space="preserve">— </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5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30,811</w:t>
            </w:r>
          </w:p>
        </w:tc>
      </w:tr>
      <w:tr>
        <w:trPr/>
        <w:tc>
          <w:tcPr>
            <w:tcW w:w="59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414" w:type="dxa"/>
            <w:tcBorders/>
            <w:shd w:fill="CCEEFF" w:val="clear"/>
            <w:vAlign w:val="center"/>
          </w:tcPr>
          <w:p>
            <w:pPr>
              <w:pStyle w:val="TableContents"/>
              <w:bidi w:val="0"/>
              <w:spacing w:before="0" w:after="0"/>
              <w:ind w:left="0" w:right="0" w:hanging="0"/>
              <w:jc w:val="left"/>
              <w:rPr/>
            </w:pPr>
            <w:r>
              <w:rPr/>
              <w:t>​</w:t>
            </w:r>
          </w:p>
        </w:tc>
        <w:tc>
          <w:tcPr>
            <w:tcW w:w="13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1513" w:type="dxa"/>
            <w:tcBorders/>
            <w:shd w:fill="CCEEFF" w:val="clear"/>
            <w:vAlign w:val="center"/>
          </w:tcPr>
          <w:p>
            <w:pPr>
              <w:pStyle w:val="TableContents"/>
              <w:bidi w:val="0"/>
              <w:spacing w:before="0" w:after="0"/>
              <w:ind w:left="0" w:right="0" w:hanging="0"/>
              <w:jc w:val="right"/>
              <w:rPr/>
            </w:pPr>
            <w:r>
              <w:rPr/>
              <w:t>​</w:t>
            </w:r>
          </w:p>
        </w:tc>
      </w:tr>
      <w:tr>
        <w:trPr/>
        <w:tc>
          <w:tcPr>
            <w:tcW w:w="59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Selling, general and administrative expenses </w:t>
            </w:r>
          </w:p>
        </w:tc>
        <w:tc>
          <w:tcPr>
            <w:tcW w:w="414" w:type="dxa"/>
            <w:tcBorders/>
            <w:vAlign w:val="center"/>
          </w:tcPr>
          <w:p>
            <w:pPr>
              <w:pStyle w:val="TableContents"/>
              <w:bidi w:val="0"/>
              <w:spacing w:before="0" w:after="0"/>
              <w:ind w:left="0" w:right="0" w:hanging="0"/>
              <w:jc w:val="left"/>
              <w:rPr/>
            </w:pPr>
            <w:r>
              <w:rPr/>
              <w:t> </w:t>
            </w:r>
          </w:p>
        </w:tc>
        <w:tc>
          <w:tcPr>
            <w:tcW w:w="13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5,243</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5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14,687</w:t>
            </w:r>
          </w:p>
        </w:tc>
      </w:tr>
      <w:tr>
        <w:trPr/>
        <w:tc>
          <w:tcPr>
            <w:tcW w:w="59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 expenses</w:t>
            </w:r>
          </w:p>
        </w:tc>
        <w:tc>
          <w:tcPr>
            <w:tcW w:w="414" w:type="dxa"/>
            <w:tcBorders/>
            <w:shd w:fill="CCEEFF" w:val="clear"/>
            <w:vAlign w:val="center"/>
          </w:tcPr>
          <w:p>
            <w:pPr>
              <w:pStyle w:val="TableContents"/>
              <w:bidi w:val="0"/>
              <w:spacing w:before="0" w:after="0"/>
              <w:ind w:left="0" w:right="0" w:hanging="0"/>
              <w:jc w:val="left"/>
              <w:rPr/>
            </w:pPr>
            <w:r>
              <w:rPr/>
              <w:t> </w:t>
            </w:r>
          </w:p>
        </w:tc>
        <w:tc>
          <w:tcPr>
            <w:tcW w:w="1386" w:type="dxa"/>
            <w:tcBorders/>
            <w:shd w:fill="CCEEFF" w:val="clear"/>
            <w:vAlign w:val="center"/>
          </w:tcPr>
          <w:p>
            <w:pPr>
              <w:pStyle w:val="TableContents"/>
              <w:bidi w:val="0"/>
              <w:spacing w:before="0" w:after="0"/>
              <w:ind w:left="0" w:right="0" w:hanging="0"/>
              <w:jc w:val="right"/>
              <w:rPr/>
            </w:pPr>
            <w:r>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5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14,425</w:t>
            </w:r>
          </w:p>
        </w:tc>
      </w:tr>
      <w:tr>
        <w:trPr/>
        <w:tc>
          <w:tcPr>
            <w:tcW w:w="59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Reorganization items</w:t>
            </w:r>
          </w:p>
        </w:tc>
        <w:tc>
          <w:tcPr>
            <w:tcW w:w="414" w:type="dxa"/>
            <w:tcBorders/>
            <w:vAlign w:val="center"/>
          </w:tcPr>
          <w:p>
            <w:pPr>
              <w:pStyle w:val="TableContents"/>
              <w:bidi w:val="0"/>
              <w:spacing w:before="0" w:after="0"/>
              <w:ind w:left="0" w:right="0" w:hanging="0"/>
              <w:jc w:val="left"/>
              <w:rPr/>
            </w:pPr>
            <w:r>
              <w:rPr/>
              <w:t>​</w:t>
            </w:r>
          </w:p>
        </w:tc>
        <w:tc>
          <w:tcPr>
            <w:tcW w:w="13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4,241</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513" w:type="dxa"/>
            <w:tcBorders/>
            <w:vAlign w:val="center"/>
          </w:tcPr>
          <w:p>
            <w:pPr>
              <w:pStyle w:val="TableContents"/>
              <w:bidi w:val="0"/>
              <w:spacing w:before="0" w:after="0"/>
              <w:ind w:left="0" w:right="0" w:hanging="0"/>
              <w:jc w:val="right"/>
              <w:rPr/>
            </w:pPr>
            <w:r>
              <w:rPr/>
              <w:t>​</w:t>
            </w:r>
          </w:p>
        </w:tc>
      </w:tr>
      <w:tr>
        <w:trPr/>
        <w:tc>
          <w:tcPr>
            <w:tcW w:w="59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Impairment of property plant &amp; equipment, prepaids and intangibles</w:t>
            </w:r>
          </w:p>
        </w:tc>
        <w:tc>
          <w:tcPr>
            <w:tcW w:w="414" w:type="dxa"/>
            <w:tcBorders/>
            <w:shd w:fill="CCEEFF" w:val="clear"/>
            <w:vAlign w:val="center"/>
          </w:tcPr>
          <w:p>
            <w:pPr>
              <w:pStyle w:val="TableContents"/>
              <w:bidi w:val="0"/>
              <w:spacing w:before="0" w:after="0"/>
              <w:ind w:left="0" w:right="0" w:hanging="0"/>
              <w:jc w:val="left"/>
              <w:rPr/>
            </w:pPr>
            <w:r>
              <w:rPr/>
              <w:t>​</w:t>
            </w:r>
          </w:p>
        </w:tc>
        <w:tc>
          <w:tcPr>
            <w:tcW w:w="1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15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114,440</w:t>
            </w:r>
          </w:p>
        </w:tc>
      </w:tr>
      <w:tr>
        <w:trPr/>
        <w:tc>
          <w:tcPr>
            <w:tcW w:w="59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9,484</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143,552</w:t>
            </w:r>
          </w:p>
        </w:tc>
      </w:tr>
      <w:tr>
        <w:trPr/>
        <w:tc>
          <w:tcPr>
            <w:tcW w:w="59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Loss from operations </w:t>
            </w:r>
          </w:p>
        </w:tc>
        <w:tc>
          <w:tcPr>
            <w:tcW w:w="414" w:type="dxa"/>
            <w:tcBorders/>
            <w:shd w:fill="CCEEFF" w:val="clear"/>
            <w:vAlign w:val="center"/>
          </w:tcPr>
          <w:p>
            <w:pPr>
              <w:pStyle w:val="TableContents"/>
              <w:bidi w:val="0"/>
              <w:spacing w:before="0" w:after="0"/>
              <w:ind w:left="0" w:right="0" w:hanging="0"/>
              <w:jc w:val="left"/>
              <w:rPr/>
            </w:pPr>
            <w:r>
              <w:rPr/>
              <w:t> </w:t>
            </w:r>
          </w:p>
        </w:tc>
        <w:tc>
          <w:tcPr>
            <w:tcW w:w="138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(9,484)</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513"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(174,174)</w:t>
            </w:r>
          </w:p>
        </w:tc>
      </w:tr>
      <w:tr>
        <w:trPr/>
        <w:tc>
          <w:tcPr>
            <w:tcW w:w="59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(expense)</w:t>
            </w:r>
          </w:p>
        </w:tc>
        <w:tc>
          <w:tcPr>
            <w:tcW w:w="414" w:type="dxa"/>
            <w:tcBorders/>
            <w:vAlign w:val="center"/>
          </w:tcPr>
          <w:p>
            <w:pPr>
              <w:pStyle w:val="TableContents"/>
              <w:bidi w:val="0"/>
              <w:spacing w:before="0" w:after="0"/>
              <w:ind w:left="0" w:right="0" w:hanging="0"/>
              <w:jc w:val="left"/>
              <w:rPr/>
            </w:pPr>
            <w:r>
              <w:rPr/>
              <w:t>​</w:t>
            </w:r>
          </w:p>
        </w:tc>
        <w:tc>
          <w:tcPr>
            <w:tcW w:w="13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15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w:t>
            </w:r>
          </w:p>
        </w:tc>
      </w:tr>
      <w:tr>
        <w:trPr/>
        <w:tc>
          <w:tcPr>
            <w:tcW w:w="59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1,109</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2,391</w:t>
            </w:r>
          </w:p>
        </w:tc>
      </w:tr>
      <w:tr>
        <w:trPr/>
        <w:tc>
          <w:tcPr>
            <w:tcW w:w="59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before income taxes</w:t>
            </w:r>
          </w:p>
        </w:tc>
        <w:tc>
          <w:tcPr>
            <w:tcW w:w="414"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(8,473)</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13"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(171,719)</w:t>
            </w:r>
          </w:p>
        </w:tc>
      </w:tr>
      <w:tr>
        <w:trPr/>
        <w:tc>
          <w:tcPr>
            <w:tcW w:w="59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9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(8,473)</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1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(171,719)</w:t>
            </w:r>
          </w:p>
        </w:tc>
      </w:tr>
      <w:tr>
        <w:trPr/>
        <w:tc>
          <w:tcPr>
            <w:tcW w:w="594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accrued preferred stock dividend</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655</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(605)</w:t>
            </w:r>
          </w:p>
        </w:tc>
      </w:tr>
      <w:tr>
        <w:trPr/>
        <w:tc>
          <w:tcPr>
            <w:tcW w:w="59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attributable to common shareholders</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(9,128)</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513"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(171,114)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result of the Company’s filing for Chapter 11 bankruptcy protection in June 2023 and the significant events that have transpired since then, the period-over-period comparisons of our results of operations are not indicative of consistent underlying business operations.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Net Sales and Cost of Sales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a result of the Chapter 11 Cases, production of the Endurance ended in June 2023 and with the Company’s emergence from bankruptcy as a shell company, there were no sales or cost of sales during the three months ended March 31, 2024. A total of three vehicles were sold during the three months ended March 31, 2023 resulting in revenue of $0.2 million.</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Cost of sales for the three months ended March 31, 2023 were $30.8 million consisting primarily of a $19.8 million adjustment to inventory to reflect its net realizable value and $7.5 million in manufacturing depreciation, with additional expenses related to producing the Endurance, product warranty accruals, and selling and delivery costs.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Selling, General and Administrative Expense</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Selling, general and administration expenses (“SG&amp;A”) totaled $5.2 million for the three months ended March 31, 2024 compared to $14.7 million for the three months ended March 31, 2023. With the Chapter 11 Cases commencing in June 2023, the Company’s SG&amp;A expense is not comparable on a year-over-year basis.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SG&amp;A for the three months ended March 31, 2024 consisted primarily of $3.6 million in personnel and professional fees, including $2.6 million in accelerated stock compensation expense, and insurance premium amortization of $2.8 million, partially offset by adjustments to non-bankruptcy related legal and professional fees.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SG&amp;A for the three months ended March 31, 2023 consisted primarily of $8.3 million in personnel and professional fees, $3.0 million in non-reorganization related legal fees and expenses, insurance premium amortization of $1.5 million and all other sales and marketing expenses of $1.9 million.</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Research and Development Expense</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As a result of the actions taken in connection with the Chapter 11 Cases, there were no research and development (“R&amp;D”) expense during the three months ended March 31, 2024.</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R&amp;D for the first quarter of 2023 was $14.4 million related to development and engineering activities associated with the Endurance and future programs, and consisted primarily of $9.7 million in personnel costs, $2.2 million for outside engineering and consulting services and $2.5 million in prototype components and other testing and development supplies.</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Reorganization Items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Reorganization items represent the expenses directly and incrementally resulting from the Chapter 11 Cases filed on June 27, 2023. For the three months ended March 31, 2024, reorganization items consisted of $3.6 million in legal fees, $1.1 million in consulting fees, partially offset by a $0.5 million reduction in potential bankruptcy claims and settlements. The reorganization items include costs incurred by the Company as well as those incurred by the official Unsecured Creditors Committee and official Equity Committee, for which the Company is responsible.</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Impairment of property, plant, and equipment, prepaids and other intangibles</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 xml:space="preserve">Property, plant, and equipment was periodically reviewed for potential impairment for recoverability by comparing the carrying amount of our asset group to estimated undiscounted future cash flows expected to be generated by the asset group. The fair value was derived from the Company’s enterprise value at the time of impairment as we believe it represented the most appropriate fair value of the asset group in accordance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with accounting guidance. As the carrying amount of our asset group exceeded its estimated undiscounted future cash flows, we recognized a $109.8 million impairment charge for the three months ended March 31, 2023 based on the difference between the carrying value of the fixed assets and their fair value as of March 31, 2023.</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For the three months ended March 31, 2023 the Company recognized a $4.6 million impairment charge against prepaid inventory purchases and royalties related to payments for quantities in excess of our anticipated production requirements.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a result of the Company’s accumulated deficit, lack of any immediate sources of revenue, and the risks and uncertainties related to (i) the Company’s ability to successfully resolve litigation and other claims that may be filed against us, (ii) the effects of disruption from the Chapter 11 Cases, including the loss of our personnel, and (iii) the costs of the Chapter 11 Cases, substantial doubt exists regarding our ability to continue as a going concern for a period of at least one year from the date of issuance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Pursuant to the requirements of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Company had cash and cash equivalents of approximately $19.7</w:t>
      </w:r>
      <w:r>
        <w:rPr>
          <w:rFonts w:ascii="Times New Roman;Times;serif" w:hAnsi="Times New Roman;Times;serif"/>
          <w:sz w:val="20"/>
        </w:rPr>
        <w:t xml:space="preserve"> </w:t>
      </w:r>
      <w:r>
        <w:rPr>
          <w:rFonts w:ascii="Arial;Helvetica;sans-serif" w:hAnsi="Arial;Helvetica;sans-serif"/>
          <w:sz w:val="20"/>
        </w:rPr>
        <w:t>million, excluding restricted cash of approximately $57.7</w:t>
      </w:r>
      <w:r>
        <w:rPr>
          <w:rFonts w:ascii="Times New Roman;Times;serif" w:hAnsi="Times New Roman;Times;serif"/>
          <w:sz w:val="20"/>
        </w:rPr>
        <w:t xml:space="preserve"> </w:t>
      </w:r>
      <w:r>
        <w:rPr>
          <w:rFonts w:ascii="Arial;Helvetica;sans-serif" w:hAnsi="Arial;Helvetica;sans-serif"/>
          <w:sz w:val="20"/>
        </w:rPr>
        <w:t>million, an accumulated deficit of $1.2</w:t>
      </w:r>
      <w:r>
        <w:rPr>
          <w:rFonts w:ascii="Times New Roman;Times;serif" w:hAnsi="Times New Roman;Times;serif"/>
          <w:sz w:val="20"/>
        </w:rPr>
        <w:t xml:space="preserve"> </w:t>
      </w:r>
      <w:r>
        <w:rPr>
          <w:rFonts w:ascii="Arial;Helvetica;sans-serif" w:hAnsi="Arial;Helvetica;sans-serif"/>
          <w:sz w:val="20"/>
        </w:rPr>
        <w:t>billion at March 31, 2024 and a net loss of $8.5</w:t>
      </w:r>
      <w:r>
        <w:rPr>
          <w:rFonts w:ascii="Times New Roman;Times;serif" w:hAnsi="Times New Roman;Times;serif"/>
          <w:sz w:val="20"/>
        </w:rPr>
        <w:t xml:space="preserve"> </w:t>
      </w:r>
      <w:r>
        <w:rPr>
          <w:rFonts w:ascii="Arial;Helvetica;sans-serif" w:hAnsi="Arial;Helvetica;sans-serif"/>
          <w:sz w:val="20"/>
        </w:rPr>
        <w:t xml:space="preserve">million for the three months ended March 31, 2024. </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Our liquidity and ability to continue as a going concern is dependent upon, among other things: (i) the resolution of significant contingent and other claims, liabilities (see Note 8 – Commitments and Contingencies) and (ii) the outcome of the Company’s efforts to realize value, if any, from its retained causes of action, including the Foxconn Litigation, and other remaining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have incurred significant professional fees and other costs in connection with preparation for and prosecution of the Chapter 11 Cases and expect to continue to incur significant professional fees and costs. In addition, we are subject to significant contingent liabilities, the full scope of which is uncertain at this time (see Note 8 – Commitments and Contingencies). Furthermore, under the Plan, we are conducting a process to reconcile the claims asserted that has resulted in approximately $57.7 million of our cash being reserved for settling outstanding claims against the Company, including litigation and indemnification claims. Pursuant to the Bankruptcy Code, the Company is first required to pay all administrative claims in full. Under the Plan, we established an $8.2 million escrow for the payment of certain professional fees incurred in connection with the Chapter 11 Cases (“Professional Fee Escrow”).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 Professional Fee Escrow exceeds the Company’s obligations, funds will be returned to the Company and become unrestricted. The Plan also required the Company to establish a $45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28</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million reserve for allowed and disputed claims of general unsecured creditors (the “Claims Reserve”), including interest (although there can be no assurance the Company will be able to pay such claims in full, with interest). As of March 31, 2024, $42.0 million was included in restricted cash, which represents the initial Claims Reserve of $45 million, less $3.0 million the Company paid into escrow upon emergence from bankruptcy for the cash portion of the Ohio Securities Litigation Settlement. Pursuant to the Plan (which includes certain exceptions), upon emergence (i) the Claims Ombudsman was appointed to oversee the administration of claims asserted against the Company by general unsecured creditors and (ii) a trustee was appointed to oversee the litigation trust, which may be funded with certain retained causes of action of the Company, as was determined by the Board. Holders of certain unsecured claims are expected to be entitled to receive post-petition interest on their claim amount as of the later of the date the claim was due to be paid, or the petition date. Therefore, if the claims resolution process takes longer than anticipated, the total liability to settle claims will increase.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amount of the Claims Reserve is subject to change and could increase materially. The Claims Reserve is adjusted downward as payments are made for allowed claims, and may also be adjusted downward as claims are resolved or otherwise as a result of the claims resolution process. Claimants may have the ability to amend their proofs of claim that could significantly increase the total claims, beyond our estimates or reserve. There is also risk of additional litigation and claims that may be asserted after the Chapter 11 Cases against the Company or its indemnified directors and officers that may be known or unknown and the Company may not have the resources to adequately defend or dispute such claims due to the Chapter 11 Cases. The Company cannot provide any assurances as to what the Company’s total actual liabilities will be based on any such claims. To the extent that the Claims Reserve is insufficient to pay general unsecured creditors in full with interest, such deficiency will be payable from certain other assets of the Company, as set forth in the Plan. Moreover, pursuant to the Plan, the deadline for parties to file administrative claims against the Company (i.e., claims for costs and expenses of administration , including (i) the actual and necessary costs and expenses incurred, after the petition date and through the date the Company emerged from bankruptcy, to preserve the estates and operate the businesses of the Debtors; (ii) professional fee claims; and (iii) fees and charges payable to the United States Trustee) was April 14, 2024, which could result in additional liabilities. Such additional liabilities, including but not limited to administrative claims and claims by holders of our Class A common stock and Preferred Stock among other potential classes of claimants, if allowed, have not been allocated for in the Claims Reserve.</w:t>
      </w:r>
    </w:p>
    <w:p>
      <w:pPr>
        <w:pStyle w:val="TextBody"/>
        <w:bidi w:val="0"/>
        <w:spacing w:before="288" w:after="288"/>
        <w:ind w:left="14" w:right="14" w:hanging="0"/>
        <w:jc w:val="left"/>
        <w:rPr>
          <w:rFonts w:ascii="Arial;Helvetica;sans-serif" w:hAnsi="Arial;Helvetica;sans-serif"/>
          <w:sz w:val="20"/>
        </w:rPr>
      </w:pPr>
      <w:r>
        <w:rPr>
          <w:rFonts w:ascii="Arial;Helvetica;sans-serif" w:hAnsi="Arial;Helvetica;sans-serif"/>
          <w:sz w:val="20"/>
        </w:rPr>
        <w:t>Our assets consist of cash and cash equivalents, restricted cash, the Foxconn Litigation claims, claims the Company may have against other parties and NOLs.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See Risk Factors under Part I – Item 1A. in our Annual Report on Form 10-K and Part II – Item 1A. below for further discussion of the risks associated with our limited capital resources and loss exposures, among other risks.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Summary of Cash Flows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following table provides a summary of Nu Ride’s cash flow data for the period indicated:</w:t>
      </w:r>
    </w:p>
    <w:tbl>
      <w:tblPr>
        <w:tblW w:w="8033" w:type="dxa"/>
        <w:jc w:val="left"/>
        <w:tblInd w:w="0" w:type="dxa"/>
        <w:tblLayout w:type="fixed"/>
        <w:tblCellMar>
          <w:top w:w="0" w:type="dxa"/>
          <w:left w:w="0" w:type="dxa"/>
          <w:bottom w:w="0" w:type="dxa"/>
          <w:right w:w="0" w:type="dxa"/>
        </w:tblCellMar>
      </w:tblPr>
      <w:tblGrid>
        <w:gridCol w:w="3736"/>
        <w:gridCol w:w="326"/>
        <w:gridCol w:w="414"/>
        <w:gridCol w:w="1386"/>
        <w:gridCol w:w="326"/>
        <w:gridCol w:w="365"/>
        <w:gridCol w:w="1480"/>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372360" cy="175260"/>
                      <wp:effectExtent l="0" t="0" r="0" b="0"/>
                      <wp:wrapNone/>
                      <wp:docPr id="93" name="Frame93"/>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62890" cy="175260"/>
                      <wp:effectExtent l="0" t="0" r="0" b="0"/>
                      <wp:wrapNone/>
                      <wp:docPr id="95" name="Frame95"/>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880110" cy="175260"/>
                      <wp:effectExtent l="0" t="0" r="0" b="0"/>
                      <wp:wrapNone/>
                      <wp:docPr id="96" name="Frame96"/>
                      <a:graphic xmlns:a="http://schemas.openxmlformats.org/drawingml/2006/main">
                        <a:graphicData uri="http://schemas.microsoft.com/office/word/2010/wordprocessingShape">
                          <wps:wsp>
                            <wps:cNvSpPr txBox="1"/>
                            <wps:spPr>
                              <a:xfrm>
                                <a:off x="0" y="0"/>
                                <a:ext cx="880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31775" cy="175260"/>
                      <wp:effectExtent l="0" t="0" r="0" b="0"/>
                      <wp:wrapNone/>
                      <wp:docPr id="98" name="Frame98"/>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39800" cy="175260"/>
                      <wp:effectExtent l="0" t="0" r="0" b="0"/>
                      <wp:wrapNone/>
                      <wp:docPr id="99" name="Frame99"/>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80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26" w:type="dxa"/>
            <w:tcBorders/>
            <w:vAlign w:val="center"/>
          </w:tcPr>
          <w:p>
            <w:pPr>
              <w:pStyle w:val="TableContents"/>
              <w:bidi w:val="0"/>
              <w:spacing w:before="0" w:after="1"/>
              <w:ind w:left="0" w:right="0" w:hanging="0"/>
              <w:jc w:val="left"/>
              <w:rPr/>
            </w:pPr>
            <w:r>
              <w:rPr/>
              <w:t>    </w:t>
            </w:r>
          </w:p>
        </w:tc>
        <w:tc>
          <w:tcPr>
            <w:tcW w:w="1845"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8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2024</w:t>
            </w:r>
          </w:p>
        </w:tc>
        <w:tc>
          <w:tcPr>
            <w:tcW w:w="326" w:type="dxa"/>
            <w:tcBorders/>
            <w:vAlign w:val="center"/>
          </w:tcPr>
          <w:p>
            <w:pPr>
              <w:pStyle w:val="TableContents"/>
              <w:bidi w:val="0"/>
              <w:spacing w:before="0" w:after="1"/>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March 31, 2023</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(9,555)</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8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(38,116)</w:t>
            </w:r>
          </w:p>
        </w:tc>
      </w:tr>
      <w:tr>
        <w:trPr/>
        <w:tc>
          <w:tcPr>
            <w:tcW w:w="373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 xml:space="preserve">Net Cash provided by investing activities </w:t>
            </w:r>
          </w:p>
        </w:tc>
        <w:tc>
          <w:tcPr>
            <w:tcW w:w="326"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vAlign w:val="center"/>
          </w:tcPr>
          <w:p>
            <w:pPr>
              <w:pStyle w:val="TableContents"/>
              <w:bidi w:val="0"/>
              <w:spacing w:before="0" w:after="1"/>
              <w:ind w:left="0" w:right="0" w:hanging="0"/>
              <w:jc w:val="right"/>
              <w:rPr/>
            </w:pPr>
            <w:r>
              <w:rPr/>
              <w:t xml:space="preserve">— </w:t>
            </w:r>
          </w:p>
        </w:tc>
        <w:tc>
          <w:tcPr>
            <w:tcW w:w="326" w:type="dxa"/>
            <w:tcBorders/>
            <w:vAlign w:val="center"/>
          </w:tcPr>
          <w:p>
            <w:pPr>
              <w:pStyle w:val="TableContents"/>
              <w:bidi w:val="0"/>
              <w:spacing w:before="0" w:after="1"/>
              <w:ind w:left="0" w:right="0" w:hanging="0"/>
              <w:jc w:val="left"/>
              <w:rPr/>
            </w:pPr>
            <w:r>
              <w:rPr/>
              <w:t>​</w:t>
            </w:r>
          </w:p>
        </w:tc>
        <w:tc>
          <w:tcPr>
            <w:tcW w:w="365"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8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24,844</w:t>
            </w:r>
          </w:p>
        </w:tc>
      </w:tr>
      <w:tr>
        <w:trPr/>
        <w:tc>
          <w:tcPr>
            <w:tcW w:w="373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38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w:t>
            </w:r>
          </w:p>
        </w:tc>
        <w:tc>
          <w:tcPr>
            <w:tcW w:w="326" w:type="dxa"/>
            <w:tcBorders/>
            <w:shd w:fill="CCEEFF" w:val="clear"/>
            <w:vAlign w:val="center"/>
          </w:tcPr>
          <w:p>
            <w:pPr>
              <w:pStyle w:val="TableContents"/>
              <w:bidi w:val="0"/>
              <w:spacing w:before="0" w:after="1"/>
              <w:ind w:left="0" w:right="0" w:hanging="0"/>
              <w:jc w:val="left"/>
              <w:rPr/>
            </w:pPr>
            <w:r>
              <w:rPr/>
              <w:t>​</w:t>
            </w:r>
          </w:p>
        </w:tc>
        <w:tc>
          <w:tcPr>
            <w:tcW w:w="36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480"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Net Cash Used by Operating Activities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Net cash used in operating activities decreased by $28.6 million for the three months ended March 31, 2024 compared to 2023. The decrease of cash used in operating activities, was principally due to the cessation of operations as a result of the Chapter 11 Cases. The Company’s net loss, as adjusted to reconcile cash used by operating activities was $3.8 million for the first three months of 2023, compared to $28.5 million for same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29</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period of 2024. The net loss, as adjusted to reconcile cash used by operating activities for the first three months of 2023 included non-cash manufacturing charges of $141.9 million, including $114.4 million in impairment charges, $19.8 million related to the write down of inventory and prepaid inventory, and $7.7 million in depreciation of property, plant and equipment and intangible assets. No such charges were incurred in the first three months of 2024. </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Net Cash Provided by (Used in) Investing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Company had no investing activities for the three months ended March 31, 2024. Investing activities for the three months ended March 31, 2023, included $55.0 million in maturities of short-term investments, offset by $22.2 million in purchases of short-term investments and $7.9 million in purchases of property, plant, and equipment.</w:t>
      </w:r>
    </w:p>
    <w:p>
      <w:pPr>
        <w:pStyle w:val="TextBody"/>
        <w:bidi w:val="0"/>
        <w:spacing w:before="0" w:after="200"/>
        <w:ind w:left="0" w:right="0" w:hanging="0"/>
        <w:jc w:val="left"/>
        <w:rPr>
          <w:rFonts w:ascii="Arial;Helvetica;sans-serif" w:hAnsi="Arial;Helvetica;sans-serif"/>
          <w:b/>
          <w:i/>
          <w:sz w:val="20"/>
        </w:rPr>
      </w:pPr>
      <w:r>
        <w:rPr>
          <w:rFonts w:ascii="Arial;Helvetica;sans-serif" w:hAnsi="Arial;Helvetica;sans-serif"/>
          <w:b/>
          <w:i/>
          <w:sz w:val="20"/>
        </w:rPr>
        <w:t>Net Cash Provided by Financing Activities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For the three months ended March 31, 2024, financing activities were limited to the issuance of Class A common stock associated with the Company’s 2020 Plan. There were no financing transactions during the three months ended March 31, 2023.</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Off-Balance Sheet Arrangements</w:t>
      </w:r>
    </w:p>
    <w:p>
      <w:pPr>
        <w:pStyle w:val="TextBody"/>
        <w:bidi w:val="0"/>
        <w:spacing w:before="0" w:after="200"/>
        <w:ind w:left="0" w:right="0" w:hanging="0"/>
        <w:jc w:val="left"/>
        <w:rPr>
          <w:rFonts w:ascii="Arial;Helvetica;sans-serif" w:hAnsi="Arial;Helvetica;sans-serif"/>
          <w:b w:val="false"/>
          <w:sz w:val="20"/>
        </w:rPr>
      </w:pPr>
      <w:r>
        <w:rPr>
          <w:rFonts w:ascii="Arial;Helvetica;sans-serif" w:hAnsi="Arial;Helvetica;sans-serif"/>
          <w:b w:val="false"/>
          <w:sz w:val="20"/>
        </w:rPr>
        <w:t>We have no obligations, assets or liabilities, which would be considered off-balance sheet arrangements as of March 31, 2024.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0" w:after="20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val="false"/>
          <w:sz w:val="20"/>
        </w:rPr>
        <w:t>See Note 2</w:t>
      </w:r>
      <w:r>
        <w:rPr>
          <w:rFonts w:ascii="Arial;Helvetica;sans-serif" w:hAnsi="Arial;Helvetica;sans-serif"/>
          <w:b/>
          <w:sz w:val="20"/>
        </w:rPr>
        <w:t xml:space="preserve"> — </w:t>
      </w:r>
      <w:r>
        <w:rPr>
          <w:rFonts w:ascii="Arial;Helvetica;sans-serif" w:hAnsi="Arial;Helvetica;sans-serif"/>
          <w:b w:val="false"/>
          <w:sz w:val="20"/>
        </w:rPr>
        <w:t>Summary of Significant Accounting Policies to the Condensed Consolidated Financial Statements for more information about recent accounting pronouncements, the timing of their adoption, and management’s assessment, to the extent they have made one, of their potential impact on Nu Ride’s financial condition and results of operations.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593" w:name="Item3QuantitativeandQualitativeDisclosur"/>
      <w:bookmarkStart w:id="594" w:name="_592b0ead_b13c_42f9_b99b_abfb8e2fc5c8"/>
      <w:bookmarkEnd w:id="593"/>
      <w:bookmarkEnd w:id="594"/>
      <w:r>
        <w:rPr>
          <w:rFonts w:ascii="Arial;Helvetica;sans-serif" w:hAnsi="Arial;Helvetica;sans-serif"/>
          <w:b/>
          <w:sz w:val="20"/>
        </w:rPr>
        <w:t>Item 3. Quantitative and Qualitative Disclosures About Market Risk</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As a smaller reporting company, the Company is not required to provide the information required by this Item.</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595" w:name="Item4ControlsandProcedures_209713"/>
      <w:bookmarkStart w:id="596" w:name="_2f3aadfa_aacd_4156_96f1_c8965454046f"/>
      <w:bookmarkEnd w:id="595"/>
      <w:bookmarkEnd w:id="596"/>
      <w:r>
        <w:rPr>
          <w:rFonts w:ascii="Arial;Helvetica;sans-serif" w:hAnsi="Arial;Helvetica;sans-serif"/>
          <w:b/>
          <w:sz w:val="20"/>
        </w:rPr>
        <w:t>Item 4. Controls and Procedures</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Management’s Evaluation of our Disclosure Controls and Procedures</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 xml:space="preserve">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to allow timely decisions regarding required disclosure.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30</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who also serves as our Chief Financial Officer, carried out an evaluation of the effectiveness of the design and operation of our disclosure controls and procedures as of the end of the period covered by this report. Based upon his evaluation, our Chief Executive Officer and Chief Financial Officer concluded that our disclosure controls and procedures were effective.</w:t>
      </w:r>
    </w:p>
    <w:p>
      <w:pPr>
        <w:pStyle w:val="TextBody"/>
        <w:bidi w:val="0"/>
        <w:spacing w:before="0" w:after="200"/>
        <w:ind w:left="0" w:right="0" w:hanging="0"/>
        <w:jc w:val="left"/>
        <w:rPr>
          <w:rFonts w:ascii="Arial;Helvetica;sans-serif" w:hAnsi="Arial;Helvetica;sans-serif"/>
          <w:i/>
          <w:sz w:val="20"/>
        </w:rPr>
      </w:pPr>
      <w:r>
        <w:rPr>
          <w:rFonts w:ascii="Arial;Helvetica;sans-serif" w:hAnsi="Arial;Helvetica;sans-serif"/>
          <w:i/>
          <w:sz w:val="20"/>
        </w:rPr>
        <w:t>Changes in Internal Control over Financial Reporting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There have been no changes in our internal control over financial reporting (as such term is defined in Rules 13a-15(f) and 15d-15(f) of the Exchange Act) during the quarter ended March 31, 2024 that have materially affected, or are reasonably likely to materially affect, our internal control over financial reporting. </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sz w:val="20"/>
        </w:rPr>
        <w:t>In light of the limited nature of our operations, our controls primarily relate to financial reporting and payment of our expenses. As a result of eliminating personnel, including full-time employees, we have enhanced our oversight of accounting and payment processing with increased executive involvement and support from consultants and advisors to facilitate the presentation of information with respect to our operations that is accurate and complete. Our Chief Executive Officer also serves as our Chief Financial Officer.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31</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Arial;Helvetica;sans-serif" w:hAnsi="Arial;Helvetica;sans-serif"/>
          <w:b/>
          <w:sz w:val="20"/>
        </w:rPr>
      </w:pPr>
      <w:bookmarkStart w:id="597" w:name="PARTIIOTHERINFORMATION_483516"/>
      <w:bookmarkStart w:id="598" w:name="_b6c046de_23f7_445f_ba83_7c132e43f8d4"/>
      <w:bookmarkEnd w:id="597"/>
      <w:bookmarkEnd w:id="598"/>
      <w:r>
        <w:rPr>
          <w:rFonts w:ascii="Arial;Helvetica;sans-serif" w:hAnsi="Arial;Helvetica;sans-serif"/>
          <w:b/>
          <w:sz w:val="20"/>
        </w:rPr>
        <w:t>PART II: OTHER INFORMATION</w:t>
      </w:r>
    </w:p>
    <w:p>
      <w:pPr>
        <w:pStyle w:val="TextBody"/>
        <w:pBdr/>
        <w:shd w:fill="FFFFFF" w:val="clear"/>
        <w:bidi w:val="0"/>
        <w:spacing w:before="0" w:after="0"/>
        <w:ind w:left="0" w:right="0" w:hanging="0"/>
        <w:jc w:val="both"/>
        <w:rPr>
          <w:rFonts w:ascii="Arial;Helvetica;sans-serif" w:hAnsi="Arial;Helvetica;sans-serif"/>
          <w:b/>
          <w:sz w:val="20"/>
        </w:rPr>
      </w:pPr>
      <w:bookmarkStart w:id="599" w:name="Item1LegalProceedings_551780"/>
      <w:bookmarkEnd w:id="599"/>
      <w:r>
        <w:rPr>
          <w:rFonts w:ascii="Arial;Helvetica;sans-serif" w:hAnsi="Arial;Helvetica;sans-serif"/>
          <w:b/>
          <w:sz w:val="20"/>
        </w:rPr>
        <w:t>Item 1. Legal Proceedings</w:t>
      </w:r>
    </w:p>
    <w:p>
      <w:pPr>
        <w:pStyle w:val="TextBody"/>
        <w:shd w:fill="FFFFFF" w:val="clear"/>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For a description of our legal proceedings, see Note 8 </w:t>
      </w:r>
      <w:r>
        <w:rPr>
          <w:rFonts w:ascii="Times New Roman;Times;serif" w:hAnsi="Times New Roman;Times;serif"/>
          <w:sz w:val="20"/>
        </w:rPr>
        <w:t>– </w:t>
      </w:r>
      <w:r>
        <w:rPr>
          <w:rFonts w:ascii="Arial;Helvetica;sans-serif" w:hAnsi="Arial;Helvetica;sans-serif"/>
          <w:sz w:val="20"/>
        </w:rPr>
        <w:t>Commitments and Contingencies of the notes to the unaudited Condensed Consolidated Financial Statements contained herein.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Arial;Helvetica;sans-serif" w:hAnsi="Arial;Helvetica;sans-serif"/>
          <w:b/>
          <w:sz w:val="20"/>
        </w:rPr>
      </w:pPr>
      <w:bookmarkStart w:id="600" w:name="Item1ARiskFactors_866399"/>
      <w:bookmarkStart w:id="601" w:name="_ffda5c15_1fa6_4e91_b3c7_b48c94e0e636"/>
      <w:bookmarkEnd w:id="600"/>
      <w:bookmarkEnd w:id="601"/>
      <w:r>
        <w:rPr>
          <w:rFonts w:ascii="Arial;Helvetica;sans-serif" w:hAnsi="Arial;Helvetica;sans-serif"/>
          <w:b/>
          <w:sz w:val="20"/>
        </w:rPr>
        <w:t>Item 1A. Risk Factors</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An investment in our common stock involves a high degree of risk. You should carefully consider the risks set forth below in this report and in the section captioned "Risk Factors" in our Annual Report on Form 10-K for the year ended December 31, 2023, filed with the SEC on February 29, 2024, before making an investment decision. If any of the risks actually occur, our business, financial condition or results of operations could suffer. In that case, the trading price of our common stock could decline, and you may lose all or part of your investment. You should read the section captioned "Cautionary Note Regarding Forward-Looking Statements" above for a discussion of what types of statements are forward-looking statements, as well as the significance of such statements in the context of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Risks Related to our Emergence from Chapter 11 Bankruptcy</w:t>
      </w:r>
    </w:p>
    <w:p>
      <w:pPr>
        <w:pStyle w:val="TextBody"/>
        <w:bidi w:val="0"/>
        <w:spacing w:before="0" w:after="0"/>
        <w:ind w:left="0" w:right="0" w:hanging="0"/>
        <w:jc w:val="left"/>
        <w:rPr/>
      </w:pPr>
      <w:r>
        <w:rPr/>
        <w:t> </w:t>
      </w:r>
    </w:p>
    <w:p>
      <w:pPr>
        <w:pStyle w:val="TextBody"/>
        <w:bidi w:val="0"/>
        <w:spacing w:before="0" w:after="0"/>
        <w:ind w:left="0" w:right="0" w:hanging="0"/>
        <w:jc w:val="both"/>
        <w:rPr>
          <w:rFonts w:ascii="Arial;Helvetica;sans-serif" w:hAnsi="Arial;Helvetica;sans-serif"/>
          <w:b/>
          <w:i/>
          <w:sz w:val="20"/>
        </w:rPr>
      </w:pPr>
      <w:r>
        <w:rPr>
          <w:rFonts w:ascii="Arial;Helvetica;sans-serif" w:hAnsi="Arial;Helvetica;sans-serif"/>
          <w:b/>
          <w:i/>
          <w:sz w:val="20"/>
        </w:rPr>
        <w:t>Despite having emerged from bankruptcy, we continue to be subject to the risks and uncertainties associated with residual Chapter 11 bankruptcy proceedings.</w:t>
      </w:r>
    </w:p>
    <w:p>
      <w:pPr>
        <w:pStyle w:val="TextBody"/>
        <w:bidi w:val="0"/>
        <w:spacing w:before="0" w:after="0"/>
        <w:ind w:left="0" w:right="0" w:hanging="0"/>
        <w:jc w:val="both"/>
        <w:rPr/>
      </w:pPr>
      <w:r>
        <w:rPr/>
        <w:t> </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rPr>
        <w:t>We emerged from Chapter 11 bankruptcy on March 14, 2024, however, we may be subject to residual risks and uncertainties associated with Chapter 11 bankruptcy proceedings. The ultimate impact of events that occurred during, or that may occur subsequent to, the Chapter 11 Cases will have on our business, financial condition and results of operations cannot be accurately predicted or quantified. We cannot assure you that having been subject to bankruptcy protection will not adversely affect our operations going forward.</w:t>
      </w:r>
      <w:r>
        <w:rPr>
          <w:rFonts w:ascii="Times New Roman;Times;serif" w:hAnsi="Times New Roman;Times;serif"/>
          <w:sz w:val="20"/>
          <w:shd w:fill="FFFFFF" w:val="clear"/>
        </w:rPr>
        <w:t xml:space="preserve"> </w:t>
      </w:r>
      <w:r>
        <w:rPr>
          <w:rFonts w:ascii="Arial;Helvetica;sans-serif" w:hAnsi="Arial;Helvetica;sans-serif"/>
          <w:sz w:val="20"/>
          <w:shd w:fill="FFFFFF" w:val="clear"/>
        </w:rPr>
        <w:t>We currently have no revenue producing operations.</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The composition of our Board of Directors has changed significantly.</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Pursuant to the Plan, the composition of our Board of Directors changed significantly. Following our emergence from Chapter 11, our board of directors consists of five directors, none of whom had previously served on our Board of Directors. The new directors have different backgrounds, experiences and perspectives from those who previously served on our Board of Directors and thus may have different views on the issues that will determine our future.</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There is substantial doubt regarding our ability to continue as a going concern and the adequacy of our capital resources upon our emergence from bankruptcy.</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shd w:fill="FFFFFF" w:val="clear"/>
        </w:rPr>
        <w:t>We have concluded that there is substantial doubt regarding our ability to continue as a going concern. We face uncertainty regarding the adequacy of our liquidity and capital resources to maintain our limited operations.</w:t>
      </w:r>
      <w:r>
        <w:rPr>
          <w:rFonts w:ascii="Times New Roman;Times;serif" w:hAnsi="Times New Roman;Times;serif"/>
          <w:sz w:val="20"/>
        </w:rPr>
        <w:t xml:space="preserve"> </w:t>
      </w:r>
      <w:r>
        <w:rPr>
          <w:rFonts w:ascii="Arial;Helvetica;sans-serif" w:hAnsi="Arial;Helvetica;sans-serif"/>
          <w:sz w:val="20"/>
          <w:shd w:fill="FFFFFF" w:val="clear"/>
        </w:rPr>
        <w:t xml:space="preserve">Through the Chapter 11 Cases, we sold material assets used in our operations pursuant to the LandX Asset Purchase Agreement and have no remaining revenue-producing operations and minimal tangible assets other than cash on hand. </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Claims have been filed against or scheduled by the Company. Such claims remain subject to the claims administration process, pursuant to the terms of the Plan. The Claims Ombudsman will have the authority to settle, litigate or otherwise resolve general unsecured claims against the Company. The ultimate amount that will be paid with respect to such claims cannot be predicted. Subject to the terms of the Plan, distributions under the Plan will come from the Company’s assets.</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 xml:space="preserve">There can be no assurance that cash on hand and other resources will be sufficient to allow us to satisfy any remaining obligations related to the Plan and our emergence from bankruptcy or litigation, claims and </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32</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investigations, future liabilities or continue to sustain our limited current operations or potential future plans for our operations.</w:t>
      </w:r>
    </w:p>
    <w:p>
      <w:pPr>
        <w:pStyle w:val="TextBody"/>
        <w:bidi w:val="0"/>
        <w:spacing w:before="0" w:after="200"/>
        <w:ind w:left="0" w:right="0" w:hanging="0"/>
        <w:jc w:val="left"/>
        <w:rPr>
          <w:rFonts w:ascii="Arial;Helvetica;sans-serif" w:hAnsi="Arial;Helvetica;sans-serif"/>
          <w:b/>
          <w:sz w:val="20"/>
          <w:shd w:fill="FFFFFF" w:val="clear"/>
        </w:rPr>
      </w:pPr>
      <w:r>
        <w:rPr>
          <w:rFonts w:ascii="Arial;Helvetica;sans-serif" w:hAnsi="Arial;Helvetica;sans-serif"/>
          <w:b/>
          <w:sz w:val="20"/>
          <w:shd w:fill="FFFFFF" w:val="clear"/>
        </w:rPr>
        <w:t>Risks Related to our Business</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We are a shell company, and our only material assets are cash on hand, the claims asserted in the Foxconn Litigation, claims that the Company may have against other parties, and NOLs.</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As a shell company (as defined in Rule 12b-2 of the Exchange Act), our only material assets are cash on hand and intangible assets, including the claims asserted in the Foxconn Litigation, claims the Company may have against other parties and NOLs. As of March 31, 2024, we had $19.7 million cash and cash equivalents, excluding restricted cash. For the foreseeable future, our principal source of revenue and cash flow will be investment income from our investment portfolio, if any. We anticipate relying upon such liquid assets to sustain operating expenses, unless or until the consummation of a business combination or we are able to secure additional funding, if at all. We cannot provide any assurance that we will identify a suitable business opportunity, consummate a business combination or that our choice of business combination will result in profitable operations, the ability to generate cash or the effective utilization of our NOLs. Moreover, there can be no assurance that financing will be available to us on favorable terms and timing or at all. We and our auditors have identified conditions and events that raise substantial doubt about our ability to continue as a going concern. If we are not able to continue as a going concern, or if there is continued doubt about our ability to do so, the value of your investment would be materially and adversely affected. We cannot predict or quantify the ultimate impact that events that have occurred during or upon our emergence from the Chapter 11 Cases may have on ultimate recovery for stakeholders, including creditors and stockholders.</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The expenses and awards, if any, attributable to the Foxconn Litigation is uncertain.</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Due to the inherent uncertainties of litigation and regulatory proceedings, we cannot accurately predict the ultimate outcome of the Foxconn Litigation. An unfavorable outcome could have a material adverse effect on our business, financial condition and results of operations. Regardless of the outcome of the Foxconn Litigation, it is likely to result in substantial expenses and may require us to devote substantial resources, including management’s time, to it. No assurances can be provided as to the Company having sufficient resources to pursue the Foxconn Litigation, the outcome or recoveries, if any.</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Our Board of Directors may change our business plan and strategy without stockholder approval, which could alter the nature of your investment.</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Our Board of Directors is developing and reviewing its business plan and strategy for the Company and determining what is in the best interest of our stockholders. This business plan and strategy may change over time. The methods of implementing our business plan and strategy may vary, as trends emerge and opportunities develop. Our business plan and strategy, the methods for its implementation, and our other objectives, may be altered by our board of directors without the approval of our stockholders. As a result, the nature of your investment could change without your consent.</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Our business depends on the continuing efforts of our management and third parties. If it loses their services, our business may be severely disrupted.</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We do not have any full-time employees. Our business operations depend on the efforts of consultants and professional service providers to execute our business plan, operations and internal controls, including all of our financial reporting and claims reconciliation. If our Chief Executive Officer or key consultants become unable or unwilling to continue providing their services to us, we might not be able to replace them in a timely manner, or at all. We may incur additional expenses to recruit and retain qualified replacements. As a result, our business may be severely disrupted and our financial condition and results of operations may be materially and adversely affected.</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33</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Failure to maintain an effective internal control over financial reporting may cause our investors to lose confidence in our financial and other reports.</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As a public company, we are subject to the reporting requirements of the Exchange Act and the Sarbanes-Oxley Act of 2002. The Exchange Act requires, among other things, that the combined company file annual reports with respect to our business and financial condition. Section 404 of the Sarbanes-Oxley Act requires, among other things, that we include a report of our management on our internal control over financial reporting. We are also required to include certifications of our management regarding the effectiveness of our disclosure controls and procedures. If we cannot effectively maintain our controls and procedures, we could suffer material misstatements in our financial statements and other information it reports which would likely cause investors to lose confidence. This lack of confidence could lead to a decline in the trading price of our common stock.</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The Internal Revenue Service (“IRS”) could challenge the amount, timing and/or use of our NOL carryforwards.</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 amount of our NOL carryforwards has not been audited or otherwise validated by the IRS. Among other things, the IRS could challenge whether an ownership change has occurred since November 2020, as well as the amount, the timing and/or our use of our NOLs. Any such challenge, if successful, could significantly limit our ability to utilize a portion or all of our NOL carryforwards. In addition, calculating whether an ownership change has occurred within the meaning of Section 382 of the Code is subject to inherent uncertainty, both because of the complexity of applying Section 382 of the Code and because of limitations on a publicly-traded company’s knowledge as to the ownership of, and transactions in, its securities. Therefore, the calculation of the amount of our utilizable NOL carryforwards could be changed as a result of a successful challenge by the IRS or as a result of new information about the ownership of, and transactions in, our securities.</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We may be subject to additional litigation related to the Chapter 11 Cases</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shd w:fill="FFFFFF" w:val="clear"/>
        </w:rPr>
        <w:t>Pursuant to the terms of the Plan, a significant amount of our cash on hand is being used to settle outstanding claims against the Company, including litigation claims. However, we, or our indemnified directors and officers, may be subject to additional litigation and claims in connection with the Chapter 11 Cases that may be asserted after our emergence from bankruptcy and that may be currently unknown to us and for which we do not have the resources to adequately defend or dispute such claims,</w:t>
      </w:r>
      <w:r>
        <w:rPr>
          <w:rFonts w:ascii="Times New Roman;Times;serif" w:hAnsi="Times New Roman;Times;serif"/>
          <w:sz w:val="20"/>
        </w:rPr>
        <w:t xml:space="preserve"> </w:t>
      </w:r>
      <w:r>
        <w:rPr>
          <w:rFonts w:ascii="Arial;Helvetica;sans-serif" w:hAnsi="Arial;Helvetica;sans-serif"/>
          <w:sz w:val="20"/>
          <w:shd w:fill="FFFFFF" w:val="clear"/>
        </w:rPr>
        <w:t>including, but not limited to those proofs of claim filed as unliquidated. We cannot provide any assurances as to what our total actual liabilities will be based on any such claims.</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Our public shareholders may not be afforded an opportunity to vote on a proposed business combination.</w:t>
      </w:r>
    </w:p>
    <w:p>
      <w:pPr>
        <w:pStyle w:val="TextBody"/>
        <w:bidi w:val="0"/>
        <w:spacing w:before="0" w:after="200"/>
        <w:ind w:left="0" w:right="0" w:hanging="0"/>
        <w:jc w:val="left"/>
        <w:rPr>
          <w:rFonts w:ascii="Times New Roman;Times;serif" w:hAnsi="Times New Roman;Times;serif"/>
          <w:sz w:val="20"/>
        </w:rPr>
      </w:pPr>
      <w:r>
        <w:rPr>
          <w:rFonts w:ascii="Arial;Helvetica;sans-serif" w:hAnsi="Arial;Helvetica;sans-serif"/>
          <w:sz w:val="20"/>
          <w:shd w:fill="FFFFFF" w:val="clear"/>
        </w:rPr>
        <w:t>We may choose not to hold a shareholder vote to approve a business combination if the business combination would not require shareholder approval under applicable law or stock exchange listing requirement.</w:t>
      </w:r>
      <w:r>
        <w:rPr>
          <w:rFonts w:ascii="Times New Roman;Times;serif" w:hAnsi="Times New Roman;Times;serif"/>
          <w:sz w:val="20"/>
        </w:rPr>
        <w:t xml:space="preserve"> </w:t>
      </w:r>
      <w:r>
        <w:rPr>
          <w:rFonts w:ascii="Arial;Helvetica;sans-serif" w:hAnsi="Arial;Helvetica;sans-serif"/>
          <w:sz w:val="20"/>
          <w:shd w:fill="FFFFFF" w:val="clear"/>
        </w:rPr>
        <w:t>For instance, if we were seeking to acquire a target business where the consideration we were paying in the transaction was all cash, we would typically not be required to seek shareholder approval to complete such a transaction. Except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34</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200"/>
        <w:ind w:left="0" w:right="0" w:hanging="0"/>
        <w:jc w:val="left"/>
        <w:rPr>
          <w:rFonts w:ascii="Arial;Helvetica;sans-serif" w:hAnsi="Arial;Helvetica;sans-serif"/>
          <w:b/>
          <w:sz w:val="20"/>
          <w:shd w:fill="FFFFFF" w:val="clear"/>
        </w:rPr>
      </w:pPr>
      <w:r>
        <w:rPr>
          <w:rFonts w:ascii="Arial;Helvetica;sans-serif" w:hAnsi="Arial;Helvetica;sans-serif"/>
          <w:b/>
          <w:sz w:val="20"/>
          <w:shd w:fill="FFFFFF" w:val="clear"/>
        </w:rPr>
        <w:t>Risks Related to our Securities</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Our Preferred Stock ranks senior to our Class A common stock, which may adversely affect holders of our Class A common stock.</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 xml:space="preserve">We have issued shares of Preferred Stock that, subject to the outcome of the Foxconn Litigation, ranks senior to our Class A common stock in priority of distribution rights and rights upon our liquidation, dissolution or winding up, accrues dividends and is convertible into Class A common stock and provides associated corporate governance rights and rights with respect to subsequent transactions, which may adversely affect and/or limit the influence of holders of our Class A common stock. </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The Preferred Stock liquidation preference amount is equal to approximately $30 million, plus accrued dividends. Pursuant to the Plan, the Preferred Stock held by Foxconn will remain outstanding and its rights with respect to its preferred equity, including with respect to any liquidation preference which has or may become due, are unimpaired. We would vigorously oppose any assertion of Foxconn’s entitlement to receive the liquidation preference, but if we would be unsuccessful, may materially affect our ability to continue as a going concern.</w:t>
      </w:r>
    </w:p>
    <w:p>
      <w:pPr>
        <w:pStyle w:val="TextBody"/>
        <w:bidi w:val="0"/>
        <w:spacing w:before="0" w:after="20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As long as Foxconn, subject to the outcome of the Foxconn Litigation, or another party or concentrated group owns or controls a significant percentage of our Preferred Stock or outstanding voting power, they have the ability to have a significant influence on our actions and operation of the Board and to influence certain corporate actions requiring stockholder approval, including the election of directors, any amendment of our Charter and the approval of significant corporate transactions. On a pro forma basis, after giving effect to the conversion of its Preferred Stock and accrued dividends (but not the exercise of the Foxconn Warrants as they are currently substantially out of the money), Foxconn would hold shares of Class A common stock representing approximately 14% of our outstanding Class A common stock as of March 31, 2024. This concentration of voting power and other rights could have the effect of delaying or preventing a change of control or changes in management and would make the approval of certain transactions difficult or impossible without the support of these significant stockholders. Any of the foregoing could impact our ability to run our business and may adversely affect the influence of the holders and market price of our Class A common stock.</w:t>
      </w:r>
    </w:p>
    <w:p>
      <w:pPr>
        <w:pStyle w:val="TextBody"/>
        <w:bidi w:val="0"/>
        <w:spacing w:before="0" w:after="200"/>
        <w:ind w:left="0" w:right="0" w:hanging="0"/>
        <w:jc w:val="left"/>
        <w:rPr>
          <w:rFonts w:ascii="Arial;Helvetica;sans-serif" w:hAnsi="Arial;Helvetica;sans-serif"/>
          <w:b/>
          <w:i/>
          <w:sz w:val="20"/>
          <w:shd w:fill="FFFFFF" w:val="clear"/>
        </w:rPr>
      </w:pPr>
      <w:r>
        <w:rPr>
          <w:rFonts w:ascii="Arial;Helvetica;sans-serif" w:hAnsi="Arial;Helvetica;sans-serif"/>
          <w:b/>
          <w:i/>
          <w:sz w:val="20"/>
          <w:shd w:fill="FFFFFF" w:val="clear"/>
        </w:rPr>
        <w:t>Our Class A common stock trades on an over-the-counter market.</w:t>
      </w:r>
    </w:p>
    <w:p>
      <w:pPr>
        <w:pStyle w:val="TextBody"/>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On August 6, 2023, our Class A common stock was delisted from Nasdaq. As a result of the delisting, our Class A common stock currently trades on the OTC Pink Marketplace under the symbol “NRDE”, and such market is currently the only trading market for our Class A common stock, which subjects the Company and our stockholders to certain significant risks including:</w:t>
      </w:r>
    </w:p>
    <w:p>
      <w:pPr>
        <w:pStyle w:val="TextBody"/>
        <w:bidi w:val="0"/>
        <w:spacing w:before="0" w:after="0"/>
        <w:ind w:left="0" w:right="0" w:hanging="0"/>
        <w:jc w:val="left"/>
        <w:rPr>
          <w:shd w:fill="FFFFFF" w:val="clear"/>
        </w:rPr>
      </w:pPr>
      <w:r>
        <w:rPr>
          <w:shd w:fill="FFFFFF" w:val="clear"/>
        </w:rPr>
        <w:t>​</w:t>
      </w:r>
    </w:p>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limited availability of market quotations for our securities;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reduced liquidity for our securities;</w:t>
            </w:r>
          </w:p>
        </w:tc>
      </w:tr>
    </w:tbl>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limited amount of news and analyst coverage or no coverage at all;</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decreased ability to issue additional securities or obtain additional financing in the future;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our securities are no longer “covered securities” under the National Securities Markets Improvement Act of 1996, and therefore subject to regulation in each state in which we offer securities.</w:t>
            </w:r>
          </w:p>
        </w:tc>
      </w:tr>
    </w:tbl>
    <w:p>
      <w:pPr>
        <w:pStyle w:val="TextBody"/>
        <w:bidi w:val="0"/>
        <w:spacing w:before="0" w:after="0"/>
        <w:ind w:left="0" w:right="0" w:hanging="0"/>
        <w:jc w:val="left"/>
        <w:rPr>
          <w:shd w:fill="FFFFFF" w:val="clear"/>
        </w:rPr>
      </w:pPr>
      <w:r>
        <w:rPr>
          <w:shd w:fill="FFFFFF" w:val="clear"/>
        </w:rPr>
        <w:t>​</w:t>
      </w:r>
    </w:p>
    <w:p>
      <w:pPr>
        <w:pStyle w:val="TextBody"/>
        <w:pBdr/>
        <w:bidi w:val="0"/>
        <w:spacing w:before="0" w:after="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We can provide no assurance that our Class A common stock will continue to trade on this market or any other market, whether broker-dealers will continue to provide public quotes of our Class A common stock on this market, whether the trading volume of our Class A common stock will be sufficient to provide for an efficient trading market or whether quotes for our Class A common stock will continue on this market in the future, which could result in significantly lower trading volumes and reduced liquidity for investors seeking to buy or sell our Class A common stock. The ability of our investors to access the capital markets may be severely limited or eliminated. Furthermore, because of the limited market and generally low volume of trading in our Class A common stock, the price of our Class A common stock is likely to be volatile.</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35</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Arial;Helvetica;sans-serif" w:hAnsi="Arial;Helvetica;sans-serif"/>
          <w:b/>
          <w:sz w:val="20"/>
        </w:rPr>
      </w:pPr>
      <w:bookmarkStart w:id="602" w:name="Item2UnregisteredSalesofEquitySecurities"/>
      <w:bookmarkStart w:id="603" w:name="_faeb7ea8_5527_4f2f_b3bb_cf48996113d3"/>
      <w:bookmarkEnd w:id="602"/>
      <w:bookmarkEnd w:id="603"/>
      <w:r>
        <w:rPr>
          <w:rFonts w:ascii="Arial;Helvetica;sans-serif" w:hAnsi="Arial;Helvetica;sans-serif"/>
          <w:b/>
          <w:sz w:val="20"/>
        </w:rPr>
        <w:t>Item 2. Unregistered Sales of Equity Securities and Use of Proceeds</w:t>
      </w:r>
    </w:p>
    <w:p>
      <w:pPr>
        <w:pStyle w:val="TextBody"/>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None</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left"/>
        <w:rPr>
          <w:rFonts w:ascii="Arial;Helvetica;sans-serif" w:hAnsi="Arial;Helvetica;sans-serif"/>
          <w:b/>
          <w:sz w:val="20"/>
        </w:rPr>
      </w:pPr>
      <w:bookmarkStart w:id="604" w:name="_fc3f4a55_4526_4c5a_8966_59c4e1ec015c"/>
      <w:bookmarkEnd w:id="604"/>
      <w:r>
        <w:rPr>
          <w:rFonts w:ascii="Arial;Helvetica;sans-serif" w:hAnsi="Arial;Helvetica;sans-serif"/>
          <w:b/>
          <w:sz w:val="20"/>
        </w:rPr>
        <w:t>Item 3. Defaults upon Senior Securities</w:t>
      </w:r>
    </w:p>
    <w:p>
      <w:pPr>
        <w:pStyle w:val="TextBody"/>
        <w:pBdr/>
        <w:shd w:fill="FFFFFF" w:val="clear"/>
        <w:bidi w:val="0"/>
        <w:spacing w:before="0" w:after="0"/>
        <w:ind w:left="0" w:right="0" w:hanging="0"/>
        <w:jc w:val="both"/>
        <w:rPr>
          <w:rFonts w:ascii="Arial;Helvetica;sans-serif" w:hAnsi="Arial;Helvetica;sans-serif"/>
          <w:sz w:val="20"/>
        </w:rPr>
      </w:pPr>
      <w:r>
        <w:rPr>
          <w:rFonts w:ascii="Arial;Helvetica;sans-serif" w:hAnsi="Arial;Helvetica;sans-serif"/>
          <w:sz w:val="20"/>
        </w:rPr>
        <w:t>None</w:t>
      </w:r>
    </w:p>
    <w:p>
      <w:pPr>
        <w:pStyle w:val="TextBody"/>
        <w:pBdr/>
        <w:shd w:fill="FFFFFF" w:val="clear"/>
        <w:bidi w:val="0"/>
        <w:spacing w:before="0" w:after="0"/>
        <w:ind w:left="0" w:right="0" w:hanging="0"/>
        <w:jc w:val="left"/>
        <w:rPr>
          <w:rFonts w:ascii="Arial;Helvetica;sans-serif" w:hAnsi="Arial;Helvetica;sans-serif"/>
          <w:b/>
          <w:sz w:val="20"/>
        </w:rPr>
      </w:pPr>
      <w:bookmarkStart w:id="605" w:name="_2a73d2c1_3b82_40e1_a37d_9ef6cd073cdf"/>
      <w:bookmarkEnd w:id="605"/>
      <w:r>
        <w:rPr>
          <w:rFonts w:ascii="Arial;Helvetica;sans-serif" w:hAnsi="Arial;Helvetica;sans-serif"/>
          <w:b/>
          <w:sz w:val="20"/>
        </w:rPr>
        <w:t>Item 4. Mine Safety Disclosures</w:t>
      </w:r>
    </w:p>
    <w:p>
      <w:pPr>
        <w:pStyle w:val="TextBody"/>
        <w:shd w:fill="FFFFFF" w:val="clear"/>
        <w:bidi w:val="0"/>
        <w:spacing w:before="0" w:after="200"/>
        <w:ind w:left="0" w:right="0" w:hanging="0"/>
        <w:jc w:val="both"/>
        <w:rPr>
          <w:rFonts w:ascii="Arial;Helvetica;sans-serif" w:hAnsi="Arial;Helvetica;sans-serif"/>
          <w:sz w:val="20"/>
        </w:rPr>
      </w:pPr>
      <w:r>
        <w:rPr>
          <w:rFonts w:ascii="Arial;Helvetica;sans-serif" w:hAnsi="Arial;Helvetica;sans-serif"/>
          <w:sz w:val="20"/>
        </w:rPr>
        <w:t>Not applicable.</w:t>
      </w:r>
    </w:p>
    <w:p>
      <w:pPr>
        <w:pStyle w:val="TextBody"/>
        <w:bidi w:val="0"/>
        <w:spacing w:before="0" w:after="200"/>
        <w:ind w:left="0" w:right="0" w:hanging="0"/>
        <w:jc w:val="left"/>
        <w:rPr>
          <w:rFonts w:ascii="Arial;Helvetica;sans-serif" w:hAnsi="Arial;Helvetica;sans-serif"/>
          <w:b/>
          <w:sz w:val="20"/>
        </w:rPr>
      </w:pPr>
      <w:bookmarkStart w:id="606" w:name="Item5otherinformation"/>
      <w:bookmarkStart w:id="607" w:name="_f33c848a_31c0_44d4_83c2_f6644e748e99"/>
      <w:bookmarkEnd w:id="606"/>
      <w:bookmarkEnd w:id="607"/>
      <w:r>
        <w:rPr>
          <w:rFonts w:ascii="Arial;Helvetica;sans-serif" w:hAnsi="Arial;Helvetica;sans-serif"/>
          <w:b/>
          <w:sz w:val="20"/>
        </w:rPr>
        <w:t>Item 5. Other Information</w:t>
      </w:r>
    </w:p>
    <w:tbl>
      <w:tblPr>
        <w:tblW w:w="1896" w:type="dxa"/>
        <w:jc w:val="left"/>
        <w:tblInd w:w="0" w:type="dxa"/>
        <w:tblLayout w:type="fixed"/>
        <w:tblCellMar>
          <w:top w:w="28" w:type="dxa"/>
          <w:left w:w="28" w:type="dxa"/>
          <w:bottom w:w="28" w:type="dxa"/>
          <w:right w:w="28" w:type="dxa"/>
        </w:tblCellMar>
      </w:tblPr>
      <w:tblGrid>
        <w:gridCol w:w="124"/>
        <w:gridCol w:w="331"/>
        <w:gridCol w:w="144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14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applicable.</w:t>
            </w:r>
          </w:p>
        </w:tc>
      </w:tr>
    </w:tbl>
    <w:tbl>
      <w:tblPr>
        <w:tblW w:w="1116" w:type="dxa"/>
        <w:jc w:val="left"/>
        <w:tblInd w:w="0" w:type="dxa"/>
        <w:tblLayout w:type="fixed"/>
        <w:tblCellMar>
          <w:top w:w="28" w:type="dxa"/>
          <w:left w:w="28" w:type="dxa"/>
          <w:bottom w:w="28" w:type="dxa"/>
          <w:right w:w="28" w:type="dxa"/>
        </w:tblCellMar>
      </w:tblPr>
      <w:tblGrid>
        <w:gridCol w:w="124"/>
        <w:gridCol w:w="331"/>
        <w:gridCol w:w="66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6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None.</w:t>
            </w:r>
          </w:p>
        </w:tc>
      </w:tr>
    </w:tbl>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784"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During the quarter ended March 31, 2024, none</w:t>
            </w:r>
            <w:r>
              <w:rPr>
                <w:caps w:val="false"/>
                <w:smallCaps w:val="false"/>
              </w:rPr>
              <w:t xml:space="preserve"> </w:t>
            </w:r>
            <w:r>
              <w:rPr>
                <w:rFonts w:ascii="Arial;Helvetica;sans-serif" w:hAnsi="Arial;Helvetica;sans-serif"/>
                <w:b w:val="false"/>
                <w:i w:val="false"/>
                <w:caps w:val="false"/>
                <w:smallCaps w:val="false"/>
                <w:sz w:val="20"/>
              </w:rPr>
              <w:t>of our directors or officers adopted or terminated any “Rule 10b5-1 trading arrangement” or “non-Rule 10b5-1 trading arrangement,” (as each term is defined in Item 408(c) of Regulation S-K).</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36</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608" w:name="Item6Exhibits_824505"/>
      <w:bookmarkStart w:id="609" w:name="_9a080981_49bb_4bb5_bbe1_3591ce0fd5d4"/>
      <w:bookmarkEnd w:id="608"/>
      <w:bookmarkEnd w:id="609"/>
      <w:r>
        <w:rPr>
          <w:rFonts w:ascii="Arial;Helvetica;sans-serif" w:hAnsi="Arial;Helvetica;sans-serif"/>
          <w:b/>
          <w:sz w:val="20"/>
        </w:rPr>
        <w:t>Item 6. Exhibits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b/>
          <w:sz w:val="20"/>
        </w:rPr>
      </w:pPr>
      <w:bookmarkStart w:id="610" w:name="ExhibitIndex_586188"/>
      <w:bookmarkEnd w:id="610"/>
      <w:r>
        <w:rPr>
          <w:rFonts w:ascii="Arial;Helvetica;sans-serif" w:hAnsi="Arial;Helvetica;sans-serif"/>
          <w:b/>
          <w:sz w:val="20"/>
        </w:rPr>
        <w:t>Exhibit Index</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56"/>
        <w:gridCol w:w="326"/>
        <w:gridCol w:w="8723"/>
      </w:tblGrid>
      <w:tr>
        <w:trPr/>
        <w:tc>
          <w:tcPr>
            <w:tcW w:w="1156"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0"/>
              <w:ind w:left="0" w:right="0" w:hanging="0"/>
              <w:jc w:val="left"/>
              <w:rPr/>
            </w:pPr>
            <w:r>
              <w:rPr/>
              <w:t>​</w:t>
            </w:r>
          </w:p>
        </w:tc>
        <w:tc>
          <w:tcPr>
            <w:tcW w:w="8723" w:type="dxa"/>
            <w:tcBorders/>
            <w:vAlign w:val="center"/>
          </w:tcPr>
          <w:p>
            <w:pPr>
              <w:pStyle w:val="TableHeading"/>
              <w:bidi w:val="0"/>
              <w:spacing w:before="0" w:after="283"/>
              <w:ind w:left="0" w:right="0" w:hanging="0"/>
              <w:rPr>
                <w:sz w:val="4"/>
                <w:szCs w:val="4"/>
              </w:rPr>
            </w:pPr>
            <w:r>
              <w:rPr>
                <w:sz w:val="4"/>
                <w:szCs w:val="4"/>
              </w:rPr>
            </w:r>
          </w:p>
        </w:tc>
      </w:tr>
      <w:tr>
        <w:trPr/>
        <w:tc>
          <w:tcPr>
            <w:tcW w:w="1156" w:type="dxa"/>
            <w:tcBorders>
              <w:bottom w:val="single" w:sz="2" w:space="0" w:color="000000"/>
            </w:tcBorders>
            <w:tcMar>
              <w:bottom w:w="28" w:type="dxa"/>
            </w:tcMar>
            <w:vAlign w:val="center"/>
          </w:tcPr>
          <w:p>
            <w:pPr>
              <w:pStyle w:val="TableHeading"/>
              <w:bidi w:val="0"/>
              <w:spacing w:before="0" w:after="0"/>
              <w:ind w:left="0" w:right="0" w:hanging="0"/>
              <w:jc w:val="left"/>
              <w:rPr>
                <w:rFonts w:ascii="Arial;Helvetica;sans-serif" w:hAnsi="Arial;Helvetica;sans-serif"/>
                <w:b/>
                <w:sz w:val="20"/>
              </w:rPr>
            </w:pPr>
            <w:r>
              <w:rPr>
                <w:rFonts w:ascii="Arial;Helvetica;sans-serif" w:hAnsi="Arial;Helvetica;sans-serif"/>
                <w:b/>
                <w:sz w:val="20"/>
              </w:rPr>
              <w:t>Exhibit No.</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8723" w:type="dxa"/>
            <w:tcBorders>
              <w:bottom w:val="single" w:sz="2" w:space="0" w:color="000000"/>
            </w:tcBorders>
            <w:tcMar>
              <w:bottom w:w="28" w:type="dxa"/>
            </w:tcMar>
            <w:vAlign w:val="center"/>
          </w:tcPr>
          <w:p>
            <w:pPr>
              <w:pStyle w:val="TableHeading"/>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Description</w:t>
            </w:r>
          </w:p>
        </w:tc>
      </w:tr>
      <w:tr>
        <w:trPr/>
        <w:tc>
          <w:tcPr>
            <w:tcW w:w="1156" w:type="dxa"/>
            <w:tcBorders/>
            <w:vAlign w:val="center"/>
          </w:tcPr>
          <w:p>
            <w:pPr>
              <w:pStyle w:val="TableHeading"/>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2.1</w:t>
            </w:r>
          </w:p>
        </w:tc>
        <w:tc>
          <w:tcPr>
            <w:tcW w:w="326" w:type="dxa"/>
            <w:tcBorders/>
            <w:vAlign w:val="center"/>
          </w:tcPr>
          <w:p>
            <w:pPr>
              <w:pStyle w:val="TableHeading"/>
              <w:bidi w:val="0"/>
              <w:spacing w:before="0" w:after="0"/>
              <w:ind w:left="0" w:right="0" w:hanging="0"/>
              <w:jc w:val="left"/>
              <w:rPr/>
            </w:pPr>
            <w:r>
              <w:rPr/>
              <w:t>​</w:t>
            </w:r>
          </w:p>
        </w:tc>
        <w:tc>
          <w:tcPr>
            <w:tcW w:w="8723" w:type="dxa"/>
            <w:tcBorders/>
            <w:vAlign w:val="center"/>
          </w:tcPr>
          <w:p>
            <w:pPr>
              <w:pStyle w:val="TableHeading"/>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4"/>
                </w:rPr>
                <w:t>Third Modified First Amended Joint Chapter 11 Plan of Lordstown Motors Corp. and Its Affiliated Debtors (incorporated by reference to Exhibit 2.1 on Form 8-K filed with the SEC on March 7, 2024).</w:t>
              </w:r>
            </w:hyperlink>
            <w:r>
              <w:rPr>
                <w:rFonts w:ascii="Times New Roman;Times;serif" w:hAnsi="Times New Roman;Times;serif"/>
                <w:b w:val="false"/>
                <w:sz w:val="24"/>
              </w:rPr>
              <w:t xml:space="preserve"> </w:t>
            </w:r>
          </w:p>
        </w:tc>
      </w:tr>
      <w:tr>
        <w:trPr/>
        <w:tc>
          <w:tcPr>
            <w:tcW w:w="1156" w:type="dxa"/>
            <w:tcBorders/>
            <w:vAlign w:val="center"/>
          </w:tcPr>
          <w:p>
            <w:pPr>
              <w:pStyle w:val="TableHeading"/>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3.1</w:t>
            </w:r>
          </w:p>
        </w:tc>
        <w:tc>
          <w:tcPr>
            <w:tcW w:w="326" w:type="dxa"/>
            <w:tcBorders/>
            <w:vAlign w:val="center"/>
          </w:tcPr>
          <w:p>
            <w:pPr>
              <w:pStyle w:val="TableHeading"/>
              <w:bidi w:val="0"/>
              <w:spacing w:before="0" w:after="0"/>
              <w:ind w:left="0" w:right="0" w:hanging="0"/>
              <w:jc w:val="left"/>
              <w:rPr/>
            </w:pPr>
            <w:r>
              <w:rPr/>
              <w:t>​</w:t>
            </w:r>
          </w:p>
        </w:tc>
        <w:tc>
          <w:tcPr>
            <w:tcW w:w="8723" w:type="dxa"/>
            <w:tcBorders/>
            <w:vAlign w:val="center"/>
          </w:tcPr>
          <w:p>
            <w:pPr>
              <w:pStyle w:val="TableHeading"/>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4"/>
                </w:rPr>
                <w:t>Third Amended and Restated Certificate of Incorporation (incorporated by reference to the Company’s Current Report on Form 8-K filed with the SEC on March 15, 2024).</w:t>
              </w:r>
            </w:hyperlink>
          </w:p>
        </w:tc>
      </w:tr>
      <w:tr>
        <w:trPr/>
        <w:tc>
          <w:tcPr>
            <w:tcW w:w="1156" w:type="dxa"/>
            <w:tcBorders/>
            <w:vAlign w:val="center"/>
          </w:tcPr>
          <w:p>
            <w:pPr>
              <w:pStyle w:val="TableHeading"/>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3.2</w:t>
            </w:r>
          </w:p>
        </w:tc>
        <w:tc>
          <w:tcPr>
            <w:tcW w:w="326" w:type="dxa"/>
            <w:tcBorders/>
            <w:vAlign w:val="center"/>
          </w:tcPr>
          <w:p>
            <w:pPr>
              <w:pStyle w:val="TableHeading"/>
              <w:bidi w:val="0"/>
              <w:spacing w:before="0" w:after="0"/>
              <w:ind w:left="0" w:right="0" w:hanging="0"/>
              <w:jc w:val="left"/>
              <w:rPr/>
            </w:pPr>
            <w:r>
              <w:rPr/>
              <w:t>​</w:t>
            </w:r>
          </w:p>
        </w:tc>
        <w:tc>
          <w:tcPr>
            <w:tcW w:w="8723" w:type="dxa"/>
            <w:tcBorders/>
            <w:vAlign w:val="center"/>
          </w:tcPr>
          <w:p>
            <w:pPr>
              <w:pStyle w:val="TableHeading"/>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4"/>
                </w:rPr>
                <w:t>Second Amended and Restated Bylaws (incorporated by reference to the Company’s Current Report on Form 8-K filed with the SEC on March 15, 2024).</w:t>
              </w:r>
            </w:hyperlink>
          </w:p>
        </w:tc>
      </w:tr>
      <w:tr>
        <w:trPr/>
        <w:tc>
          <w:tcPr>
            <w:tcW w:w="1156" w:type="dxa"/>
            <w:tcBorders/>
            <w:vAlign w:val="center"/>
          </w:tcPr>
          <w:p>
            <w:pPr>
              <w:pStyle w:val="TableHeading"/>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10.1#*</w:t>
            </w:r>
          </w:p>
        </w:tc>
        <w:tc>
          <w:tcPr>
            <w:tcW w:w="326" w:type="dxa"/>
            <w:tcBorders/>
            <w:vAlign w:val="center"/>
          </w:tcPr>
          <w:p>
            <w:pPr>
              <w:pStyle w:val="TableHeading"/>
              <w:bidi w:val="0"/>
              <w:spacing w:before="0" w:after="0"/>
              <w:ind w:left="0" w:right="0" w:hanging="0"/>
              <w:jc w:val="left"/>
              <w:rPr/>
            </w:pPr>
            <w:r>
              <w:rPr/>
              <w:t>​</w:t>
            </w:r>
          </w:p>
        </w:tc>
        <w:tc>
          <w:tcPr>
            <w:tcW w:w="8723" w:type="dxa"/>
            <w:tcBorders/>
            <w:vAlign w:val="center"/>
          </w:tcPr>
          <w:p>
            <w:pPr>
              <w:pStyle w:val="TableHeading"/>
              <w:bidi w:val="0"/>
              <w:spacing w:before="0" w:after="0"/>
              <w:ind w:left="0" w:right="0" w:hanging="0"/>
              <w:jc w:val="left"/>
              <w:rPr/>
            </w:pPr>
            <w:hyperlink w:anchor="tmb-20240331xex10d1.htm">
              <w:r>
                <w:rPr>
                  <w:rStyle w:val="InternetLink"/>
                  <w:rFonts w:ascii="Times New Roman;Times;serif" w:hAnsi="Times New Roman;Times;serif"/>
                  <w:b w:val="false"/>
                  <w:i w:val="false"/>
                  <w:caps w:val="false"/>
                  <w:smallCaps w:val="false"/>
                  <w:sz w:val="24"/>
                </w:rPr>
                <w:t>Severance and Consulting Agreement, dated March 13, 2024, between Lordstown Motors Corp. and Daniel Ninivaggi.</w:t>
              </w:r>
            </w:hyperlink>
          </w:p>
        </w:tc>
      </w:tr>
      <w:tr>
        <w:trPr/>
        <w:tc>
          <w:tcPr>
            <w:tcW w:w="1156" w:type="dxa"/>
            <w:tcBorders/>
            <w:vAlign w:val="center"/>
          </w:tcPr>
          <w:p>
            <w:pPr>
              <w:pStyle w:val="TableHeading"/>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10.2#*</w:t>
            </w:r>
          </w:p>
        </w:tc>
        <w:tc>
          <w:tcPr>
            <w:tcW w:w="326" w:type="dxa"/>
            <w:tcBorders/>
            <w:vAlign w:val="center"/>
          </w:tcPr>
          <w:p>
            <w:pPr>
              <w:pStyle w:val="TableHeading"/>
              <w:bidi w:val="0"/>
              <w:spacing w:before="0" w:after="0"/>
              <w:ind w:left="0" w:right="0" w:hanging="0"/>
              <w:jc w:val="left"/>
              <w:rPr/>
            </w:pPr>
            <w:r>
              <w:rPr/>
              <w:t>​</w:t>
            </w:r>
          </w:p>
        </w:tc>
        <w:tc>
          <w:tcPr>
            <w:tcW w:w="8723" w:type="dxa"/>
            <w:tcBorders/>
            <w:vAlign w:val="center"/>
          </w:tcPr>
          <w:p>
            <w:pPr>
              <w:pStyle w:val="TableHeading"/>
              <w:bidi w:val="0"/>
              <w:spacing w:before="0" w:after="0"/>
              <w:ind w:left="0" w:right="0" w:hanging="0"/>
              <w:jc w:val="left"/>
              <w:rPr/>
            </w:pPr>
            <w:hyperlink w:anchor="tmb-20240331xex10d2.htm">
              <w:r>
                <w:rPr>
                  <w:rStyle w:val="InternetLink"/>
                  <w:rFonts w:ascii="Times New Roman;Times;serif" w:hAnsi="Times New Roman;Times;serif"/>
                  <w:b w:val="false"/>
                  <w:i w:val="false"/>
                  <w:caps w:val="false"/>
                  <w:smallCaps w:val="false"/>
                  <w:sz w:val="24"/>
                </w:rPr>
                <w:t>Severance and Consulting Agreement, dated March 13, 2024, between Lordstown Motors Corp. and Adam Kroll.</w:t>
              </w:r>
            </w:hyperlink>
          </w:p>
        </w:tc>
      </w:tr>
      <w:tr>
        <w:trPr/>
        <w:tc>
          <w:tcPr>
            <w:tcW w:w="1156" w:type="dxa"/>
            <w:tcBorders/>
            <w:vAlign w:val="center"/>
          </w:tcPr>
          <w:p>
            <w:pPr>
              <w:pStyle w:val="TableHeading"/>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10.3#*</w:t>
            </w:r>
          </w:p>
        </w:tc>
        <w:tc>
          <w:tcPr>
            <w:tcW w:w="326" w:type="dxa"/>
            <w:tcBorders/>
            <w:vAlign w:val="center"/>
          </w:tcPr>
          <w:p>
            <w:pPr>
              <w:pStyle w:val="TableHeading"/>
              <w:bidi w:val="0"/>
              <w:spacing w:before="0" w:after="0"/>
              <w:ind w:left="0" w:right="0" w:hanging="0"/>
              <w:jc w:val="left"/>
              <w:rPr/>
            </w:pPr>
            <w:r>
              <w:rPr/>
              <w:t>​</w:t>
            </w:r>
          </w:p>
        </w:tc>
        <w:tc>
          <w:tcPr>
            <w:tcW w:w="8723" w:type="dxa"/>
            <w:tcBorders/>
            <w:vAlign w:val="center"/>
          </w:tcPr>
          <w:p>
            <w:pPr>
              <w:pStyle w:val="TableHeading"/>
              <w:bidi w:val="0"/>
              <w:spacing w:before="0" w:after="0"/>
              <w:ind w:left="0" w:right="0" w:hanging="0"/>
              <w:jc w:val="left"/>
              <w:rPr/>
            </w:pPr>
            <w:hyperlink w:anchor="tmb-20240331xex10d3.htm">
              <w:r>
                <w:rPr>
                  <w:rStyle w:val="InternetLink"/>
                  <w:rFonts w:ascii="Times New Roman;Times;serif" w:hAnsi="Times New Roman;Times;serif"/>
                  <w:b w:val="false"/>
                  <w:i w:val="false"/>
                  <w:caps w:val="false"/>
                  <w:smallCaps w:val="false"/>
                  <w:sz w:val="24"/>
                </w:rPr>
                <w:t>Severance and Consulting Agreement, dated March 13, 2024, between Lordstown Motors Corp. and Edward T. Hightower.</w:t>
              </w:r>
            </w:hyperlink>
          </w:p>
        </w:tc>
      </w:tr>
      <w:tr>
        <w:trPr/>
        <w:tc>
          <w:tcPr>
            <w:tcW w:w="1156" w:type="dxa"/>
            <w:tcBorders/>
            <w:vAlign w:val="center"/>
          </w:tcPr>
          <w:p>
            <w:pPr>
              <w:pStyle w:val="TableHeading"/>
              <w:bidi w:val="0"/>
              <w:spacing w:before="0" w:after="0"/>
              <w:ind w:left="0" w:right="0" w:hanging="0"/>
              <w:jc w:val="left"/>
              <w:rPr>
                <w:rFonts w:ascii="Arial;Helvetica;sans-serif" w:hAnsi="Arial;Helvetica;sans-serif"/>
                <w:b w:val="false"/>
                <w:sz w:val="20"/>
              </w:rPr>
            </w:pPr>
            <w:r>
              <w:rPr>
                <w:rFonts w:ascii="Arial;Helvetica;sans-serif" w:hAnsi="Arial;Helvetica;sans-serif"/>
                <w:b w:val="false"/>
                <w:sz w:val="20"/>
              </w:rPr>
              <w:t>10.4*</w:t>
            </w:r>
          </w:p>
        </w:tc>
        <w:tc>
          <w:tcPr>
            <w:tcW w:w="326" w:type="dxa"/>
            <w:tcBorders/>
            <w:vAlign w:val="center"/>
          </w:tcPr>
          <w:p>
            <w:pPr>
              <w:pStyle w:val="TableHeading"/>
              <w:bidi w:val="0"/>
              <w:spacing w:before="0" w:after="0"/>
              <w:ind w:left="0" w:right="0" w:hanging="0"/>
              <w:jc w:val="left"/>
              <w:rPr/>
            </w:pPr>
            <w:r>
              <w:rPr/>
              <w:t>​</w:t>
            </w:r>
          </w:p>
        </w:tc>
        <w:tc>
          <w:tcPr>
            <w:tcW w:w="8723" w:type="dxa"/>
            <w:tcBorders/>
            <w:vAlign w:val="center"/>
          </w:tcPr>
          <w:p>
            <w:pPr>
              <w:pStyle w:val="TableHeading"/>
              <w:bidi w:val="0"/>
              <w:spacing w:before="0" w:after="0"/>
              <w:ind w:left="0" w:right="0" w:hanging="0"/>
              <w:jc w:val="left"/>
              <w:rPr/>
            </w:pPr>
            <w:hyperlink w:anchor="tmb-20240331xex10d4.htm">
              <w:r>
                <w:rPr>
                  <w:rStyle w:val="InternetLink"/>
                  <w:rFonts w:ascii="Times New Roman;Times;serif" w:hAnsi="Times New Roman;Times;serif"/>
                  <w:b w:val="false"/>
                  <w:i w:val="false"/>
                  <w:caps w:val="false"/>
                  <w:smallCaps w:val="false"/>
                  <w:sz w:val="24"/>
                </w:rPr>
                <w:t>Engagement Letter, dated March 15, 2024, between Nu Ride Inc. and M3 Partners LP.</w:t>
              </w:r>
            </w:hyperlink>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31.1*</w:t>
            </w:r>
          </w:p>
        </w:tc>
        <w:tc>
          <w:tcPr>
            <w:tcW w:w="326" w:type="dxa"/>
            <w:tcBorders/>
            <w:vAlign w:val="center"/>
          </w:tcPr>
          <w:p>
            <w:pPr>
              <w:pStyle w:val="TableContents"/>
              <w:bidi w:val="0"/>
              <w:spacing w:before="0" w:after="0"/>
              <w:ind w:left="0" w:right="0" w:hanging="0"/>
              <w:jc w:val="left"/>
              <w:rPr/>
            </w:pPr>
            <w:r>
              <w:rPr/>
              <w:t>​</w:t>
            </w:r>
          </w:p>
        </w:tc>
        <w:tc>
          <w:tcPr>
            <w:tcW w:w="8723" w:type="dxa"/>
            <w:tcBorders/>
            <w:vAlign w:val="center"/>
          </w:tcPr>
          <w:p>
            <w:pPr>
              <w:pStyle w:val="TableContents"/>
              <w:bidi w:val="0"/>
              <w:spacing w:before="0" w:after="0"/>
              <w:ind w:left="0" w:right="0" w:hanging="0"/>
              <w:jc w:val="left"/>
              <w:rPr/>
            </w:pPr>
            <w:hyperlink w:anchor="tmb-20240331xex31d1.htm">
              <w:r>
                <w:rPr>
                  <w:rStyle w:val="InternetLink"/>
                  <w:rFonts w:ascii="Times New Roman;Times;serif" w:hAnsi="Times New Roman;Times;serif"/>
                  <w:b w:val="false"/>
                  <w:i w:val="false"/>
                  <w:caps w:val="false"/>
                  <w:smallCaps w:val="false"/>
                  <w:sz w:val="24"/>
                </w:rPr>
                <w:t>Certification of Principal Executive Officer and Principal Financial Officer pursuant to Section 302 of the Sarbanes-Oxley Act of 2002.</w:t>
              </w:r>
            </w:hyperlink>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32.1**</w:t>
            </w:r>
          </w:p>
        </w:tc>
        <w:tc>
          <w:tcPr>
            <w:tcW w:w="326" w:type="dxa"/>
            <w:tcBorders/>
            <w:vAlign w:val="center"/>
          </w:tcPr>
          <w:p>
            <w:pPr>
              <w:pStyle w:val="TableContents"/>
              <w:bidi w:val="0"/>
              <w:spacing w:before="0" w:after="0"/>
              <w:ind w:left="0" w:right="0" w:hanging="0"/>
              <w:jc w:val="left"/>
              <w:rPr/>
            </w:pPr>
            <w:r>
              <w:rPr/>
              <w:t>​</w:t>
            </w:r>
          </w:p>
        </w:tc>
        <w:tc>
          <w:tcPr>
            <w:tcW w:w="8723" w:type="dxa"/>
            <w:tcBorders/>
            <w:vAlign w:val="center"/>
          </w:tcPr>
          <w:p>
            <w:pPr>
              <w:pStyle w:val="TableContents"/>
              <w:bidi w:val="0"/>
              <w:spacing w:before="0" w:after="0"/>
              <w:ind w:left="0" w:right="0" w:hanging="0"/>
              <w:jc w:val="left"/>
              <w:rPr/>
            </w:pPr>
            <w:hyperlink w:anchor="tmb-20240331xex32d1.htm">
              <w:r>
                <w:rPr>
                  <w:rStyle w:val="InternetLink"/>
                  <w:rFonts w:ascii="Times New Roman;Times;serif" w:hAnsi="Times New Roman;Times;serif"/>
                  <w:b w:val="false"/>
                  <w:i w:val="false"/>
                  <w:caps w:val="false"/>
                  <w:smallCaps w:val="false"/>
                  <w:sz w:val="24"/>
                </w:rPr>
                <w:t>Certification of Principal Executive Officer and Principal Financial Officer pursuant to Section 906 of the Sarbanes-Oxley Act of 2002.</w:t>
              </w:r>
            </w:hyperlink>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99.1</w:t>
            </w:r>
          </w:p>
        </w:tc>
        <w:tc>
          <w:tcPr>
            <w:tcW w:w="326" w:type="dxa"/>
            <w:tcBorders/>
            <w:vAlign w:val="center"/>
          </w:tcPr>
          <w:p>
            <w:pPr>
              <w:pStyle w:val="TableContents"/>
              <w:bidi w:val="0"/>
              <w:spacing w:before="0" w:after="0"/>
              <w:ind w:left="0" w:right="0" w:hanging="0"/>
              <w:jc w:val="left"/>
              <w:rPr/>
            </w:pPr>
            <w:r>
              <w:rPr/>
              <w:t>​</w:t>
            </w:r>
          </w:p>
        </w:tc>
        <w:tc>
          <w:tcPr>
            <w:tcW w:w="872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4"/>
                </w:rPr>
                <w:t>Order (I) Confirming Third Modified First Amended Joint Chapter 11 Plan of Lordstown Motors Corp. and Its Affiliated Debtors and (II) Granting Related Relief (incorporated by reference to Exhibit 99.1 on Form 8-K filed with the SEC on March 7, 2024).</w:t>
              </w:r>
            </w:hyperlink>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101.INS*</w:t>
            </w:r>
          </w:p>
        </w:tc>
        <w:tc>
          <w:tcPr>
            <w:tcW w:w="326" w:type="dxa"/>
            <w:tcBorders/>
            <w:vAlign w:val="center"/>
          </w:tcPr>
          <w:p>
            <w:pPr>
              <w:pStyle w:val="TableContents"/>
              <w:bidi w:val="0"/>
              <w:spacing w:before="0" w:after="0"/>
              <w:ind w:left="0" w:right="0" w:hanging="0"/>
              <w:jc w:val="left"/>
              <w:rPr/>
            </w:pPr>
            <w:r>
              <w:rPr/>
              <w:t>​</w:t>
            </w:r>
          </w:p>
        </w:tc>
        <w:tc>
          <w:tcPr>
            <w:tcW w:w="87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Instance Document – the instance document does not appear in the Interactive Data File because its XBRL tags are embedded within the Inline XBRL document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101.SCH* </w:t>
            </w:r>
          </w:p>
        </w:tc>
        <w:tc>
          <w:tcPr>
            <w:tcW w:w="326" w:type="dxa"/>
            <w:tcBorders/>
            <w:vAlign w:val="center"/>
          </w:tcPr>
          <w:p>
            <w:pPr>
              <w:pStyle w:val="TableContents"/>
              <w:bidi w:val="0"/>
              <w:spacing w:before="0" w:after="0"/>
              <w:ind w:left="0" w:right="0" w:hanging="0"/>
              <w:jc w:val="left"/>
              <w:rPr/>
            </w:pPr>
            <w:r>
              <w:rPr/>
              <w:t>​</w:t>
            </w:r>
          </w:p>
        </w:tc>
        <w:tc>
          <w:tcPr>
            <w:tcW w:w="87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Schema Document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101.CAL* </w:t>
            </w:r>
          </w:p>
        </w:tc>
        <w:tc>
          <w:tcPr>
            <w:tcW w:w="326" w:type="dxa"/>
            <w:tcBorders/>
            <w:vAlign w:val="center"/>
          </w:tcPr>
          <w:p>
            <w:pPr>
              <w:pStyle w:val="TableContents"/>
              <w:bidi w:val="0"/>
              <w:spacing w:before="0" w:after="0"/>
              <w:ind w:left="0" w:right="0" w:hanging="0"/>
              <w:jc w:val="left"/>
              <w:rPr/>
            </w:pPr>
            <w:r>
              <w:rPr/>
              <w:t>​</w:t>
            </w:r>
          </w:p>
        </w:tc>
        <w:tc>
          <w:tcPr>
            <w:tcW w:w="87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Calculation Linkbase Document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101.DEF*</w:t>
            </w:r>
          </w:p>
        </w:tc>
        <w:tc>
          <w:tcPr>
            <w:tcW w:w="326" w:type="dxa"/>
            <w:tcBorders/>
            <w:vAlign w:val="center"/>
          </w:tcPr>
          <w:p>
            <w:pPr>
              <w:pStyle w:val="TableContents"/>
              <w:bidi w:val="0"/>
              <w:spacing w:before="0" w:after="0"/>
              <w:ind w:left="0" w:right="0" w:hanging="0"/>
              <w:jc w:val="left"/>
              <w:rPr/>
            </w:pPr>
            <w:r>
              <w:rPr/>
              <w:t>​</w:t>
            </w:r>
          </w:p>
        </w:tc>
        <w:tc>
          <w:tcPr>
            <w:tcW w:w="87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Definition Linkbase Document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101.LAB*</w:t>
            </w:r>
          </w:p>
        </w:tc>
        <w:tc>
          <w:tcPr>
            <w:tcW w:w="326" w:type="dxa"/>
            <w:tcBorders/>
            <w:vAlign w:val="center"/>
          </w:tcPr>
          <w:p>
            <w:pPr>
              <w:pStyle w:val="TableContents"/>
              <w:bidi w:val="0"/>
              <w:spacing w:before="0" w:after="0"/>
              <w:ind w:left="0" w:right="0" w:hanging="0"/>
              <w:jc w:val="left"/>
              <w:rPr/>
            </w:pPr>
            <w:r>
              <w:rPr/>
              <w:t>​</w:t>
            </w:r>
          </w:p>
        </w:tc>
        <w:tc>
          <w:tcPr>
            <w:tcW w:w="87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Label Linkbase Document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101.PRE*</w:t>
            </w:r>
          </w:p>
        </w:tc>
        <w:tc>
          <w:tcPr>
            <w:tcW w:w="326" w:type="dxa"/>
            <w:tcBorders/>
            <w:vAlign w:val="center"/>
          </w:tcPr>
          <w:p>
            <w:pPr>
              <w:pStyle w:val="TableContents"/>
              <w:bidi w:val="0"/>
              <w:spacing w:before="0" w:after="0"/>
              <w:ind w:left="0" w:right="0" w:hanging="0"/>
              <w:jc w:val="left"/>
              <w:rPr/>
            </w:pPr>
            <w:r>
              <w:rPr/>
              <w:t>​</w:t>
            </w:r>
          </w:p>
        </w:tc>
        <w:tc>
          <w:tcPr>
            <w:tcW w:w="87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Inline XBRL Taxonomy Extension Presentation Linkbase Document</w:t>
            </w:r>
          </w:p>
        </w:tc>
      </w:tr>
      <w:tr>
        <w:trPr/>
        <w:tc>
          <w:tcPr>
            <w:tcW w:w="115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26" w:type="dxa"/>
            <w:tcBorders/>
            <w:vAlign w:val="center"/>
          </w:tcPr>
          <w:p>
            <w:pPr>
              <w:pStyle w:val="TableContents"/>
              <w:bidi w:val="0"/>
              <w:spacing w:before="0" w:after="0"/>
              <w:ind w:left="0" w:right="0" w:hanging="0"/>
              <w:jc w:val="left"/>
              <w:rPr/>
            </w:pPr>
            <w:r>
              <w:rPr/>
              <w:t>​</w:t>
            </w:r>
          </w:p>
        </w:tc>
        <w:tc>
          <w:tcPr>
            <w:tcW w:w="872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6482" w:type="dxa"/>
        <w:jc w:val="left"/>
        <w:tblInd w:w="0" w:type="dxa"/>
        <w:tblLayout w:type="fixed"/>
        <w:tblCellMar>
          <w:top w:w="0" w:type="dxa"/>
          <w:left w:w="0" w:type="dxa"/>
          <w:bottom w:w="0" w:type="dxa"/>
          <w:right w:w="0" w:type="dxa"/>
        </w:tblCellMar>
      </w:tblPr>
      <w:tblGrid>
        <w:gridCol w:w="226"/>
        <w:gridCol w:w="6256"/>
      </w:tblGrid>
      <w:tr>
        <w:trPr/>
        <w:tc>
          <w:tcPr>
            <w:tcW w:w="22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625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Indicates management contract or compensatory plan or arrangement.</w:t>
            </w:r>
          </w:p>
        </w:tc>
      </w:tr>
    </w:tbl>
    <w:tbl>
      <w:tblPr>
        <w:tblW w:w="1547" w:type="dxa"/>
        <w:jc w:val="left"/>
        <w:tblInd w:w="0" w:type="dxa"/>
        <w:tblLayout w:type="fixed"/>
        <w:tblCellMar>
          <w:top w:w="0" w:type="dxa"/>
          <w:left w:w="0" w:type="dxa"/>
          <w:bottom w:w="0" w:type="dxa"/>
          <w:right w:w="0" w:type="dxa"/>
        </w:tblCellMar>
      </w:tblPr>
      <w:tblGrid>
        <w:gridCol w:w="196"/>
        <w:gridCol w:w="1351"/>
      </w:tblGrid>
      <w:tr>
        <w:trPr/>
        <w:tc>
          <w:tcPr>
            <w:tcW w:w="19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135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Filed herewith</w:t>
            </w:r>
          </w:p>
        </w:tc>
      </w:tr>
    </w:tbl>
    <w:tbl>
      <w:tblPr>
        <w:tblW w:w="2057" w:type="dxa"/>
        <w:jc w:val="left"/>
        <w:tblInd w:w="0" w:type="dxa"/>
        <w:tblLayout w:type="fixed"/>
        <w:tblCellMar>
          <w:top w:w="0" w:type="dxa"/>
          <w:left w:w="0" w:type="dxa"/>
          <w:bottom w:w="0" w:type="dxa"/>
          <w:right w:w="0" w:type="dxa"/>
        </w:tblCellMar>
      </w:tblPr>
      <w:tblGrid>
        <w:gridCol w:w="271"/>
        <w:gridCol w:w="1786"/>
      </w:tblGrid>
      <w:tr>
        <w:trPr/>
        <w:tc>
          <w:tcPr>
            <w:tcW w:w="271"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1786"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Furnished herewith</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37</w:t>
      </w:r>
    </w:p>
    <w:p>
      <w:pPr>
        <w:pStyle w:val="TextBody"/>
        <w:bidi w:val="0"/>
        <w:spacing w:before="0" w:after="600"/>
        <w:ind w:left="0" w:right="0" w:hanging="0"/>
        <w:jc w:val="left"/>
        <w:rPr/>
      </w:pPr>
      <w:hyperlink w:anchor="TOC">
        <w:r>
          <w:rPr>
            <w:rStyle w:val="InternetLink"/>
            <w:rFonts w:ascii="Arial;Helvetica;sans-serif" w:hAnsi="Arial;Helvetica;sans-serif"/>
            <w:b w:val="false"/>
            <w:i w:val="false"/>
            <w:caps w:val="false"/>
            <w:smallCaps w:val="false"/>
            <w:sz w:val="20"/>
          </w:rPr>
          <w:t>Table of Contents</w:t>
        </w:r>
      </w:hyperlink>
    </w:p>
    <w:p>
      <w:pPr>
        <w:pStyle w:val="TextBody"/>
        <w:pBdr/>
        <w:bidi w:val="0"/>
        <w:spacing w:before="0" w:after="0"/>
        <w:ind w:left="0" w:right="0" w:hanging="0"/>
        <w:jc w:val="center"/>
        <w:rPr>
          <w:rFonts w:ascii="Arial;Helvetica;sans-serif" w:hAnsi="Arial;Helvetica;sans-serif"/>
          <w:b/>
          <w:sz w:val="20"/>
        </w:rPr>
      </w:pPr>
      <w:bookmarkStart w:id="611" w:name="_677b4014_2c01_4fa0_8fed_7ebdacda5f40"/>
      <w:bookmarkEnd w:id="611"/>
      <w:r>
        <w:rPr>
          <w:rFonts w:ascii="Arial;Helvetica;sans-serif" w:hAnsi="Arial;Helvetica;sans-serif"/>
          <w:b/>
          <w:sz w:val="20"/>
        </w:rPr>
        <w:t>SIGNATURE</w:t>
      </w:r>
    </w:p>
    <w:p>
      <w:pPr>
        <w:pStyle w:val="TextBody"/>
        <w:shd w:fill="FFFFFF" w:val="clear"/>
        <w:bidi w:val="0"/>
        <w:spacing w:before="0" w:after="200"/>
        <w:ind w:left="0" w:right="0" w:hanging="0"/>
        <w:jc w:val="both"/>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tbl>
      <w:tblPr>
        <w:tblW w:w="5012" w:type="dxa"/>
        <w:jc w:val="left"/>
        <w:tblInd w:w="0" w:type="dxa"/>
        <w:tblLayout w:type="fixed"/>
        <w:tblCellMar>
          <w:top w:w="0" w:type="dxa"/>
          <w:left w:w="0" w:type="dxa"/>
          <w:bottom w:w="0" w:type="dxa"/>
          <w:right w:w="0" w:type="dxa"/>
        </w:tblCellMar>
      </w:tblPr>
      <w:tblGrid>
        <w:gridCol w:w="1831"/>
        <w:gridCol w:w="3181"/>
      </w:tblGrid>
      <w:tr>
        <w:trPr/>
        <w:tc>
          <w:tcPr>
            <w:tcW w:w="18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w:t>
            </w:r>
          </w:p>
        </w:tc>
        <w:tc>
          <w:tcPr>
            <w:tcW w:w="3181" w:type="dxa"/>
            <w:tcBorders/>
            <w:vAlign w:val="center"/>
          </w:tcPr>
          <w:p>
            <w:pPr>
              <w:pStyle w:val="TableContents"/>
              <w:bidi w:val="0"/>
              <w:spacing w:before="0" w:after="240"/>
              <w:ind w:left="0" w:right="0" w:hanging="0"/>
              <w:jc w:val="left"/>
              <w:rPr/>
            </w:pPr>
            <w:r>
              <w:rPr/>
              <w:t>​</w:t>
            </w:r>
          </w:p>
          <w:p>
            <w:pPr>
              <w:pStyle w:val="TableContents"/>
              <w:bidi w:val="0"/>
              <w:spacing w:before="0" w:after="240"/>
              <w:ind w:left="0" w:right="0" w:hanging="0"/>
              <w:jc w:val="left"/>
              <w:rPr/>
            </w:pPr>
            <w:r>
              <w:rPr/>
              <w:t>​</w:t>
            </w:r>
          </w:p>
          <w:p>
            <w:pPr>
              <w:pStyle w:val="TableContents"/>
              <w:bidi w:val="0"/>
              <w:spacing w:before="0" w:after="240"/>
              <w:ind w:left="0" w:right="0" w:hanging="0"/>
              <w:jc w:val="left"/>
              <w:rPr/>
            </w:pPr>
            <w:r>
              <w:rPr/>
              <w:t>​</w:t>
            </w:r>
          </w:p>
          <w:p>
            <w:pPr>
              <w:pStyle w:val="TableContents"/>
              <w:bidi w:val="0"/>
              <w:spacing w:before="0" w:after="240"/>
              <w:ind w:left="0" w:right="0" w:hanging="0"/>
              <w:jc w:val="left"/>
              <w:rPr/>
            </w:pPr>
            <w:r>
              <w:rPr/>
              <w:t>​</w:t>
            </w:r>
          </w:p>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pPr>
            <w:r>
              <w:rPr/>
              <w:t>​</w:t>
            </w:r>
          </w:p>
        </w:tc>
        <w:tc>
          <w:tcPr>
            <w:tcW w:w="3181" w:type="dxa"/>
            <w:tcBorders/>
            <w:vAlign w:val="center"/>
          </w:tcPr>
          <w:p>
            <w:pPr>
              <w:pStyle w:val="TableContents"/>
              <w:bidi w:val="0"/>
              <w:spacing w:before="0" w:after="240"/>
              <w:ind w:left="0" w:right="0" w:hanging="0"/>
              <w:jc w:val="left"/>
              <w:rPr/>
            </w:pPr>
            <w:r>
              <w:rPr/>
              <w:t>​</w:t>
            </w:r>
          </w:p>
        </w:tc>
      </w:tr>
      <w:tr>
        <w:trPr/>
        <w:tc>
          <w:tcPr>
            <w:tcW w:w="1831" w:type="dxa"/>
            <w:tcBorders/>
            <w:vAlign w:val="center"/>
          </w:tcPr>
          <w:p>
            <w:pPr>
              <w:pStyle w:val="TableContents"/>
              <w:bidi w:val="0"/>
              <w:spacing w:before="0" w:after="240"/>
              <w:ind w:left="0" w:right="0" w:hanging="0"/>
              <w:jc w:val="left"/>
              <w:rPr/>
            </w:pPr>
            <w:r>
              <w:rPr/>
              <w:t>​</w:t>
            </w:r>
          </w:p>
        </w:tc>
        <w:tc>
          <w:tcPr>
            <w:tcW w:w="318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NU RIDE INC.</w:t>
            </w:r>
          </w:p>
        </w:tc>
      </w:tr>
      <w:tr>
        <w:trPr/>
        <w:tc>
          <w:tcPr>
            <w:tcW w:w="1831" w:type="dxa"/>
            <w:tcBorders/>
            <w:vAlign w:val="center"/>
          </w:tcPr>
          <w:p>
            <w:pPr>
              <w:pStyle w:val="TableContents"/>
              <w:bidi w:val="0"/>
              <w:spacing w:before="0" w:after="240"/>
              <w:ind w:left="0" w:right="0" w:hanging="0"/>
              <w:jc w:val="left"/>
              <w:rPr/>
            </w:pPr>
            <w:r>
              <w:rPr/>
              <w:t>​</w:t>
            </w:r>
          </w:p>
        </w:tc>
        <w:tc>
          <w:tcPr>
            <w:tcW w:w="3181" w:type="dxa"/>
            <w:tcBorders/>
            <w:vAlign w:val="center"/>
          </w:tcPr>
          <w:p>
            <w:pPr>
              <w:pStyle w:val="TableContents"/>
              <w:bidi w:val="0"/>
              <w:spacing w:before="0" w:after="240"/>
              <w:ind w:left="0" w:right="0" w:hanging="0"/>
              <w:jc w:val="left"/>
              <w:rPr/>
            </w:pPr>
            <w:r>
              <w:rPr/>
              <w:t>​</w:t>
            </w:r>
          </w:p>
        </w:tc>
      </w:tr>
      <w:tr>
        <w:trPr/>
        <w:tc>
          <w:tcPr>
            <w:tcW w:w="1831" w:type="dxa"/>
            <w:tcBorders/>
            <w:vAlign w:val="center"/>
          </w:tcPr>
          <w:p>
            <w:pPr>
              <w:pStyle w:val="TableContents"/>
              <w:bidi w:val="0"/>
              <w:spacing w:before="0" w:after="240"/>
              <w:ind w:left="0" w:right="0" w:hanging="0"/>
              <w:jc w:val="left"/>
              <w:rPr/>
            </w:pPr>
            <w:r>
              <w:rPr/>
              <w:t>​</w:t>
            </w:r>
          </w:p>
        </w:tc>
        <w:tc>
          <w:tcPr>
            <w:tcW w:w="3181" w:type="dxa"/>
            <w:tcBorders/>
            <w:vAlign w:val="center"/>
          </w:tcPr>
          <w:p>
            <w:pPr>
              <w:pStyle w:val="TableContents"/>
              <w:bidi w:val="0"/>
              <w:spacing w:before="0" w:after="24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May 14, 2024</w:t>
            </w:r>
          </w:p>
        </w:tc>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 William Gallagher</w:t>
            </w:r>
          </w:p>
        </w:tc>
      </w:tr>
      <w:tr>
        <w:trPr/>
        <w:tc>
          <w:tcPr>
            <w:tcW w:w="1831" w:type="dxa"/>
            <w:tcBorders/>
            <w:vAlign w:val="center"/>
          </w:tcPr>
          <w:p>
            <w:pPr>
              <w:pStyle w:val="TableContents"/>
              <w:bidi w:val="0"/>
              <w:spacing w:before="0" w:after="240"/>
              <w:ind w:left="0" w:right="0" w:hanging="0"/>
              <w:jc w:val="left"/>
              <w:rPr/>
            </w:pPr>
            <w:r>
              <w:rPr/>
              <w:t>​</w:t>
            </w:r>
          </w:p>
        </w:tc>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William Gallagher</w:t>
            </w:r>
          </w:p>
        </w:tc>
      </w:tr>
      <w:tr>
        <w:trPr/>
        <w:tc>
          <w:tcPr>
            <w:tcW w:w="1831" w:type="dxa"/>
            <w:tcBorders/>
            <w:vAlign w:val="center"/>
          </w:tcPr>
          <w:p>
            <w:pPr>
              <w:pStyle w:val="TableContents"/>
              <w:bidi w:val="0"/>
              <w:spacing w:before="0" w:after="240"/>
              <w:ind w:left="0" w:right="0" w:hanging="0"/>
              <w:jc w:val="left"/>
              <w:rPr/>
            </w:pPr>
            <w:r>
              <w:rPr/>
              <w:t>​</w:t>
            </w:r>
          </w:p>
        </w:tc>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Chief Executive Officer, President,</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Secretary, and Treasurer</w:t>
            </w:r>
          </w:p>
        </w:tc>
      </w:tr>
      <w:tr>
        <w:trPr/>
        <w:tc>
          <w:tcPr>
            <w:tcW w:w="1831" w:type="dxa"/>
            <w:tcBorders/>
            <w:vAlign w:val="center"/>
          </w:tcPr>
          <w:p>
            <w:pPr>
              <w:pStyle w:val="TableContents"/>
              <w:bidi w:val="0"/>
              <w:spacing w:before="0" w:after="240"/>
              <w:ind w:left="0" w:right="0" w:hanging="0"/>
              <w:jc w:val="left"/>
              <w:rPr/>
            </w:pPr>
            <w:r>
              <w:rPr/>
              <w:t>​</w:t>
            </w:r>
          </w:p>
        </w:tc>
        <w:tc>
          <w:tcPr>
            <w:tcW w:w="318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Executive Officer and</w:t>
            </w:r>
          </w:p>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Principal Financial Officer)</w:t>
            </w:r>
          </w:p>
        </w:tc>
      </w:tr>
      <w:tr>
        <w:trPr/>
        <w:tc>
          <w:tcPr>
            <w:tcW w:w="1831" w:type="dxa"/>
            <w:tcBorders/>
            <w:vAlign w:val="center"/>
          </w:tcPr>
          <w:p>
            <w:pPr>
              <w:pStyle w:val="TableContents"/>
              <w:bidi w:val="0"/>
              <w:spacing w:before="0" w:after="240"/>
              <w:ind w:left="0" w:right="0" w:hanging="0"/>
              <w:jc w:val="left"/>
              <w:rPr/>
            </w:pPr>
            <w:r>
              <w:rPr/>
              <w:t>​</w:t>
            </w:r>
          </w:p>
        </w:tc>
        <w:tc>
          <w:tcPr>
            <w:tcW w:w="318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38</w:t>
      </w:r>
    </w:p>
    <w:p>
      <w:pPr>
        <w:pStyle w:val="TextBody"/>
        <w:bidi w:val="0"/>
        <w:spacing w:before="0" w:after="0"/>
        <w:ind w:left="0" w:right="0" w:hanging="0"/>
        <w:jc w:val="right"/>
        <w:rPr>
          <w:rFonts w:ascii="Times New Roman;Times;serif" w:hAnsi="Times New Roman;Times;serif"/>
          <w:b/>
          <w:sz w:val="20"/>
        </w:rPr>
      </w:pPr>
      <w:bookmarkStart w:id="612" w:name="tmb-20240331xex10d1.htm"/>
      <w:bookmarkStart w:id="613" w:name="kstmb20240331xex10d1"/>
      <w:bookmarkEnd w:id="612"/>
      <w:bookmarkEnd w:id="613"/>
      <w:r>
        <w:rPr>
          <w:rFonts w:ascii="Times New Roman;Times;serif" w:hAnsi="Times New Roman;Times;serif"/>
          <w:b/>
          <w:sz w:val="20"/>
        </w:rPr>
        <w:t>Exhibit 10.1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SEVERANCE SETTLEMENT 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Severance Settlement Agreement (the “</w:t>
      </w:r>
      <w:r>
        <w:rPr>
          <w:rFonts w:ascii="Times New Roman;Times;serif" w:hAnsi="Times New Roman;Times;serif"/>
          <w:b/>
          <w:i/>
          <w:sz w:val="20"/>
        </w:rPr>
        <w:t>Agreement</w:t>
      </w:r>
      <w:r>
        <w:rPr>
          <w:rFonts w:ascii="Times New Roman;Times;serif" w:hAnsi="Times New Roman;Times;serif"/>
          <w:sz w:val="20"/>
        </w:rPr>
        <w:t>”) is entered into between Lordstown Motors Corp., a Delaware corporation (“</w:t>
      </w:r>
      <w:r>
        <w:rPr>
          <w:rFonts w:ascii="Times New Roman;Times;serif" w:hAnsi="Times New Roman;Times;serif"/>
          <w:b/>
          <w:sz w:val="20"/>
        </w:rPr>
        <w:t>LMC</w:t>
      </w:r>
      <w:r>
        <w:rPr>
          <w:rFonts w:ascii="Times New Roman;Times;serif" w:hAnsi="Times New Roman;Times;serif"/>
          <w:sz w:val="20"/>
        </w:rPr>
        <w:t>” and together with Lordstown EV Corporation and Lordstown EV Sales LLC, the “</w:t>
      </w:r>
      <w:r>
        <w:rPr>
          <w:rFonts w:ascii="Times New Roman;Times;serif" w:hAnsi="Times New Roman;Times;serif"/>
          <w:b/>
          <w:i/>
          <w:sz w:val="20"/>
        </w:rPr>
        <w:t>Company</w:t>
      </w:r>
      <w:r>
        <w:rPr>
          <w:rFonts w:ascii="Times New Roman;Times;serif" w:hAnsi="Times New Roman;Times;serif"/>
          <w:sz w:val="20"/>
        </w:rPr>
        <w:t>”), and Daniel Ninivaggi (“</w:t>
      </w:r>
      <w:r>
        <w:rPr>
          <w:rFonts w:ascii="Times New Roman;Times;serif" w:hAnsi="Times New Roman;Times;serif"/>
          <w:b/>
          <w:i/>
          <w:sz w:val="20"/>
        </w:rPr>
        <w:t>Employee</w:t>
      </w:r>
      <w:r>
        <w:rPr>
          <w:rFonts w:ascii="Times New Roman;Times;serif" w:hAnsi="Times New Roman;Times;serif"/>
          <w:sz w:val="20"/>
        </w:rPr>
        <w:t>”), as of the 13</w:t>
      </w:r>
      <w:r>
        <w:rPr>
          <w:rFonts w:ascii="Times New Roman;Times;serif" w:hAnsi="Times New Roman;Times;serif"/>
          <w:sz w:val="15"/>
        </w:rPr>
        <w:t xml:space="preserve">th </w:t>
      </w:r>
      <w:r>
        <w:rPr>
          <w:rFonts w:ascii="Times New Roman;Times;serif" w:hAnsi="Times New Roman;Times;serif"/>
          <w:sz w:val="20"/>
        </w:rPr>
        <w:t>day of March, 2024 (the “</w:t>
      </w:r>
      <w:r>
        <w:rPr>
          <w:rFonts w:ascii="Times New Roman;Times;serif" w:hAnsi="Times New Roman;Times;serif"/>
          <w:b/>
          <w:i/>
          <w:sz w:val="20"/>
        </w:rPr>
        <w:t>Agreement Date</w:t>
      </w:r>
      <w:r>
        <w:rPr>
          <w:rFonts w:ascii="Times New Roman;Times;serif" w:hAnsi="Times New Roman;Times;serif"/>
          <w:sz w:val="20"/>
        </w:rPr>
        <w:t>”). Each of Company and Employee is a “</w:t>
      </w:r>
      <w:r>
        <w:rPr>
          <w:rFonts w:ascii="Times New Roman;Times;serif" w:hAnsi="Times New Roman;Times;serif"/>
          <w:b/>
          <w:i/>
          <w:sz w:val="20"/>
        </w:rPr>
        <w:t>Party</w:t>
      </w:r>
      <w:r>
        <w:rPr>
          <w:rFonts w:ascii="Times New Roman;Times;serif" w:hAnsi="Times New Roman;Times;serif"/>
          <w:sz w:val="20"/>
        </w:rPr>
        <w:t xml:space="preserve">” and, collectively, constitute the </w:t>
      </w:r>
      <w:r>
        <w:rPr>
          <w:rFonts w:ascii="Times New Roman;Times;serif" w:hAnsi="Times New Roman;Times;serif"/>
          <w:b/>
          <w:i/>
          <w:sz w:val="20"/>
        </w:rPr>
        <w:t>Parties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0"/>
        <w:ind w:left="0" w:right="0" w:hanging="0"/>
        <w:jc w:val="left"/>
        <w:rPr/>
      </w:pPr>
      <w:r>
        <w:rPr/>
        <w:t>​</w:t>
      </w:r>
    </w:p>
    <w:tbl>
      <w:tblPr>
        <w:tblW w:w="4113" w:type="dxa"/>
        <w:jc w:val="left"/>
        <w:tblInd w:w="0" w:type="dxa"/>
        <w:tblLayout w:type="fixed"/>
        <w:tblCellMar>
          <w:top w:w="0" w:type="dxa"/>
          <w:left w:w="0" w:type="dxa"/>
          <w:bottom w:w="0" w:type="dxa"/>
          <w:right w:w="0" w:type="dxa"/>
        </w:tblCellMar>
      </w:tblPr>
      <w:tblGrid>
        <w:gridCol w:w="23"/>
        <w:gridCol w:w="20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8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has been employed by the Company.</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Capitalized terms used but not otherwise defined herein have the meanings set forth in the Company’s plan of reorganization (as it may amended, the “</w:t>
            </w:r>
            <w:r>
              <w:rPr>
                <w:rFonts w:ascii="Times New Roman;Times;serif" w:hAnsi="Times New Roman;Times;serif"/>
                <w:b/>
                <w:i/>
                <w:sz w:val="20"/>
              </w:rPr>
              <w:t>Plan</w:t>
            </w:r>
            <w:r>
              <w:rPr>
                <w:rFonts w:ascii="Times New Roman;Times;serif" w:hAnsi="Times New Roman;Times;serif"/>
                <w:sz w:val="20"/>
              </w:rPr>
              <w:t>”) filed as of the date hereof and confirmed by the U.S. Bankruptcy Court for the District of Delaware (the “</w:t>
            </w:r>
            <w:r>
              <w:rPr>
                <w:rFonts w:ascii="Times New Roman;Times;serif" w:hAnsi="Times New Roman;Times;serif"/>
                <w:b/>
                <w:i/>
                <w:sz w:val="20"/>
              </w:rPr>
              <w:t>Court</w:t>
            </w:r>
            <w:r>
              <w:rPr>
                <w:rFonts w:ascii="Times New Roman;Times;serif" w:hAnsi="Times New Roman;Times;serif"/>
                <w:sz w:val="20"/>
              </w:rPr>
              <w:t>”) under Chapter 11 of the Bankruptcy Code.</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will terminate Employee’s employment with the Company effective as of the Effective Date (the “</w:t>
            </w:r>
            <w:r>
              <w:rPr>
                <w:rFonts w:ascii="Times New Roman;Times;serif" w:hAnsi="Times New Roman;Times;serif"/>
                <w:b/>
                <w:i/>
                <w:sz w:val="20"/>
              </w:rPr>
              <w:t>Termination</w:t>
            </w:r>
            <w:r>
              <w:rPr>
                <w:rFonts w:ascii="Times New Roman;Times;serif" w:hAnsi="Times New Roman;Times;serif"/>
                <w:sz w:val="20"/>
              </w:rPr>
              <w:t>”).</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and LMC are party to an Amended and Restated Employment Agreement dated as of August 3, 2022 (the “</w:t>
            </w:r>
            <w:r>
              <w:rPr>
                <w:rFonts w:ascii="Times New Roman;Times;serif" w:hAnsi="Times New Roman;Times;serif"/>
                <w:b/>
                <w:i/>
                <w:sz w:val="20"/>
              </w:rPr>
              <w:t>Employment Agreement</w:t>
            </w:r>
            <w:r>
              <w:rPr>
                <w:rFonts w:ascii="Times New Roman;Times;serif" w:hAnsi="Times New Roman;Times;serif"/>
                <w:sz w:val="20"/>
              </w:rPr>
              <w:t>”</w:t>
            </w:r>
            <w:r>
              <w:rPr>
                <w:rFonts w:ascii="Times New Roman;Times;serif" w:hAnsi="Times New Roman;Times;serif"/>
                <w:i/>
                <w:sz w:val="20"/>
              </w:rPr>
              <w:t>)</w:t>
            </w:r>
            <w:r>
              <w:rPr>
                <w:rFonts w:ascii="Times New Roman;Times;serif" w:hAnsi="Times New Roman;Times;serif"/>
                <w:sz w:val="20"/>
              </w:rPr>
              <w:t xml:space="preserve"> and, in light of the rejection of the Employment Agreement as part of the Plan, the Court has approved an order allowing the Company to enter into this Agreement to provide for the terms hereof with respect to Employee’s termination of employment, which are conditioned on the effectiveness of the Release (as defined below).</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desires to retain Employee as a consultant to provide advice and consulting services to the Company from the Termination in accordance with the terms and conditions of this Agreement.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desires to provide advice and consulting services to the Company from and after the Termination in accordance with the terms and conditions of this Agreement.</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Consulting Period (as defined below) Employee will have access to trade secrets and other confidential and proprietary information regarding the business of the Company and Company Affiliates (as defined below).</w:t>
            </w:r>
          </w:p>
        </w:tc>
      </w:tr>
    </w:tbl>
    <w:p>
      <w:pPr>
        <w:pStyle w:val="TextBody"/>
        <w:pBdr/>
        <w:bidi w:val="0"/>
        <w:spacing w:before="0" w:after="0"/>
        <w:ind w:left="0" w:right="0" w:hanging="144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NOW, THEREFORE, </w:t>
      </w:r>
      <w:r>
        <w:rPr>
          <w:rFonts w:ascii="Times New Roman;Times;serif" w:hAnsi="Times New Roman;Times;serif"/>
          <w:sz w:val="20"/>
        </w:rPr>
        <w:t>in full consideration for the signing of this Agreement and Employee’s representations, warranties, covenants, Release and agreements set forth below, the Parties agree as follows: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AGREEMENT</w:t>
      </w:r>
    </w:p>
    <w:p>
      <w:pPr>
        <w:pStyle w:val="TextBody"/>
        <w:bidi w:val="0"/>
        <w:spacing w:before="0" w:after="0"/>
        <w:ind w:left="0" w:right="0" w:hanging="0"/>
        <w:jc w:val="both"/>
        <w:rPr/>
      </w:pPr>
      <w:r>
        <w:rPr/>
        <w:t>​</w:t>
      </w:r>
    </w:p>
    <w:tbl>
      <w:tblPr>
        <w:tblW w:w="3865" w:type="dxa"/>
        <w:jc w:val="left"/>
        <w:tblInd w:w="0" w:type="dxa"/>
        <w:tblLayout w:type="fixed"/>
        <w:tblCellMar>
          <w:top w:w="0" w:type="dxa"/>
          <w:left w:w="0" w:type="dxa"/>
          <w:bottom w:w="0" w:type="dxa"/>
          <w:right w:w="0" w:type="dxa"/>
        </w:tblCellMar>
      </w:tblPr>
      <w:tblGrid>
        <w:gridCol w:w="185"/>
        <w:gridCol w:w="3680"/>
      </w:tblGrid>
      <w:tr>
        <w:trPr/>
        <w:tc>
          <w:tcPr>
            <w:tcW w:w="1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 xml:space="preserve">I. </w:t>
            </w:r>
          </w:p>
        </w:tc>
        <w:tc>
          <w:tcPr>
            <w:tcW w:w="36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SEVERANCE BENEFITS AND RELEASE.</w:t>
            </w:r>
          </w:p>
        </w:tc>
      </w:tr>
    </w:tbl>
    <w:p>
      <w:pPr>
        <w:pStyle w:val="TextBody"/>
        <w:bidi w:val="0"/>
        <w:spacing w:before="0" w:after="0"/>
        <w:ind w:left="0" w:right="0" w:hanging="0"/>
        <w:jc w:val="both"/>
        <w:rPr/>
      </w:pPr>
      <w:r>
        <w:rPr/>
        <w:t>​</w:t>
      </w:r>
    </w:p>
    <w:tbl>
      <w:tblPr>
        <w:tblW w:w="1668" w:type="dxa"/>
        <w:jc w:val="left"/>
        <w:tblInd w:w="0" w:type="dxa"/>
        <w:tblLayout w:type="fixed"/>
        <w:tblCellMar>
          <w:top w:w="0" w:type="dxa"/>
          <w:left w:w="0" w:type="dxa"/>
          <w:bottom w:w="0" w:type="dxa"/>
          <w:right w:w="0" w:type="dxa"/>
        </w:tblCellMar>
      </w:tblPr>
      <w:tblGrid>
        <w:gridCol w:w="23"/>
        <w:gridCol w:w="200"/>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w:t>
            </w:r>
          </w:p>
        </w:tc>
        <w:tc>
          <w:tcPr>
            <w:tcW w:w="14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General Release</w:t>
            </w:r>
            <w:r>
              <w:rPr>
                <w:rFonts w:ascii="Times New Roman;Times;serif" w:hAnsi="Times New Roman;Times;serif"/>
                <w:sz w:val="20"/>
              </w:rPr>
              <w:t>.</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8"/>
        <w:gridCol w:w="10044"/>
      </w:tblGrid>
      <w:tr>
        <w:trPr/>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Except as specified in Section I(A)(2), Employee knowingly and voluntarily waives, terminates, cancels, releases and discharges forever the Company, its affiliates, stockholders, beneficial owners of its stock, its current or former officers, directors, employees, members, attorneys and agents, and their predecessors, successors and assigns, in their official capacities as such (together,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i/>
          <w:sz w:val="20"/>
        </w:rPr>
        <w:t>Released Parties</w:t>
      </w:r>
      <w:r>
        <w:rPr>
          <w:rFonts w:ascii="Times New Roman;Times;serif" w:hAnsi="Times New Roman;Times;serif"/>
          <w:sz w:val="20"/>
        </w:rPr>
        <w:t>”), from any and all suits, actions, causes of action, claims, allegations, rights, obligations, liabilities, demands, entitlements or charges that Employee (or Employee’s heirs, executors, administrators, successors and assigns) has or may have, whether known, unknown or unforeseen, vested or contingent, by reason of any matter, cause or thing occurring at any time before and including the date of this Release (collectively, “</w:t>
      </w:r>
      <w:r>
        <w:rPr>
          <w:rFonts w:ascii="Times New Roman;Times;serif" w:hAnsi="Times New Roman;Times;serif"/>
          <w:b/>
          <w:i/>
          <w:sz w:val="20"/>
        </w:rPr>
        <w:t>Claims</w:t>
      </w:r>
      <w:r>
        <w:rPr>
          <w:rFonts w:ascii="Times New Roman;Times;serif" w:hAnsi="Times New Roman;Times;serif"/>
          <w:sz w:val="20"/>
        </w:rPr>
        <w:t>”), including all claims arising under or in connection with Employee’s employment, termination of employment or Employment Agreement with the Company, including, without limitation:</w:t>
      </w:r>
    </w:p>
    <w:p>
      <w:pPr>
        <w:pStyle w:val="TextBody"/>
        <w:bidi w:val="0"/>
        <w:spacing w:before="0" w:after="81"/>
        <w:ind w:left="720" w:right="0" w:hanging="0"/>
        <w:jc w:val="both"/>
        <w:rPr/>
      </w:pPr>
      <w:r>
        <w:rPr/>
        <w:t>​</w:t>
      </w:r>
    </w:p>
    <w:tbl>
      <w:tblPr>
        <w:tblW w:w="8043" w:type="dxa"/>
        <w:jc w:val="left"/>
        <w:tblInd w:w="0" w:type="dxa"/>
        <w:tblLayout w:type="fixed"/>
        <w:tblCellMar>
          <w:top w:w="0" w:type="dxa"/>
          <w:left w:w="0" w:type="dxa"/>
          <w:bottom w:w="0" w:type="dxa"/>
          <w:right w:w="0" w:type="dxa"/>
        </w:tblCellMar>
      </w:tblPr>
      <w:tblGrid>
        <w:gridCol w:w="23"/>
        <w:gridCol w:w="155"/>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78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and all claims for severance payments, except for the Severance Payment (as defined below).</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and all claims under United States federal, state or local law and the national or local law of any foreign country (statutory or decisional), for wrongful, abusive, constructive or unlawful discharge or dismissal, for breach of any contract, or for discrimination based upon race, color, ethnicity, sex, national origin, religion, disability, sexual orientation, or any other unlawful criterion or circumstance, including violations of the Equal Pay Act, Title VII of the Civil Rights Act of 1964, the Civil Rights Act of 1991, the Americans with Disabilities Act of 1991, the Employee Retirement Income Security Act of 1974 (“</w:t>
            </w:r>
            <w:r>
              <w:rPr>
                <w:rFonts w:ascii="Times New Roman;Times;serif" w:hAnsi="Times New Roman;Times;serif"/>
                <w:b/>
                <w:i/>
                <w:sz w:val="20"/>
              </w:rPr>
              <w:t>ERISA</w:t>
            </w:r>
            <w:r>
              <w:rPr>
                <w:rFonts w:ascii="Times New Roman;Times;serif" w:hAnsi="Times New Roman;Times;serif"/>
                <w:sz w:val="20"/>
              </w:rPr>
              <w:t>”), the Fair Labor Standards Act, the Worker Adjustment Retraining and Notification Act, the Family Medical Leave Act, including all amendments to any of the aforementioned acts; and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and all claims for alleged violations of any other federal, state, or municipal fair employment statutes or laws, including, without limitation, violations of any other law, rule, regulation, or ordinance pertaining to employment, wages, compensation, hours worked, or any other Claims for compensation or bonuses, whether or not paid under any compensation plan or arrangement; breach of contract; tort and other common law Claims; defamation; libel; slander; impairment of economic opportunity defamation; sexual harassment; retaliation; attorneys’ fees; emotional distress; intentional infliction of emotional distress; assault; battery, pain and suffering; and punitive or exemplary damages.</w:t>
            </w:r>
          </w:p>
        </w:tc>
      </w:tr>
    </w:tbl>
    <w:p>
      <w:pPr>
        <w:pStyle w:val="TextBody"/>
        <w:bidi w:val="0"/>
        <w:spacing w:before="0" w:after="81"/>
        <w:ind w:left="72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above matters are referred to collectively herein as the “</w:t>
      </w:r>
      <w:r>
        <w:rPr>
          <w:rFonts w:ascii="Times New Roman;Times;serif" w:hAnsi="Times New Roman;Times;serif"/>
          <w:b/>
          <w:i/>
          <w:sz w:val="20"/>
        </w:rPr>
        <w:t>Released Matters</w:t>
      </w:r>
      <w:r>
        <w:rPr>
          <w:rFonts w:ascii="Times New Roman;Times;serif" w:hAnsi="Times New Roman;Times;serif"/>
          <w:sz w:val="20"/>
        </w:rPr>
        <w:t>”. In addition, in consideration of the provisions of this Release, Employee further agrees to waive any and all rights under the laws of any jurisdiction in the United States, or any other country, that limit a general release to those Claims that are known or suspected to exist in Employee’s favor as of the Termination. The provisions of this Section I(A)(1) are referred to collectively herein as the “</w:t>
      </w:r>
      <w:r>
        <w:rPr>
          <w:rFonts w:ascii="Times New Roman;Times;serif" w:hAnsi="Times New Roman;Times;serif"/>
          <w:b/>
          <w:i/>
          <w:sz w:val="20"/>
        </w:rPr>
        <w:t>Release</w:t>
      </w:r>
      <w:r>
        <w:rPr>
          <w:rFonts w:ascii="Times New Roman;Times;serif" w:hAnsi="Times New Roman;Times;serif"/>
          <w:sz w:val="20"/>
        </w:rPr>
        <w:t>”</w:t>
      </w:r>
      <w:r>
        <w:rPr>
          <w:rFonts w:ascii="Times New Roman;Times;serif" w:hAnsi="Times New Roman;Times;serif"/>
          <w:i/>
          <w:sz w:val="20"/>
        </w:rPr>
        <w:t>.</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Exclusions.</w:t>
      </w:r>
    </w:p>
    <w:p>
      <w:pPr>
        <w:pStyle w:val="TextBody"/>
        <w:bidi w:val="0"/>
        <w:spacing w:before="0" w:after="0"/>
        <w:ind w:left="720" w:right="0" w:hanging="0"/>
        <w:jc w:val="both"/>
        <w:rPr/>
      </w:pPr>
      <w:r>
        <w:rPr/>
        <w:t>​</w:t>
      </w:r>
    </w:p>
    <w:tbl>
      <w:tblPr>
        <w:tblW w:w="8328" w:type="dxa"/>
        <w:jc w:val="left"/>
        <w:tblInd w:w="0" w:type="dxa"/>
        <w:tblLayout w:type="fixed"/>
        <w:tblCellMar>
          <w:top w:w="0" w:type="dxa"/>
          <w:left w:w="0" w:type="dxa"/>
          <w:bottom w:w="0" w:type="dxa"/>
          <w:right w:w="0" w:type="dxa"/>
        </w:tblCellMar>
      </w:tblPr>
      <w:tblGrid>
        <w:gridCol w:w="23"/>
        <w:gridCol w:w="155"/>
        <w:gridCol w:w="815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Release and related consideration therefor set forth in Section 1(C) does not include or apply to:</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to and claims for indemnification, advancement or reimbursement arising under applicable law, the Employment Agreement, the Indemnification Agreement,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dated August 26, 2021, among the Company and the Employee and the Company’s governing documents with respect to Employee’s role as an employee, director, officer, consultant and/or agent of the Company and its subsidiaries, or serving in any other capacity at the request or direction of the Company or any of its subsidiaries, prior to or following the Termination, and all such rights and claims are reserved;</w:t>
      </w:r>
    </w:p>
    <w:p>
      <w:pPr>
        <w:pStyle w:val="TextBody"/>
        <w:bidi w:val="0"/>
        <w:spacing w:before="0" w:after="0"/>
        <w:ind w:left="19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to restricted stock units and options (collectively, the “</w:t>
            </w:r>
            <w:r>
              <w:rPr>
                <w:rFonts w:ascii="Times New Roman;Times;serif" w:hAnsi="Times New Roman;Times;serif"/>
                <w:b/>
                <w:i/>
                <w:sz w:val="20"/>
              </w:rPr>
              <w:t>Vested Equity Awards</w:t>
            </w:r>
            <w:r>
              <w:rPr>
                <w:rFonts w:ascii="Times New Roman;Times;serif" w:hAnsi="Times New Roman;Times;serif"/>
                <w:sz w:val="20"/>
              </w:rPr>
              <w:t>”) held by the Employee immediately prior to the Termination and which have not been settled through the issuance of shares of the Company’s Class A common stock, and the Accelerated Equity Awards (defined below), which shall receive the treatment of common stock interests as set forth in the Plan, provided that the Employee agrees that the Company may, but is not required to, withhold or sell shares issued upon vesting and/or settlement of any such awards to satisfy state or federal income taxes;</w:t>
            </w:r>
          </w:p>
        </w:tc>
      </w:tr>
    </w:tbl>
    <w:p>
      <w:pPr>
        <w:pStyle w:val="TextBody"/>
        <w:bidi w:val="0"/>
        <w:spacing w:before="0" w:after="0"/>
        <w:ind w:left="19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under and claims with respect to all directors’ and officers’ and other insurance policies that provide a benefit to Employee (“</w:t>
            </w:r>
            <w:r>
              <w:rPr>
                <w:rFonts w:ascii="Times New Roman;Times;serif" w:hAnsi="Times New Roman;Times;serif"/>
                <w:b/>
                <w:i/>
                <w:sz w:val="20"/>
              </w:rPr>
              <w:t>D&amp;O Insurance</w:t>
            </w:r>
            <w:r>
              <w:rPr>
                <w:rFonts w:ascii="Times New Roman;Times;serif" w:hAnsi="Times New Roman;Times;serif"/>
                <w:sz w:val="20"/>
              </w:rPr>
              <w:t>”) held by the Company;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to the Severance Payment as described in Section I.C below, as well as the ability to enforce Employee’s rights under this Agreement.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is not intended to, and shall not, release or interfere with Employee’s ability to receive, file or otherwise institute a claim for outstanding health and welfare benefit obligations under plans maintained by the Company in which Employee participated prior to Termination, such as contributions to the Company’s 401K plan, as applicable.</w:t>
            </w:r>
          </w:p>
        </w:tc>
      </w:tr>
    </w:tbl>
    <w:p>
      <w:pPr>
        <w:pStyle w:val="TextBody"/>
        <w:bidi w:val="0"/>
        <w:spacing w:before="0" w:after="0"/>
        <w:ind w:left="180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is not intended to, and shall not, interfere with Employee’s ability to file or otherwise institute a charge with an administrative agency alleging discrimination under federal, state, or local civil rights, labor and/or employment discrimination laws (including, but not limited to, Title VII, the ADA, the NLRA, the ADEA, GINA, USERRA, or their state or local counterparts) or to provide truthful information or assistance in connection with such an administrative charge or administrative proceeding. However, Employee waives any right, and shall not be entitled, to any relief, recovery, monies or any other remedies in connection with any such charge brought against the Company, regardless of who filed or initiated any such complaint, charge, or proceeding.</w:t>
            </w:r>
          </w:p>
        </w:tc>
      </w:tr>
    </w:tbl>
    <w:p>
      <w:pPr>
        <w:pStyle w:val="TextBody"/>
        <w:pBdr/>
        <w:bidi w:val="0"/>
        <w:spacing w:before="0" w:after="0"/>
        <w:ind w:left="1170" w:right="0" w:hanging="720"/>
        <w:jc w:val="both"/>
        <w:rPr/>
      </w:pPr>
      <w:r>
        <w:rPr/>
        <w:t>​</w:t>
      </w:r>
    </w:p>
    <w:tbl>
      <w:tblPr>
        <w:tblW w:w="3498" w:type="dxa"/>
        <w:jc w:val="left"/>
        <w:tblInd w:w="0" w:type="dxa"/>
        <w:tblLayout w:type="fixed"/>
        <w:tblCellMar>
          <w:top w:w="0" w:type="dxa"/>
          <w:left w:w="0" w:type="dxa"/>
          <w:bottom w:w="0" w:type="dxa"/>
          <w:right w:w="0" w:type="dxa"/>
        </w:tblCellMar>
      </w:tblPr>
      <w:tblGrid>
        <w:gridCol w:w="23"/>
        <w:gridCol w:w="245"/>
        <w:gridCol w:w="32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 xml:space="preserve">B. </w:t>
            </w:r>
          </w:p>
        </w:tc>
        <w:tc>
          <w:tcPr>
            <w:tcW w:w="3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Consideration and Terms of Payment.</w:t>
            </w:r>
          </w:p>
        </w:tc>
      </w:tr>
    </w:tbl>
    <w:p>
      <w:pPr>
        <w:pStyle w:val="TextBody"/>
        <w:pBdr/>
        <w:bidi w:val="0"/>
        <w:spacing w:before="0" w:after="0"/>
        <w:ind w:left="5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consideration for and subject to the Release and compliance in all material respects by Employee with the other terms of this Agreement, the Employee shall receive (a) an Allowed General Unsecured Claim under the Plan in the amount of $550,000 (the “</w:t>
            </w:r>
            <w:r>
              <w:rPr>
                <w:rFonts w:ascii="Times New Roman;Times;serif" w:hAnsi="Times New Roman;Times;serif"/>
                <w:b/>
                <w:i/>
                <w:sz w:val="20"/>
              </w:rPr>
              <w:t>Severance Payment</w:t>
            </w:r>
            <w:r>
              <w:rPr>
                <w:rFonts w:ascii="Times New Roman;Times;serif" w:hAnsi="Times New Roman;Times;serif"/>
                <w:sz w:val="20"/>
              </w:rPr>
              <w:t>”), which shall be paid pursuant to the terms of the Plan (including Post-Petition Interest, as applicable under the Plan) through Distributions by the Post-Effective Date Debtors or the Claims Ombudsman, as applicable, and (b) accelerated vesting in full at the time of Termination of all equity awards held by Employee under the Company’s 2020 Equity Incentive Plan, as amended (the “</w:t>
            </w:r>
            <w:r>
              <w:rPr>
                <w:rFonts w:ascii="Times New Roman;Times;serif" w:hAnsi="Times New Roman;Times;serif"/>
                <w:b/>
                <w:i/>
                <w:sz w:val="20"/>
              </w:rPr>
              <w:t>Equity Plan</w:t>
            </w:r>
            <w:r>
              <w:rPr>
                <w:rFonts w:ascii="Times New Roman;Times;serif" w:hAnsi="Times New Roman;Times;serif"/>
                <w:sz w:val="20"/>
              </w:rPr>
              <w:t>”) that are not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otherwise vested other than performance based restricted stock awards (the “</w:t>
      </w:r>
      <w:r>
        <w:rPr>
          <w:rFonts w:ascii="Times New Roman;Times;serif" w:hAnsi="Times New Roman;Times;serif"/>
          <w:b/>
          <w:i/>
          <w:sz w:val="20"/>
        </w:rPr>
        <w:t>Accelerated Equity Awards</w:t>
      </w:r>
      <w:r>
        <w:rPr>
          <w:rFonts w:ascii="Times New Roman;Times;serif" w:hAnsi="Times New Roman;Times;serif"/>
          <w:sz w:val="20"/>
        </w:rPr>
        <w:t>”). The timing and method of these payments are described below.</w:t>
      </w:r>
    </w:p>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 of 2/3 of the Severance Payment (the “</w:t>
            </w:r>
            <w:r>
              <w:rPr>
                <w:rFonts w:ascii="Times New Roman;Times;serif" w:hAnsi="Times New Roman;Times;serif"/>
                <w:b/>
                <w:i/>
                <w:sz w:val="20"/>
              </w:rPr>
              <w:t>Initial Payment</w:t>
            </w:r>
            <w:r>
              <w:rPr>
                <w:rFonts w:ascii="Times New Roman;Times;serif" w:hAnsi="Times New Roman;Times;serif"/>
                <w:sz w:val="20"/>
              </w:rPr>
              <w:t>”) will be made to Employee within 30 days of the Effective Date; provided that Employee shall not be entitled to a greater percentage recovery of the Initial Payment than other allowed General Unsecured Claims are entitled to in the Chapter 11 Cases. If such Initial Payment is reduced as a result of this provision, Employee shall be entitled to receive up to the unpaid portion of the Initial Payment in connection with and proportional to any subsequent “holdback” distributions made by the post-Effective Date Debtors/Claims Ombudsman.</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 of the remaining 1/3 of the Severance Payment (the “</w:t>
            </w:r>
            <w:r>
              <w:rPr>
                <w:rFonts w:ascii="Times New Roman;Times;serif" w:hAnsi="Times New Roman;Times;serif"/>
                <w:b/>
                <w:i/>
                <w:sz w:val="20"/>
              </w:rPr>
              <w:t>Second Payment</w:t>
            </w:r>
            <w:r>
              <w:rPr>
                <w:rFonts w:ascii="Times New Roman;Times;serif" w:hAnsi="Times New Roman;Times;serif"/>
                <w:sz w:val="20"/>
              </w:rPr>
              <w:t>”) will be made to Employee within 120 days after the Effective Date, provided that Employee shall not be entitled to a greater percentage recovery of the Second Payment than other allowed General Unsecured Claims are entitled to in the Chapter 11 Cases. If such Second Payment is reduced as a result of this provision, Employee shall be entitled to receive up to the unpaid portion of the Second Payment in connection with and proportional to any subsequent “holdback” distributions made by the post-Effective Date Debtors/Claims Ombudsman.</w:t>
            </w:r>
          </w:p>
        </w:tc>
      </w:tr>
    </w:tbl>
    <w:p>
      <w:pPr>
        <w:pStyle w:val="TextBody"/>
        <w:pBdr/>
        <w:bidi w:val="0"/>
        <w:spacing w:before="0" w:after="0"/>
        <w:ind w:left="117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Settlement of the Accelerated Equity Awards, as well as any Vested Equity Awards, that constitute restricted stock units or performance stock units held by Employee shall occur on or promptly following the Effective Date in accordance with the Plan, the Equity Plan and award agreements thereunder; provided that Employee agrees that the Company may, but is not required to, withhold or sell shares issued upon vesting or settlement of any such awards to satisfy state or federal income taxes. Accelerated Equity Awards and Vested Equity Awards that constitute options shall remain outstanding and be exercisable in accordance with the Plan, the Equity Plan and award agreements thereunder.</w:t>
            </w:r>
          </w:p>
        </w:tc>
      </w:tr>
    </w:tbl>
    <w:p>
      <w:pPr>
        <w:pStyle w:val="TextBody"/>
        <w:bidi w:val="0"/>
        <w:spacing w:before="0" w:after="0"/>
        <w:ind w:left="0" w:right="0" w:hanging="0"/>
        <w:jc w:val="both"/>
        <w:rPr/>
      </w:pPr>
      <w:r>
        <w:rPr/>
        <w:t>​</w:t>
      </w:r>
    </w:p>
    <w:tbl>
      <w:tblPr>
        <w:tblW w:w="8778" w:type="dxa"/>
        <w:jc w:val="left"/>
        <w:tblInd w:w="0" w:type="dxa"/>
        <w:tblLayout w:type="fixed"/>
        <w:tblCellMar>
          <w:top w:w="0" w:type="dxa"/>
          <w:left w:w="0" w:type="dxa"/>
          <w:bottom w:w="0" w:type="dxa"/>
          <w:right w:w="0" w:type="dxa"/>
        </w:tblCellMar>
      </w:tblPr>
      <w:tblGrid>
        <w:gridCol w:w="23"/>
        <w:gridCol w:w="170"/>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85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Payments to Employee pursuant to this Agreement are made without regard to setoff or recoupment rights.</w:t>
            </w:r>
          </w:p>
        </w:tc>
      </w:tr>
    </w:tbl>
    <w:p>
      <w:pPr>
        <w:pStyle w:val="TextBody"/>
        <w:bidi w:val="0"/>
        <w:spacing w:before="0" w:after="0"/>
        <w:ind w:left="1800" w:right="0" w:hanging="0"/>
        <w:jc w:val="left"/>
        <w:rPr/>
      </w:pPr>
      <w:r>
        <w:rPr/>
        <w:t>​</w:t>
      </w:r>
    </w:p>
    <w:tbl>
      <w:tblPr>
        <w:tblW w:w="1750" w:type="dxa"/>
        <w:jc w:val="left"/>
        <w:tblInd w:w="0" w:type="dxa"/>
        <w:tblLayout w:type="fixed"/>
        <w:tblCellMar>
          <w:top w:w="0" w:type="dxa"/>
          <w:left w:w="0" w:type="dxa"/>
          <w:bottom w:w="0" w:type="dxa"/>
          <w:right w:w="0" w:type="dxa"/>
        </w:tblCellMar>
      </w:tblPr>
      <w:tblGrid>
        <w:gridCol w:w="215"/>
        <w:gridCol w:w="1535"/>
      </w:tblGrid>
      <w:tr>
        <w:trPr/>
        <w:tc>
          <w:tcPr>
            <w:tcW w:w="2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II.</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CONSULTANCY.</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Consulting Period. </w:t>
            </w:r>
            <w:r>
              <w:rPr>
                <w:rFonts w:ascii="Times New Roman;Times;serif" w:hAnsi="Times New Roman;Times;serif"/>
                <w:sz w:val="20"/>
              </w:rPr>
              <w:t>Beginning on the day following the Termination, Employee will serve as an advisory consultant to the Company for a period of up to six (6) months after the Effective Date (the “</w:t>
            </w:r>
            <w:r>
              <w:rPr>
                <w:rFonts w:ascii="Times New Roman;Times;serif" w:hAnsi="Times New Roman;Times;serif"/>
                <w:b/>
                <w:i/>
                <w:sz w:val="20"/>
              </w:rPr>
              <w:t>Consulting Period”</w:t>
            </w:r>
            <w:r>
              <w:rPr>
                <w:rFonts w:ascii="Times New Roman;Times;serif" w:hAnsi="Times New Roman;Times;serif"/>
                <w:sz w:val="20"/>
              </w:rPr>
              <w:t>) as follows:</w:t>
            </w:r>
          </w:p>
        </w:tc>
      </w:tr>
    </w:tbl>
    <w:p>
      <w:pPr>
        <w:pStyle w:val="TextBody"/>
        <w:pBdr/>
        <w:bidi w:val="0"/>
        <w:spacing w:before="0" w:after="0"/>
        <w:ind w:left="360" w:right="0" w:hanging="36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Employee will provide up to 80 hours of consulting services relating to management transition services, not to exceed seven (7) hours in any given week, absent extraordinary circumstances. The Employee shall not receive any additional compensation for such services. The services described here will be performed by the Employee at the request of the Company after reasonable advance notice from the Company and Employee will perform the services at a reasonable time and place. During the Consulting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Employee agrees to perform all duties in a professional manner and observe and obey all applicable laws, rules and regulations.</w:t>
      </w:r>
    </w:p>
    <w:p>
      <w:pPr>
        <w:pStyle w:val="TextBody"/>
        <w:pBdr/>
        <w:bidi w:val="0"/>
        <w:spacing w:before="0" w:after="0"/>
        <w:ind w:left="720" w:right="0" w:hanging="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Company will reimburse Employee for reasonable out-of-pocket costs and expenses incurred in performing duties for the Company during the Consulting Period, including out-of-pocket travel, meals, and other similar type of costs and expenses, provided that Employee shall provide reasonable and appropriate documentation in such form as the Company may reasonably request. All reimbursements shall be made within thirty (30) days of submission of a reimbursement request. Any amounts outstanding after thirty (30) days shall bear interest at the rate of eighteen percent (18%) per annum.</w:t>
      </w:r>
    </w:p>
    <w:p>
      <w:pPr>
        <w:pStyle w:val="TextBody"/>
        <w:pBdr/>
        <w:bidi w:val="0"/>
        <w:spacing w:before="0" w:after="0"/>
        <w:ind w:left="0" w:right="0" w:hanging="72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Relationship of the Parties During the Consultancy</w:t>
      </w:r>
      <w:r>
        <w:rPr>
          <w:rFonts w:ascii="Times New Roman;Times;serif" w:hAnsi="Times New Roman;Times;serif"/>
          <w:sz w:val="20"/>
        </w:rPr>
        <w:t>. The Parties acknowledge and agree that Employee shall not be an employee of the Company during the Consulting Period and that the only relationship between the Parties during the Consulting Period is that of an independent contractor providing consulting services. Except as may be authorized by the Board of Directors of the Company, the Employee has no authority or right to create any obligation on behalf of the Company or to bind the Company in any respect whatsoever during the Consulting Period. Nothing contained in this Agreement shall be construed to constitute Employee as an employee of the Company during the Consulting Period. Employee neither expects nor desires that the Company should (a) withhold from any fees due and payable to Employee any taxes – state, federal, local, income, social security or otherwise, (b) pay with respect to Employee any fees or taxes for workers’ compensation or unemployment compensation, or (c) provide Employee with any other benefits customarily provided to employees. Since Employee shall not be an employee of the Company during the Consulting Period, Employee further agrees that, with respect to the Consulting Period and Employee’s provision of consulting services, he will not assert any claim against the Company for workers’ compensation, unemployment benefits, or other employee benefits of any kind. Nothing in this Agreement precludes Employee from seeking unemployment benefits related to Employee’s employment with the Company that ended at the Termination. Employee and the Company further agree to use good faith to address and abide by any restrictions on the consulting services contemplated by Section II(A) necessary to enable Employee to obtain and/or maintain post-Termination employment by another entity.</w:t>
      </w:r>
    </w:p>
    <w:p>
      <w:pPr>
        <w:pStyle w:val="TextBody"/>
        <w:pBdr/>
        <w:bidi w:val="0"/>
        <w:spacing w:before="0" w:after="0"/>
        <w:ind w:left="0" w:right="0" w:hanging="720"/>
        <w:jc w:val="both"/>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III.</w:t>
      </w:r>
      <w:r>
        <w:rPr>
          <w:rFonts w:ascii="Times New Roman;Times;serif" w:hAnsi="Times New Roman;Times;serif"/>
          <w:b/>
          <w:sz w:val="20"/>
        </w:rPr>
        <w:t xml:space="preserve">CONFIDENTIAL INFORMATION. </w:t>
      </w:r>
      <w:r>
        <w:rPr>
          <w:rFonts w:ascii="Times New Roman;Times;serif" w:hAnsi="Times New Roman;Times;serif"/>
          <w:sz w:val="20"/>
        </w:rPr>
        <w:t>Employee recognizes and acknowledges that he remains bound by any and all restrictive covenants regarding confidential and proprietary information and trade secrets contained in Employee’s Employment Agreement, as well as any restrictive covenants contained in Employee’s Proprietary Information and Invention Agreement with the Company. These covenants continue to apply up through and including Employee’s termination date, and they will extend and apply throughout the duration of the Consulting Period described herein.</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IV.</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RETURNING THE COMPANY’S DOCUMENTS AND TANGIBLE PROPERTY. </w:t>
            </w:r>
            <w:r>
              <w:rPr>
                <w:rFonts w:ascii="Times New Roman;Times;serif" w:hAnsi="Times New Roman;Times;serif"/>
                <w:sz w:val="20"/>
              </w:rPr>
              <w:t>Upon request of the Company, upon termination of the Consulting Period, Employee will promptly surrender and deliver to the Company, destroy or delete (and will not keep in its possession or deliver to anyone else) any tangible confidential information, records, data, notes, reports, proposals, lists, correspondence, computer codes, specifications, designs, materials, equipment, devices, or any other documents (including photocopies or other reproductions of any of the aforesaid items) of the Company or any Company Affiliate. In addition, Employee will remove from any and all computer systems under control of Employee, any third-party software applications provided by the Company to Employee for use in providing services under this Agreement. Notwithstanding the foregoing, Employee shall be entitled to preserve any documents, records or other materials that have or may be subject to discovery requests in pending or threatened litigation or other legal claims.</w:t>
            </w:r>
          </w:p>
        </w:tc>
      </w:tr>
    </w:tbl>
    <w:p>
      <w:pPr>
        <w:pStyle w:val="TextBody"/>
        <w:pBdr/>
        <w:bidi w:val="0"/>
        <w:spacing w:before="0" w:after="0"/>
        <w:ind w:left="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w:t>
            </w:r>
          </w:p>
        </w:tc>
        <w:tc>
          <w:tcPr>
            <w:tcW w:w="10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SURVIVAL. </w:t>
            </w:r>
            <w:r>
              <w:rPr>
                <w:rFonts w:ascii="Times New Roman;Times;serif" w:hAnsi="Times New Roman;Times;serif"/>
                <w:sz w:val="20"/>
              </w:rPr>
              <w:t>The Parties expressly acknowledge and agree that the provisions of this Agreement that by their express terms extend beyond the termination of the Consulting Period or the termination of this Agreement shall continue in full force and effect notwithstanding termination of the Consulting Period or the termination of this Agreement.</w:t>
            </w:r>
          </w:p>
        </w:tc>
      </w:tr>
    </w:tbl>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VI.</w:t>
      </w:r>
      <w:r>
        <w:rPr>
          <w:rFonts w:ascii="Times New Roman;Times;serif" w:hAnsi="Times New Roman;Times;serif"/>
          <w:b/>
          <w:sz w:val="20"/>
        </w:rPr>
        <w:t>REMEDIES.</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 xml:space="preserve">Enforcement. </w:t>
      </w:r>
      <w:r>
        <w:rPr>
          <w:rFonts w:ascii="Times New Roman;Times;serif" w:hAnsi="Times New Roman;Times;serif"/>
          <w:sz w:val="20"/>
        </w:rPr>
        <w:t>Employee hereby specifically acknowledges and agrees that the provisions in Sections III and IV of this Agreement are reasonable and necessary to protect the legitimate interests of the Company (including without limitation its trade secrets and confidential information) and that such restrictions will not unreasonably restrict Employee or interfere with Employee’s ability to enter gainful business opportunities following the Consulting Period. Employee further agrees that the existence of any dispute respecting the interpretation of this Agreement or the alleged breach of this Agreement by the Company will not excuse performance or otherwise affect the validity or enforceability of Employee’s obligations under Sections III and IV, and Employee’s obligations under Sections III and IV shall continue in accordance with their terms without regard to any other dispute hereunder.</w:t>
      </w:r>
    </w:p>
    <w:p>
      <w:pPr>
        <w:pStyle w:val="TextBody"/>
        <w:bidi w:val="0"/>
        <w:spacing w:before="0" w:after="0"/>
        <w:ind w:left="0" w:right="0" w:firstLine="216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Remedies. </w:t>
      </w:r>
      <w:r>
        <w:rPr>
          <w:rFonts w:ascii="Times New Roman;Times;serif" w:hAnsi="Times New Roman;Times;serif"/>
          <w:sz w:val="20"/>
        </w:rPr>
        <w:t>Employee further acknowledges and agrees that violation of Sections III and IV of this Agreement would cause the Company irreparable harm for which monetary damages alone would not be an adequate remedy. Therefore, in the event of any violation by Employee, the Company (in addition to all other remedies the Company may have) shall be entitled to a temporary restraining order, injunction, and other equitable relief (without posting any bond or other security) restraining the violator from committing or continuing such violation. Any delay by the Company in asserting a right under this Agreement or any failure by the Company to assert a right under this Agreement will not constitute a waiver by the Company of any right hereunder, and the Company may subsequently assert any and all of its rights under this Agreement as if the delay or failure to assert rights had not occurred.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 xml:space="preserve">Enforcement Costs. </w:t>
      </w:r>
      <w:r>
        <w:rPr>
          <w:rFonts w:ascii="Times New Roman;Times;serif" w:hAnsi="Times New Roman;Times;serif"/>
          <w:sz w:val="20"/>
        </w:rPr>
        <w:t>In the event that the Company breaches any of its obligations pursuant to this Agreement, including, without limitation, by failing to pay any portion of the Severance Payment when due, Employee shall provide written notice to the Company of such alleged breaches. In the event such breaches are not cured within fifteen (15) days of such notice or such breaches are not curable, Employee’s cost of enforcement of this Agreement, including attorneys’ fees, will be borne by the Company; provided that it shall not be a default for the Company to pay Employee the same percentage recovery as other allowed General Unsecured Creditors under the Plan. In the event that Employee breaches any of his obligations under this Agreement, the Company shall provide written notice to Employee of such alleged breaches. In the event such breaches are not cured within fifteen (15) days of such notice or such breaches are not curable, the Company shall have the right to petition the Bankruptcy Court to fashion an equitable remedy including, but not limited to, disgorgement of all or a portion of the Severance Payment that was made with respect to this Agreement.</w:t>
      </w:r>
    </w:p>
    <w:p>
      <w:pPr>
        <w:pStyle w:val="TextBody"/>
        <w:bidi w:val="0"/>
        <w:spacing w:before="0" w:after="0"/>
        <w:ind w:left="0" w:right="0" w:hanging="0"/>
        <w:jc w:val="left"/>
        <w:rPr/>
      </w:pPr>
      <w:r>
        <w:rPr/>
        <w:t>​</w:t>
      </w:r>
    </w:p>
    <w:tbl>
      <w:tblPr>
        <w:tblW w:w="4300" w:type="dxa"/>
        <w:jc w:val="left"/>
        <w:tblInd w:w="0" w:type="dxa"/>
        <w:tblLayout w:type="fixed"/>
        <w:tblCellMar>
          <w:top w:w="0" w:type="dxa"/>
          <w:left w:w="0" w:type="dxa"/>
          <w:bottom w:w="0" w:type="dxa"/>
          <w:right w:w="0" w:type="dxa"/>
        </w:tblCellMar>
      </w:tblPr>
      <w:tblGrid>
        <w:gridCol w:w="350"/>
        <w:gridCol w:w="3950"/>
      </w:tblGrid>
      <w:tr>
        <w:trPr/>
        <w:tc>
          <w:tcPr>
            <w:tcW w:w="3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VII.</w:t>
            </w:r>
          </w:p>
        </w:tc>
        <w:tc>
          <w:tcPr>
            <w:tcW w:w="39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MISCELLANEOUS AND GENERAL TERMS.</w:t>
            </w:r>
          </w:p>
        </w:tc>
      </w:tr>
    </w:tbl>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Governing Law.</w:t>
      </w:r>
      <w:r>
        <w:rPr>
          <w:rFonts w:ascii="Times New Roman;Times;serif" w:hAnsi="Times New Roman;Times;serif"/>
          <w:sz w:val="20"/>
        </w:rPr>
        <w:t xml:space="preserve"> All matters relating to the interpretation, construction, application, validity and enforcement of this Agreement shall be governed by the laws of the State of Delaware without giving effect to any choice or conflict of law provision or rule, whether of the State of Delaware or any other jurisdiction, that would cause the application of laws of any jurisdiction other than the State of Delaware.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Amendments.</w:t>
      </w:r>
      <w:r>
        <w:rPr>
          <w:rFonts w:ascii="Times New Roman;Times;serif" w:hAnsi="Times New Roman;Times;serif"/>
          <w:sz w:val="20"/>
        </w:rPr>
        <w:t xml:space="preserve"> No amendment or modification of this Agreement shall be deemed effective unless made in writing and signed by the Parties.</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No Waiver.</w:t>
      </w:r>
      <w:r>
        <w:rPr>
          <w:rFonts w:ascii="Times New Roman;Times;serif" w:hAnsi="Times New Roman;Times;serif"/>
          <w:sz w:val="20"/>
        </w:rPr>
        <w:t xml:space="preserve"> No term or condition of this Agreement shall be deemed to have been waived, except by a statement in writing signed by the Party against whom enforcement of the waiver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 xml:space="preserve">Assignment. </w:t>
      </w:r>
      <w:r>
        <w:rPr>
          <w:rFonts w:ascii="Times New Roman;Times;serif" w:hAnsi="Times New Roman;Times;serif"/>
          <w:sz w:val="20"/>
        </w:rPr>
        <w:t>This Agreement shall not be assignable, in whole or in part, by Employee without the prior written consent of the Company. The Company may assign its rights and obligations under this Agreement, except for Section II (Consultancy), without the consent of Employee, including without limitation to any corporation or other person or business entity with which the Company may merge or consolidate or to which the Company may sell or transfer all or a portion of its assets. After any such assignment by the Company, the Company shall be discharged from all further liability hereunder and such assignee shall thereafter be deemed to be the “Company” for purposes of all terms and conditions of this Agreement, including this Section VIID.</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Counterparts.</w:t>
      </w:r>
      <w:r>
        <w:rPr>
          <w:rFonts w:ascii="Times New Roman;Times;serif" w:hAnsi="Times New Roman;Times;serif"/>
          <w:sz w:val="20"/>
        </w:rPr>
        <w:t xml:space="preserve"> This Agreement may be executed in any number of counterparts and delivered by facsimile or other means of electronic communication, and such counterparts executed and delivered, shall constitute but one and the same instrument.</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 xml:space="preserve">Severability. </w:t>
      </w:r>
      <w:r>
        <w:rPr>
          <w:rFonts w:ascii="Times New Roman;Times;serif" w:hAnsi="Times New Roman;Times;serif"/>
          <w:color w:val="3D3D3D"/>
          <w:sz w:val="20"/>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provided, however, that if any fundamental term or provision of this Agreement (including without limitation the Severance Payment and Release), is invalid, illegal, or unenforceable, the remainder of this Agreement shall be unenforceable. Upon a determination that any term or provision is invalid, illegal, or unenforceable, the parties hereto shall negotiate in good faith to/the court may modify this Agreement to give effect to the original intent of the parties as closely as possible in order that the transactions contemplated hereby be consummated as originally contemplated to the greatest extent possible.</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 xml:space="preserve">Captions and Headings. </w:t>
      </w:r>
      <w:r>
        <w:rPr>
          <w:rFonts w:ascii="Times New Roman;Times;serif" w:hAnsi="Times New Roman;Times;serif"/>
          <w:sz w:val="20"/>
        </w:rPr>
        <w:t>The captions and paragraph headings used in this Agreement are for convenience of reference only and shall not affect the construction or interpretation of this Agreement or any of the provisions hereof.</w:t>
      </w:r>
    </w:p>
    <w:p>
      <w:pPr>
        <w:pStyle w:val="TextBody"/>
        <w:pBdr/>
        <w:bidi w:val="0"/>
        <w:spacing w:before="0" w:after="0"/>
        <w:ind w:left="0" w:right="0" w:hanging="72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Notices.</w:t>
      </w:r>
      <w:r>
        <w:rPr>
          <w:rFonts w:ascii="Times New Roman;Times;serif" w:hAnsi="Times New Roman;Times;serif"/>
          <w:sz w:val="20"/>
        </w:rPr>
        <w:t xml:space="preserve"> Notices and all other communications under this Agreement shall be in writing and shall be deemed given if (i) delivered personally, (ii) delivered by a recognized overnight courier service, or (iii) mailed by United States registered or certified mail, return receipt requested, postage prepaid, addressed as follows:</w:t>
      </w:r>
    </w:p>
    <w:p>
      <w:pPr>
        <w:pStyle w:val="TextBody"/>
        <w:bidi w:val="0"/>
        <w:spacing w:before="0" w:after="0"/>
        <w:ind w:left="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If to Company to:</w:t>
      </w:r>
    </w:p>
    <w:p>
      <w:pPr>
        <w:pStyle w:val="TextBody"/>
        <w:bidi w:val="0"/>
        <w:spacing w:before="0" w:after="0"/>
        <w:ind w:left="144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Lordstown Motors</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c/o M3 Partners</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1700 Broadway, 19th Floor</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New York, NY 10019</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Attention: William Gallagher</w:t>
      </w:r>
    </w:p>
    <w:p>
      <w:pPr>
        <w:pStyle w:val="TextBody"/>
        <w:bidi w:val="0"/>
        <w:spacing w:before="0" w:after="0"/>
        <w:ind w:left="144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If to Employee, to:</w:t>
      </w:r>
    </w:p>
    <w:p>
      <w:pPr>
        <w:pStyle w:val="TextBody"/>
        <w:bidi w:val="0"/>
        <w:spacing w:before="0" w:after="0"/>
        <w:ind w:left="144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Daniel Ninivaggi</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3575 Roland Drive</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Bloomfield Hills, Michigan 48301</w:t>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As such addresses may be changed from time to time by a party providing written notice to the other party.</w:t>
      </w:r>
    </w:p>
    <w:p>
      <w:pPr>
        <w:pStyle w:val="TextBody"/>
        <w:bidi w:val="0"/>
        <w:spacing w:before="0" w:after="0"/>
        <w:ind w:left="72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 * *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Follow]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IN WITNESS WHEREOF, Employee and the Company have executed this Agreement as of the Agreement Date.</w:t>
      </w:r>
    </w:p>
    <w:p>
      <w:pPr>
        <w:pStyle w:val="TextBody"/>
        <w:bidi w:val="0"/>
        <w:spacing w:before="0" w:after="0"/>
        <w:ind w:left="0" w:right="0" w:hanging="0"/>
        <w:jc w:val="left"/>
        <w:rPr/>
      </w:pPr>
      <w:r>
        <w:rPr/>
        <w:t>​</w:t>
      </w:r>
    </w:p>
    <w:tbl>
      <w:tblPr>
        <w:tblW w:w="3364" w:type="dxa"/>
        <w:jc w:val="center"/>
        <w:tblInd w:w="0" w:type="dxa"/>
        <w:tblLayout w:type="fixed"/>
        <w:tblCellMar>
          <w:top w:w="0" w:type="dxa"/>
          <w:left w:w="0" w:type="dxa"/>
          <w:bottom w:w="0" w:type="dxa"/>
          <w:right w:w="0" w:type="dxa"/>
        </w:tblCellMar>
      </w:tblPr>
      <w:tblGrid>
        <w:gridCol w:w="762"/>
        <w:gridCol w:w="2448"/>
        <w:gridCol w:w="154"/>
      </w:tblGrid>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LORDSTOWN MOTORS CORP.</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T. Hightower</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4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T. Hightower</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pPr>
            <w:r>
              <w:rPr/>
              <w:t>​</w:t>
            </w:r>
          </w:p>
        </w:tc>
        <w:tc>
          <w:tcPr>
            <w:tcW w:w="2448"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LORDSTOWN EV CORPORATION</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pPr>
            <w:r>
              <w:rPr/>
              <w:t>​</w:t>
            </w:r>
          </w:p>
        </w:tc>
        <w:tc>
          <w:tcPr>
            <w:tcW w:w="2448"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T. Hightower</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4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T. Hightower</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pPr>
            <w:r>
              <w:rPr/>
              <w:t>​</w:t>
            </w:r>
          </w:p>
        </w:tc>
        <w:tc>
          <w:tcPr>
            <w:tcW w:w="2448"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LORDSTOWN EV SALES LLC</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pPr>
            <w:r>
              <w:rPr/>
              <w:t>​</w:t>
            </w:r>
          </w:p>
        </w:tc>
        <w:tc>
          <w:tcPr>
            <w:tcW w:w="2448"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T. Hightower</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4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T. Hightower</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pPr>
            <w:r>
              <w:rPr/>
              <w:t>​</w:t>
            </w:r>
          </w:p>
        </w:tc>
        <w:tc>
          <w:tcPr>
            <w:tcW w:w="2448"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w:t>
            </w:r>
          </w:p>
        </w:tc>
        <w:tc>
          <w:tcPr>
            <w:tcW w:w="154" w:type="dxa"/>
            <w:tcBorders/>
            <w:vAlign w:val="center"/>
          </w:tcPr>
          <w:p>
            <w:pPr>
              <w:pStyle w:val="TableContents"/>
              <w:bidi w:val="0"/>
              <w:spacing w:before="0" w:after="0"/>
              <w:ind w:left="0" w:right="0" w:hanging="0"/>
              <w:jc w:val="left"/>
              <w:rPr/>
            </w:pPr>
            <w:r>
              <w:rPr/>
              <w:t>​</w:t>
            </w:r>
          </w:p>
        </w:tc>
      </w:tr>
      <w:tr>
        <w:trPr/>
        <w:tc>
          <w:tcPr>
            <w:tcW w:w="762" w:type="dxa"/>
            <w:tcBorders/>
            <w:vAlign w:val="center"/>
          </w:tcPr>
          <w:p>
            <w:pPr>
              <w:pStyle w:val="TableContents"/>
              <w:bidi w:val="0"/>
              <w:spacing w:before="0" w:after="0"/>
              <w:ind w:left="0" w:right="0" w:hanging="0"/>
              <w:jc w:val="left"/>
              <w:rPr/>
            </w:pPr>
            <w:r>
              <w:rPr/>
              <w:t>​</w:t>
            </w:r>
          </w:p>
        </w:tc>
        <w:tc>
          <w:tcPr>
            <w:tcW w:w="2448"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Ninivaggi</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Ninivaggi</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614" w:name="tmb-20240331xex10d2.htm"/>
      <w:bookmarkStart w:id="615" w:name="kstmb20240331xex10d2"/>
      <w:bookmarkEnd w:id="614"/>
      <w:bookmarkEnd w:id="615"/>
      <w:r>
        <w:rPr>
          <w:rFonts w:ascii="Times New Roman;Times;serif" w:hAnsi="Times New Roman;Times;serif"/>
          <w:b/>
          <w:sz w:val="20"/>
        </w:rPr>
        <w:t>Exhibit 10.2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SEVERANCE SETTLEMENT 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Severance Settlement Agreement (the “</w:t>
      </w:r>
      <w:r>
        <w:rPr>
          <w:rFonts w:ascii="Times New Roman;Times;serif" w:hAnsi="Times New Roman;Times;serif"/>
          <w:b/>
          <w:i/>
          <w:sz w:val="20"/>
        </w:rPr>
        <w:t>Agreement</w:t>
      </w:r>
      <w:r>
        <w:rPr>
          <w:rFonts w:ascii="Times New Roman;Times;serif" w:hAnsi="Times New Roman;Times;serif"/>
          <w:sz w:val="20"/>
        </w:rPr>
        <w:t>”) is entered into between Lordstown Motors Corp., a Delaware corporation (“</w:t>
      </w:r>
      <w:r>
        <w:rPr>
          <w:rFonts w:ascii="Times New Roman;Times;serif" w:hAnsi="Times New Roman;Times;serif"/>
          <w:b/>
          <w:sz w:val="20"/>
        </w:rPr>
        <w:t>LMC</w:t>
      </w:r>
      <w:r>
        <w:rPr>
          <w:rFonts w:ascii="Times New Roman;Times;serif" w:hAnsi="Times New Roman;Times;serif"/>
          <w:sz w:val="20"/>
        </w:rPr>
        <w:t>” and together with Lordstown EV Corporation and Lordstown EV Sales LLC, the “</w:t>
      </w:r>
      <w:r>
        <w:rPr>
          <w:rFonts w:ascii="Times New Roman;Times;serif" w:hAnsi="Times New Roman;Times;serif"/>
          <w:b/>
          <w:i/>
          <w:sz w:val="20"/>
        </w:rPr>
        <w:t>Company</w:t>
      </w:r>
      <w:r>
        <w:rPr>
          <w:rFonts w:ascii="Times New Roman;Times;serif" w:hAnsi="Times New Roman;Times;serif"/>
          <w:sz w:val="20"/>
        </w:rPr>
        <w:t>”), and Adam Kroll (“</w:t>
      </w:r>
      <w:r>
        <w:rPr>
          <w:rFonts w:ascii="Times New Roman;Times;serif" w:hAnsi="Times New Roman;Times;serif"/>
          <w:b/>
          <w:i/>
          <w:sz w:val="20"/>
        </w:rPr>
        <w:t>Employee</w:t>
      </w:r>
      <w:r>
        <w:rPr>
          <w:rFonts w:ascii="Times New Roman;Times;serif" w:hAnsi="Times New Roman;Times;serif"/>
          <w:sz w:val="20"/>
        </w:rPr>
        <w:t>”), as of the 13</w:t>
      </w:r>
      <w:r>
        <w:rPr>
          <w:rFonts w:ascii="Times New Roman;Times;serif" w:hAnsi="Times New Roman;Times;serif"/>
          <w:sz w:val="15"/>
        </w:rPr>
        <w:t xml:space="preserve">th </w:t>
      </w:r>
      <w:r>
        <w:rPr>
          <w:rFonts w:ascii="Times New Roman;Times;serif" w:hAnsi="Times New Roman;Times;serif"/>
          <w:sz w:val="20"/>
        </w:rPr>
        <w:t>day of March, 2024 (the “</w:t>
      </w:r>
      <w:r>
        <w:rPr>
          <w:rFonts w:ascii="Times New Roman;Times;serif" w:hAnsi="Times New Roman;Times;serif"/>
          <w:b/>
          <w:i/>
          <w:sz w:val="20"/>
        </w:rPr>
        <w:t>Agreement Date</w:t>
      </w:r>
      <w:r>
        <w:rPr>
          <w:rFonts w:ascii="Times New Roman;Times;serif" w:hAnsi="Times New Roman;Times;serif"/>
          <w:sz w:val="20"/>
        </w:rPr>
        <w:t>”). Each of Company and Employee is a “</w:t>
      </w:r>
      <w:r>
        <w:rPr>
          <w:rFonts w:ascii="Times New Roman;Times;serif" w:hAnsi="Times New Roman;Times;serif"/>
          <w:b/>
          <w:i/>
          <w:sz w:val="20"/>
        </w:rPr>
        <w:t>Party</w:t>
      </w:r>
      <w:r>
        <w:rPr>
          <w:rFonts w:ascii="Times New Roman;Times;serif" w:hAnsi="Times New Roman;Times;serif"/>
          <w:sz w:val="20"/>
        </w:rPr>
        <w:t xml:space="preserve">” and, collectively, constitute the </w:t>
      </w:r>
      <w:r>
        <w:rPr>
          <w:rFonts w:ascii="Times New Roman;Times;serif" w:hAnsi="Times New Roman;Times;serif"/>
          <w:b/>
          <w:i/>
          <w:sz w:val="20"/>
        </w:rPr>
        <w:t>Parties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0"/>
        <w:ind w:left="0" w:right="0" w:hanging="0"/>
        <w:jc w:val="left"/>
        <w:rPr/>
      </w:pPr>
      <w:r>
        <w:rPr/>
        <w:t>​</w:t>
      </w:r>
    </w:p>
    <w:tbl>
      <w:tblPr>
        <w:tblW w:w="4113" w:type="dxa"/>
        <w:jc w:val="left"/>
        <w:tblInd w:w="0" w:type="dxa"/>
        <w:tblLayout w:type="fixed"/>
        <w:tblCellMar>
          <w:top w:w="0" w:type="dxa"/>
          <w:left w:w="0" w:type="dxa"/>
          <w:bottom w:w="0" w:type="dxa"/>
          <w:right w:w="0" w:type="dxa"/>
        </w:tblCellMar>
      </w:tblPr>
      <w:tblGrid>
        <w:gridCol w:w="23"/>
        <w:gridCol w:w="20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8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has been employed by the Company.</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Capitalized terms used but not otherwise defined herein have the meanings set forth in the Company’s plan of reorganization (as it may amended, the “</w:t>
            </w:r>
            <w:r>
              <w:rPr>
                <w:rFonts w:ascii="Times New Roman;Times;serif" w:hAnsi="Times New Roman;Times;serif"/>
                <w:b/>
                <w:i/>
                <w:sz w:val="20"/>
              </w:rPr>
              <w:t>Plan</w:t>
            </w:r>
            <w:r>
              <w:rPr>
                <w:rFonts w:ascii="Times New Roman;Times;serif" w:hAnsi="Times New Roman;Times;serif"/>
                <w:sz w:val="20"/>
              </w:rPr>
              <w:t>”) filed as of the date hereof and confirmed by the U.S. Bankruptcy Court for the District of Delaware (the “</w:t>
            </w:r>
            <w:r>
              <w:rPr>
                <w:rFonts w:ascii="Times New Roman;Times;serif" w:hAnsi="Times New Roman;Times;serif"/>
                <w:b/>
                <w:i/>
                <w:sz w:val="20"/>
              </w:rPr>
              <w:t>Court</w:t>
            </w:r>
            <w:r>
              <w:rPr>
                <w:rFonts w:ascii="Times New Roman;Times;serif" w:hAnsi="Times New Roman;Times;serif"/>
                <w:sz w:val="20"/>
              </w:rPr>
              <w:t>”) under Chapter 11 of the Bankruptcy Code.</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will terminate Employee’s employment with the Company effective as of the Effective Date (the “</w:t>
            </w:r>
            <w:r>
              <w:rPr>
                <w:rFonts w:ascii="Times New Roman;Times;serif" w:hAnsi="Times New Roman;Times;serif"/>
                <w:b/>
                <w:i/>
                <w:sz w:val="20"/>
              </w:rPr>
              <w:t>Termination</w:t>
            </w:r>
            <w:r>
              <w:rPr>
                <w:rFonts w:ascii="Times New Roman;Times;serif" w:hAnsi="Times New Roman;Times;serif"/>
                <w:sz w:val="20"/>
              </w:rPr>
              <w:t>”).</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and LMC are party to an Employment Agreement dated as of October 13, 2021 (the “</w:t>
            </w:r>
            <w:r>
              <w:rPr>
                <w:rFonts w:ascii="Times New Roman;Times;serif" w:hAnsi="Times New Roman;Times;serif"/>
                <w:b/>
                <w:i/>
                <w:sz w:val="20"/>
              </w:rPr>
              <w:t>Employment Agreement</w:t>
            </w:r>
            <w:r>
              <w:rPr>
                <w:rFonts w:ascii="Times New Roman;Times;serif" w:hAnsi="Times New Roman;Times;serif"/>
                <w:sz w:val="20"/>
              </w:rPr>
              <w:t>”</w:t>
            </w:r>
            <w:r>
              <w:rPr>
                <w:rFonts w:ascii="Times New Roman;Times;serif" w:hAnsi="Times New Roman;Times;serif"/>
                <w:i/>
                <w:sz w:val="20"/>
              </w:rPr>
              <w:t>)</w:t>
            </w:r>
            <w:r>
              <w:rPr>
                <w:rFonts w:ascii="Times New Roman;Times;serif" w:hAnsi="Times New Roman;Times;serif"/>
                <w:sz w:val="20"/>
              </w:rPr>
              <w:t xml:space="preserve"> and, in light of the rejection of the Employment Agreement as part of the Plan, the Court has approved an order allowing the Company to enter into this Agreement to provide for the terms hereof with respect to Employee’s termination of employment, which are conditioned on the effectiveness of the Release (as defined below).</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desires to retain Employee as a consultant to provide advice and consulting services to the Company from the Termination in accordance with the terms and conditions of this Agreement.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desires to provide advice and consulting services to the Company from and after the Termination in accordance with the terms and conditions of this Agreement.</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Consulting Period (as defined below) Employee will have access to trade secrets and other confidential and proprietary information regarding the business of the Company and Company Affiliates (as defined below).</w:t>
            </w:r>
          </w:p>
        </w:tc>
      </w:tr>
    </w:tbl>
    <w:p>
      <w:pPr>
        <w:pStyle w:val="TextBody"/>
        <w:pBdr/>
        <w:bidi w:val="0"/>
        <w:spacing w:before="0" w:after="0"/>
        <w:ind w:left="0" w:right="0" w:hanging="144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NOW, THEREFORE, </w:t>
      </w:r>
      <w:r>
        <w:rPr>
          <w:rFonts w:ascii="Times New Roman;Times;serif" w:hAnsi="Times New Roman;Times;serif"/>
          <w:sz w:val="20"/>
        </w:rPr>
        <w:t>in full consideration for the signing of this Agreement and Employee’s representations, warranties, covenants, Release and agreements set forth below, the Parties agree as follows: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AGREEMENT</w:t>
      </w:r>
    </w:p>
    <w:p>
      <w:pPr>
        <w:pStyle w:val="TextBody"/>
        <w:bidi w:val="0"/>
        <w:spacing w:before="0" w:after="0"/>
        <w:ind w:left="0" w:right="0" w:hanging="0"/>
        <w:jc w:val="both"/>
        <w:rPr/>
      </w:pPr>
      <w:r>
        <w:rPr/>
        <w:t>​</w:t>
      </w:r>
    </w:p>
    <w:tbl>
      <w:tblPr>
        <w:tblW w:w="3865" w:type="dxa"/>
        <w:jc w:val="left"/>
        <w:tblInd w:w="0" w:type="dxa"/>
        <w:tblLayout w:type="fixed"/>
        <w:tblCellMar>
          <w:top w:w="0" w:type="dxa"/>
          <w:left w:w="0" w:type="dxa"/>
          <w:bottom w:w="0" w:type="dxa"/>
          <w:right w:w="0" w:type="dxa"/>
        </w:tblCellMar>
      </w:tblPr>
      <w:tblGrid>
        <w:gridCol w:w="185"/>
        <w:gridCol w:w="3680"/>
      </w:tblGrid>
      <w:tr>
        <w:trPr/>
        <w:tc>
          <w:tcPr>
            <w:tcW w:w="1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 xml:space="preserve">I. </w:t>
            </w:r>
          </w:p>
        </w:tc>
        <w:tc>
          <w:tcPr>
            <w:tcW w:w="36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SEVERANCE BENEFITS AND RELEASE.</w:t>
            </w:r>
          </w:p>
        </w:tc>
      </w:tr>
    </w:tbl>
    <w:p>
      <w:pPr>
        <w:pStyle w:val="TextBody"/>
        <w:bidi w:val="0"/>
        <w:spacing w:before="0" w:after="0"/>
        <w:ind w:left="0" w:right="0" w:hanging="0"/>
        <w:jc w:val="both"/>
        <w:rPr/>
      </w:pPr>
      <w:r>
        <w:rPr/>
        <w:t>​</w:t>
      </w:r>
    </w:p>
    <w:tbl>
      <w:tblPr>
        <w:tblW w:w="1668" w:type="dxa"/>
        <w:jc w:val="left"/>
        <w:tblInd w:w="0" w:type="dxa"/>
        <w:tblLayout w:type="fixed"/>
        <w:tblCellMar>
          <w:top w:w="0" w:type="dxa"/>
          <w:left w:w="0" w:type="dxa"/>
          <w:bottom w:w="0" w:type="dxa"/>
          <w:right w:w="0" w:type="dxa"/>
        </w:tblCellMar>
      </w:tblPr>
      <w:tblGrid>
        <w:gridCol w:w="23"/>
        <w:gridCol w:w="200"/>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w:t>
            </w:r>
          </w:p>
        </w:tc>
        <w:tc>
          <w:tcPr>
            <w:tcW w:w="14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General Release</w:t>
            </w:r>
            <w:r>
              <w:rPr>
                <w:rFonts w:ascii="Times New Roman;Times;serif" w:hAnsi="Times New Roman;Times;serif"/>
                <w:sz w:val="20"/>
              </w:rPr>
              <w: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8"/>
        <w:gridCol w:w="10044"/>
      </w:tblGrid>
      <w:tr>
        <w:trPr/>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Except as specified in Section I(A)(2), Employee knowingly and voluntarily waives, terminates, cancels, releases and discharges forever the Company, its affiliates, stockholders, beneficial owners of its stock, its current or former officers, directors, employees, members, attorneys and agents, and their predecessors, successors and assigns, in their official capacities as such (together,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i/>
          <w:sz w:val="20"/>
        </w:rPr>
        <w:t>Released Parties</w:t>
      </w:r>
      <w:r>
        <w:rPr>
          <w:rFonts w:ascii="Times New Roman;Times;serif" w:hAnsi="Times New Roman;Times;serif"/>
          <w:sz w:val="20"/>
        </w:rPr>
        <w:t>”), from any and all suits, actions, causes of action, claims, allegations, rights, obligations, liabilities, demands, entitlements or charges that Employee (or Employee’s heirs, executors, administrators, successors and assigns) has or may have, whether known, unknown or unforeseen, vested or contingent, by reason of any matter, cause or thing occurring at any time before and including the date of this Release (collectively, “</w:t>
      </w:r>
      <w:r>
        <w:rPr>
          <w:rFonts w:ascii="Times New Roman;Times;serif" w:hAnsi="Times New Roman;Times;serif"/>
          <w:b/>
          <w:i/>
          <w:sz w:val="20"/>
        </w:rPr>
        <w:t>Claims</w:t>
      </w:r>
      <w:r>
        <w:rPr>
          <w:rFonts w:ascii="Times New Roman;Times;serif" w:hAnsi="Times New Roman;Times;serif"/>
          <w:sz w:val="20"/>
        </w:rPr>
        <w:t>”), including all claims arising under or in connection with Employee’s employment, termination of employment or Employment Agreement with the Company, including, without limitation:</w:t>
      </w:r>
    </w:p>
    <w:p>
      <w:pPr>
        <w:pStyle w:val="TextBody"/>
        <w:bidi w:val="0"/>
        <w:spacing w:before="0" w:after="0"/>
        <w:ind w:left="720" w:right="0" w:hanging="0"/>
        <w:jc w:val="both"/>
        <w:rPr/>
      </w:pPr>
      <w:r>
        <w:rPr/>
        <w:t>​</w:t>
      </w:r>
    </w:p>
    <w:tbl>
      <w:tblPr>
        <w:tblW w:w="8043" w:type="dxa"/>
        <w:jc w:val="left"/>
        <w:tblInd w:w="0" w:type="dxa"/>
        <w:tblLayout w:type="fixed"/>
        <w:tblCellMar>
          <w:top w:w="0" w:type="dxa"/>
          <w:left w:w="0" w:type="dxa"/>
          <w:bottom w:w="0" w:type="dxa"/>
          <w:right w:w="0" w:type="dxa"/>
        </w:tblCellMar>
      </w:tblPr>
      <w:tblGrid>
        <w:gridCol w:w="23"/>
        <w:gridCol w:w="155"/>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78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and all claims for severance payments, except for the Severance Payment (as defined below).</w:t>
            </w:r>
          </w:p>
        </w:tc>
      </w:tr>
    </w:tbl>
    <w:p>
      <w:pPr>
        <w:pStyle w:val="TextBody"/>
        <w:bidi w:val="0"/>
        <w:spacing w:before="0" w:after="0"/>
        <w:ind w:left="25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and all claims under United States federal, state or local law and the national or local law of any foreign country (statutory or decisional), for wrongful, abusive, constructive or unlawful discharge or dismissal, for breach of any contract, or for discrimination based upon race, color, ethnicity, sex, national origin, religion, disability, sexual orientation, or any other unlawful criterion or circumstance, including violations of the Equal Pay Act, Title VII of the Civil Rights Act of 1964, the Civil Rights Act of 1991, the Americans with Disabilities Act of 1991, the Employee Retirement Income Security Act of 1974 (“</w:t>
            </w:r>
            <w:r>
              <w:rPr>
                <w:rFonts w:ascii="Times New Roman;Times;serif" w:hAnsi="Times New Roman;Times;serif"/>
                <w:b/>
                <w:i/>
                <w:sz w:val="20"/>
              </w:rPr>
              <w:t>ERISA</w:t>
            </w:r>
            <w:r>
              <w:rPr>
                <w:rFonts w:ascii="Times New Roman;Times;serif" w:hAnsi="Times New Roman;Times;serif"/>
                <w:sz w:val="20"/>
              </w:rPr>
              <w:t>”), the Fair Labor Standards Act, the Worker Adjustment Retraining and Notification Act, the Family Medical Leave Act, including all amendments to any of the aforementioned acts; and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and all claims for alleged violations of any other federal, state, or municipal fair employment statutes or laws, including, without limitation, violations of any other law, rule, regulation, or ordinance pertaining to employment, wages, compensation, hours worked, or any other Claims for compensation or bonuses, whether or not paid under any compensation plan or arrangement; breach of contract; tort and other common law Claims; defamation; libel; slander; impairment of economic opportunity defamation; sexual harassment; retaliation; attorneys’ fees; emotional distress; intentional infliction of emotional distress; assault; battery, pain and suffering; and punitive or exemplary damages.</w:t>
            </w:r>
          </w:p>
        </w:tc>
      </w:tr>
    </w:tbl>
    <w:p>
      <w:pPr>
        <w:pStyle w:val="TextBody"/>
        <w:bidi w:val="0"/>
        <w:spacing w:before="0" w:after="81"/>
        <w:ind w:left="72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above matters are referred to collectively herein as the “</w:t>
      </w:r>
      <w:r>
        <w:rPr>
          <w:rFonts w:ascii="Times New Roman;Times;serif" w:hAnsi="Times New Roman;Times;serif"/>
          <w:b/>
          <w:i/>
          <w:sz w:val="20"/>
        </w:rPr>
        <w:t>Released Matters</w:t>
      </w:r>
      <w:r>
        <w:rPr>
          <w:rFonts w:ascii="Times New Roman;Times;serif" w:hAnsi="Times New Roman;Times;serif"/>
          <w:sz w:val="20"/>
        </w:rPr>
        <w:t>”. In addition, in consideration of the provisions of this Release, Employee further agrees to waive any and all rights under the laws of any jurisdiction in the United States, or any other country, that limit a general release to those Claims that are known or suspected to exist in Employee’s favor as of the Termination. The provisions of this Section I(A)(1) are referred to collectively herein as the “</w:t>
      </w:r>
      <w:r>
        <w:rPr>
          <w:rFonts w:ascii="Times New Roman;Times;serif" w:hAnsi="Times New Roman;Times;serif"/>
          <w:b/>
          <w:i/>
          <w:sz w:val="20"/>
        </w:rPr>
        <w:t>Release</w:t>
      </w:r>
      <w:r>
        <w:rPr>
          <w:rFonts w:ascii="Times New Roman;Times;serif" w:hAnsi="Times New Roman;Times;serif"/>
          <w:sz w:val="20"/>
        </w:rPr>
        <w:t>”</w:t>
      </w:r>
      <w:r>
        <w:rPr>
          <w:rFonts w:ascii="Times New Roman;Times;serif" w:hAnsi="Times New Roman;Times;serif"/>
          <w:i/>
          <w:sz w:val="20"/>
        </w:rPr>
        <w:t>.</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Exclusions.</w:t>
      </w:r>
    </w:p>
    <w:p>
      <w:pPr>
        <w:pStyle w:val="TextBody"/>
        <w:bidi w:val="0"/>
        <w:spacing w:before="0" w:after="0"/>
        <w:ind w:left="720" w:right="0" w:hanging="0"/>
        <w:jc w:val="both"/>
        <w:rPr/>
      </w:pPr>
      <w:r>
        <w:rPr/>
        <w:t>​</w:t>
      </w:r>
    </w:p>
    <w:tbl>
      <w:tblPr>
        <w:tblW w:w="8328" w:type="dxa"/>
        <w:jc w:val="left"/>
        <w:tblInd w:w="0" w:type="dxa"/>
        <w:tblLayout w:type="fixed"/>
        <w:tblCellMar>
          <w:top w:w="0" w:type="dxa"/>
          <w:left w:w="0" w:type="dxa"/>
          <w:bottom w:w="0" w:type="dxa"/>
          <w:right w:w="0" w:type="dxa"/>
        </w:tblCellMar>
      </w:tblPr>
      <w:tblGrid>
        <w:gridCol w:w="23"/>
        <w:gridCol w:w="155"/>
        <w:gridCol w:w="815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Release and related consideration therefor set forth in Section 1(C) does not include or apply to:</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to and claims for indemnification, advancement or reimbursement arising under applicable law, the Employment Agreement among the Company and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Employee and the Company’s governing documents with respect to Employee’s role as an employee, director, officer, consultant and/or agent of the Company and its subsidiaries, or serving in any other capacity at the request or direction of the Company or any of its subsidiaries, prior to or following the Termination, and all such rights and claims are reserved;</w:t>
      </w:r>
    </w:p>
    <w:p>
      <w:pPr>
        <w:pStyle w:val="TextBody"/>
        <w:bidi w:val="0"/>
        <w:spacing w:before="0" w:after="0"/>
        <w:ind w:left="19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to restricted stock units and options (collectively, the “</w:t>
            </w:r>
            <w:r>
              <w:rPr>
                <w:rFonts w:ascii="Times New Roman;Times;serif" w:hAnsi="Times New Roman;Times;serif"/>
                <w:b/>
                <w:i/>
                <w:sz w:val="20"/>
              </w:rPr>
              <w:t>Vested Equity Awards</w:t>
            </w:r>
            <w:r>
              <w:rPr>
                <w:rFonts w:ascii="Times New Roman;Times;serif" w:hAnsi="Times New Roman;Times;serif"/>
                <w:sz w:val="20"/>
              </w:rPr>
              <w:t>”) held by the Employee immediately prior to the Termination and which have not been settled through the issuance of shares of the Company’s Class A common stock, and the Accelerated Equity Awards (defined below), which shall receive the treatment of common stock interests as set forth in the Plan, provided that the Employee agrees that the Company may, but is not required to, withhold or sell shares issued upon vesting and/or settlement of any such awards to satisfy state or federal income taxes;</w:t>
            </w:r>
          </w:p>
        </w:tc>
      </w:tr>
    </w:tbl>
    <w:p>
      <w:pPr>
        <w:pStyle w:val="TextBody"/>
        <w:bidi w:val="0"/>
        <w:spacing w:before="0" w:after="0"/>
        <w:ind w:left="19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under and claims with respect to all directors’ and officers’ and other insurance policies that provide a benefit to Employee (“</w:t>
            </w:r>
            <w:r>
              <w:rPr>
                <w:rFonts w:ascii="Times New Roman;Times;serif" w:hAnsi="Times New Roman;Times;serif"/>
                <w:b/>
                <w:i/>
                <w:sz w:val="20"/>
              </w:rPr>
              <w:t>D&amp;O Insurance</w:t>
            </w:r>
            <w:r>
              <w:rPr>
                <w:rFonts w:ascii="Times New Roman;Times;serif" w:hAnsi="Times New Roman;Times;serif"/>
                <w:sz w:val="20"/>
              </w:rPr>
              <w:t>”) held by the Company;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to the Severance Payment as described in Section I.C below, as well as the ability to enforce Employee’s rights under this Agreement.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is not intended to, and shall not, release or interfere with Employee’s ability to receive, file or otherwise institute a claim for outstanding health and welfare benefit obligations under plans maintained by the Company in which Employee participated prior to Termination, such as contributions to the Company’s 401K plan, as applicable.</w:t>
            </w:r>
          </w:p>
        </w:tc>
      </w:tr>
    </w:tbl>
    <w:p>
      <w:pPr>
        <w:pStyle w:val="TextBody"/>
        <w:bidi w:val="0"/>
        <w:spacing w:before="0" w:after="0"/>
        <w:ind w:left="180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is not intended to, and shall not, interfere with Employee’s ability to file or otherwise institute a charge with an administrative agency alleging discrimination under federal, state, or local civil rights, labor and/or employment discrimination laws (including, but not limited to, Title VII, the ADA, the NLRA, the ADEA, GINA, USERRA, or their state or local counterparts) or to provide truthful information or assistance in connection with such an administrative charge or administrative proceeding. However, Employee waives any right, and shall not be entitled, to any relief, recovery, monies or any other remedies in connection with any such charge brought against the Company, regardless of who filed or initiated any such complaint, charge, or proceeding.</w:t>
            </w:r>
          </w:p>
        </w:tc>
      </w:tr>
    </w:tbl>
    <w:p>
      <w:pPr>
        <w:pStyle w:val="TextBody"/>
        <w:pBdr/>
        <w:bidi w:val="0"/>
        <w:spacing w:before="0" w:after="0"/>
        <w:ind w:left="1170" w:right="0" w:hanging="720"/>
        <w:jc w:val="both"/>
        <w:rPr/>
      </w:pPr>
      <w:r>
        <w:rPr/>
        <w:t>​</w:t>
      </w:r>
    </w:p>
    <w:tbl>
      <w:tblPr>
        <w:tblW w:w="3453" w:type="dxa"/>
        <w:jc w:val="left"/>
        <w:tblInd w:w="0" w:type="dxa"/>
        <w:tblLayout w:type="fixed"/>
        <w:tblCellMar>
          <w:top w:w="0" w:type="dxa"/>
          <w:left w:w="0" w:type="dxa"/>
          <w:bottom w:w="0" w:type="dxa"/>
          <w:right w:w="0" w:type="dxa"/>
        </w:tblCellMar>
      </w:tblPr>
      <w:tblGrid>
        <w:gridCol w:w="23"/>
        <w:gridCol w:w="200"/>
        <w:gridCol w:w="32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w:t>
            </w:r>
          </w:p>
        </w:tc>
        <w:tc>
          <w:tcPr>
            <w:tcW w:w="3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Consideration and Terms of Payment.</w:t>
            </w:r>
          </w:p>
        </w:tc>
      </w:tr>
    </w:tbl>
    <w:p>
      <w:pPr>
        <w:pStyle w:val="TextBody"/>
        <w:pBdr/>
        <w:bidi w:val="0"/>
        <w:spacing w:before="0" w:after="0"/>
        <w:ind w:left="5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consideration for and subject to the Release and compliance in all material respects by Employee with the other terms of this Agreement, the Employee shall receive (a) an Allowed General Unsecured Claim under the Plan in the amount of $685,000 (the “</w:t>
            </w:r>
            <w:r>
              <w:rPr>
                <w:rFonts w:ascii="Times New Roman;Times;serif" w:hAnsi="Times New Roman;Times;serif"/>
                <w:b/>
                <w:i/>
                <w:sz w:val="20"/>
              </w:rPr>
              <w:t>Severance Payment</w:t>
            </w:r>
            <w:r>
              <w:rPr>
                <w:rFonts w:ascii="Times New Roman;Times;serif" w:hAnsi="Times New Roman;Times;serif"/>
                <w:sz w:val="20"/>
              </w:rPr>
              <w:t>”), which shall be paid pursuant to the terms of the Plan (including Post-Petition Interest, as applicable under the Plan) through Distributions by the Post-Effective Date Debtors or the Claims Ombudsman, as applicable, and (b) accelerated vesting in full at the time of Termination of all equity awards held by Employee under the Company’s 2020 Equity Incentive Plan, as amended (the “</w:t>
            </w:r>
            <w:r>
              <w:rPr>
                <w:rFonts w:ascii="Times New Roman;Times;serif" w:hAnsi="Times New Roman;Times;serif"/>
                <w:b/>
                <w:i/>
                <w:sz w:val="20"/>
              </w:rPr>
              <w:t>Equity Plan</w:t>
            </w:r>
            <w:r>
              <w:rPr>
                <w:rFonts w:ascii="Times New Roman;Times;serif" w:hAnsi="Times New Roman;Times;serif"/>
                <w:sz w:val="20"/>
              </w:rPr>
              <w:t>”), that are not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otherwise vested (the “</w:t>
      </w:r>
      <w:r>
        <w:rPr>
          <w:rFonts w:ascii="Times New Roman;Times;serif" w:hAnsi="Times New Roman;Times;serif"/>
          <w:b/>
          <w:i/>
          <w:sz w:val="20"/>
        </w:rPr>
        <w:t>Accelerated Equity Awards</w:t>
      </w:r>
      <w:r>
        <w:rPr>
          <w:rFonts w:ascii="Times New Roman;Times;serif" w:hAnsi="Times New Roman;Times;serif"/>
          <w:sz w:val="20"/>
        </w:rPr>
        <w:t>”). The timing and method of these payments are described below.</w:t>
      </w:r>
    </w:p>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 of 2/3 of the Severance Payment (the “</w:t>
            </w:r>
            <w:r>
              <w:rPr>
                <w:rFonts w:ascii="Times New Roman;Times;serif" w:hAnsi="Times New Roman;Times;serif"/>
                <w:b/>
                <w:i/>
                <w:sz w:val="20"/>
              </w:rPr>
              <w:t>Initial Payment</w:t>
            </w:r>
            <w:r>
              <w:rPr>
                <w:rFonts w:ascii="Times New Roman;Times;serif" w:hAnsi="Times New Roman;Times;serif"/>
                <w:sz w:val="20"/>
              </w:rPr>
              <w:t>”) will be made to Employee within 30 days of the Effective Date; provided that Employee shall not be entitled to a greater percentage recovery of the Initial Payment than other allowed General Unsecured Claims are entitled to in the Chapter 11 Cases. If such Initial Payment is reduced as a result of this provision, Employee shall be entitled to receive up to the unpaid portion of the Initial Payment in connection with and proportional to any subsequent “holdback” distributions made by the post-Effective Date Debtors/Claims Ombudsman.</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 of the remaining 1/3 of the Severance Payment (the “</w:t>
            </w:r>
            <w:r>
              <w:rPr>
                <w:rFonts w:ascii="Times New Roman;Times;serif" w:hAnsi="Times New Roman;Times;serif"/>
                <w:b/>
                <w:i/>
                <w:sz w:val="20"/>
              </w:rPr>
              <w:t>Second Payment</w:t>
            </w:r>
            <w:r>
              <w:rPr>
                <w:rFonts w:ascii="Times New Roman;Times;serif" w:hAnsi="Times New Roman;Times;serif"/>
                <w:sz w:val="20"/>
              </w:rPr>
              <w:t>”) will be made to Employee within 120 days after the Effective Date, provided that Employee shall not be entitled to a greater percentage recovery of the Second Payment than other allowed General Unsecured Claims are entitled to in the Chapter 11 Cases. If such Second Payment is reduced as a result of this provision, Employee shall be entitled to receive up to the unpaid portion of the Second Payment in connection with and proportional to any subsequent “holdback” distributions made by the post-Effective Date Debtors/Claims Ombudsman.</w:t>
            </w:r>
          </w:p>
        </w:tc>
      </w:tr>
    </w:tbl>
    <w:p>
      <w:pPr>
        <w:pStyle w:val="TextBody"/>
        <w:pBdr/>
        <w:bidi w:val="0"/>
        <w:spacing w:before="0" w:after="0"/>
        <w:ind w:left="117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Settlement of the Accelerated Equity Awards, as well as any Vested Equity Awards, that constitute restricted stock units or performance stock units held by Employee shall occur on or promptly following the Effective Date in accordance with the Plan, the Equity Plan and award agreements thereunder; provided that the Employee agrees that the Company may, but is not required to, withhold or sell shares issued upon vesting or settlement of any such awards to satisfy state or federal income taxes. Accelerated Equity Awards and Vested Equity Awards that constitute options shall remain outstanding and be exercisable in accordance with the Plan, the Equity Plan and award agreements thereunder.</w:t>
            </w:r>
          </w:p>
        </w:tc>
      </w:tr>
    </w:tbl>
    <w:p>
      <w:pPr>
        <w:pStyle w:val="TextBody"/>
        <w:bidi w:val="0"/>
        <w:spacing w:before="0" w:after="0"/>
        <w:ind w:left="0" w:right="0" w:hanging="0"/>
        <w:jc w:val="both"/>
        <w:rPr/>
      </w:pPr>
      <w:r>
        <w:rPr/>
        <w:t>​</w:t>
      </w:r>
    </w:p>
    <w:tbl>
      <w:tblPr>
        <w:tblW w:w="8778" w:type="dxa"/>
        <w:jc w:val="left"/>
        <w:tblInd w:w="0" w:type="dxa"/>
        <w:tblLayout w:type="fixed"/>
        <w:tblCellMar>
          <w:top w:w="0" w:type="dxa"/>
          <w:left w:w="0" w:type="dxa"/>
          <w:bottom w:w="0" w:type="dxa"/>
          <w:right w:w="0" w:type="dxa"/>
        </w:tblCellMar>
      </w:tblPr>
      <w:tblGrid>
        <w:gridCol w:w="23"/>
        <w:gridCol w:w="170"/>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85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Payments to Employee pursuant to this Agreement are made without regard to setoff or recoupment rights.</w:t>
            </w:r>
          </w:p>
        </w:tc>
      </w:tr>
    </w:tbl>
    <w:p>
      <w:pPr>
        <w:pStyle w:val="TextBody"/>
        <w:bidi w:val="0"/>
        <w:spacing w:before="0" w:after="0"/>
        <w:ind w:left="1800" w:right="0" w:hanging="0"/>
        <w:jc w:val="left"/>
        <w:rPr/>
      </w:pPr>
      <w:r>
        <w:rPr/>
        <w:t>​</w:t>
      </w:r>
    </w:p>
    <w:tbl>
      <w:tblPr>
        <w:tblW w:w="1750" w:type="dxa"/>
        <w:jc w:val="left"/>
        <w:tblInd w:w="0" w:type="dxa"/>
        <w:tblLayout w:type="fixed"/>
        <w:tblCellMar>
          <w:top w:w="0" w:type="dxa"/>
          <w:left w:w="0" w:type="dxa"/>
          <w:bottom w:w="0" w:type="dxa"/>
          <w:right w:w="0" w:type="dxa"/>
        </w:tblCellMar>
      </w:tblPr>
      <w:tblGrid>
        <w:gridCol w:w="215"/>
        <w:gridCol w:w="1535"/>
      </w:tblGrid>
      <w:tr>
        <w:trPr/>
        <w:tc>
          <w:tcPr>
            <w:tcW w:w="2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II.</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CONSULTANCY.</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Consulting Period. </w:t>
            </w:r>
            <w:r>
              <w:rPr>
                <w:rFonts w:ascii="Times New Roman;Times;serif" w:hAnsi="Times New Roman;Times;serif"/>
                <w:sz w:val="20"/>
              </w:rPr>
              <w:t>Beginning on the day following the Termination, Employee will serve as an advisory consultant to the Company for a period of up to six (6) months after the Effective Date (the “</w:t>
            </w:r>
            <w:r>
              <w:rPr>
                <w:rFonts w:ascii="Times New Roman;Times;serif" w:hAnsi="Times New Roman;Times;serif"/>
                <w:b/>
                <w:i/>
                <w:sz w:val="20"/>
              </w:rPr>
              <w:t>Consulting Period”</w:t>
            </w:r>
            <w:r>
              <w:rPr>
                <w:rFonts w:ascii="Times New Roman;Times;serif" w:hAnsi="Times New Roman;Times;serif"/>
                <w:sz w:val="20"/>
              </w:rPr>
              <w:t>) as follows:</w:t>
            </w:r>
          </w:p>
        </w:tc>
      </w:tr>
    </w:tbl>
    <w:p>
      <w:pPr>
        <w:pStyle w:val="TextBody"/>
        <w:pBdr/>
        <w:bidi w:val="0"/>
        <w:spacing w:before="0" w:after="0"/>
        <w:ind w:left="360" w:right="0" w:hanging="36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Employee agrees to serve as a consultant to the Company in an executive officer capacity with authority to execute and responsibility to prepare and file, and oversee the preparation and filing with the SEC, of the Company’s Quarterly Report on Form 10-Q for the fiscal quarter ending March 31, 2024 (the “</w:t>
      </w:r>
      <w:r>
        <w:rPr>
          <w:rFonts w:ascii="Times New Roman;Times;serif" w:hAnsi="Times New Roman;Times;serif"/>
          <w:b/>
          <w:i/>
          <w:sz w:val="20"/>
        </w:rPr>
        <w:t>Form 10-Q</w:t>
      </w:r>
      <w:r>
        <w:rPr>
          <w:rFonts w:ascii="Times New Roman;Times;serif" w:hAnsi="Times New Roman;Times;serif"/>
          <w:sz w:val="20"/>
        </w:rPr>
        <w:t>”), as well as consult on claims reconciliation, litigation, and other matters as requested and mutually agreed. Employee shall receive compensation for such consulting services at a rate of $450 per hour. Following the earlier of the filing of Form 10-Q and May 15, 2024, Employee will provide consulting services relating to claims reconciliation, litigation, and other matters 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requested and mutually agreed, not to exceed ten (10) hours in any given week, absent extraordinary circumstances. During the Consulting Period, Employee agrees to perform all duties in a professional manner and observe and obey all applicable laws, rules and regulations, provided that Employee’s obligation to provide such consulting services and execute the Form 10-Q shall be subject to: (1) the Company maintaining D&amp;O insurance, that covers Employee, that is reasonably satisfactory to Employee and a minimum cash position of 110% of the self-insured retention for the D&amp;O Insurance, and (2) Employee’s right to reasonably object (which shall include, without limitation, notice, discussion and reasonable efforts to resolve disagreements) to the application or interpretation of accounting principles for the financial information or to the other disclosure to be included in the Form 10-Q as proposed by the Company’s Board of Directors, other officers, employees, accountants, auditors or advisors if such accounting practices or disclosure would result, in Employee’s reasonable opinion, in the Form 10-Q including materially incorrect or misleading information or omitting material information. At all times during the Consulting Period, Employee shall be eligible for indemnification (including advancement of attorneys’ fees) and shall be covered by the Company’s directors’ and officers’ insurance policies. For the avoidance of doubt, if Employee refuses to sign the Form 10-Q as a result of the occurrence of the conditions set forth in (1) or (2), the Company shall not be entitled to withhold or recoup the Severance Payment or other compensation paid in connection with this Agreement.</w:t>
      </w:r>
    </w:p>
    <w:p>
      <w:pPr>
        <w:pStyle w:val="TextBody"/>
        <w:pBdr/>
        <w:bidi w:val="0"/>
        <w:spacing w:before="0" w:after="0"/>
        <w:ind w:left="720" w:right="0" w:hanging="72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Moreover, the Company hereby acknowledges that the Employee will be seeking full-time employment during the Consulting Period. Such new employment may result in consulting services being provided during the hours convenient to Employee, including outside regular business hours. Nothing contained in this Agreement shall interfere with or prevent the Employee from obtaining such new employment.</w:t>
      </w:r>
    </w:p>
    <w:p>
      <w:pPr>
        <w:pStyle w:val="TextBody"/>
        <w:pBdr/>
        <w:bidi w:val="0"/>
        <w:spacing w:before="0" w:after="0"/>
        <w:ind w:left="0" w:right="0" w:hanging="144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Company will reimburse Employee for reasonable out-of-pocket costs and expenses incurred in performing duties for the Company during the Consulting Period, including out-of-pocket travel, meals, and other similar type of costs and expenses, provided that Employee shall provide reasonable and appropriate documentation in such form as the Company may reasonably request. All reimbursements shall be made within thirty (30) days of submission of a reimbursement request. Any amounts outstanding after thirty (30) days shall bear interest at the rate of eighteen percent (18%) per annum.</w:t>
      </w:r>
    </w:p>
    <w:p>
      <w:pPr>
        <w:pStyle w:val="TextBody"/>
        <w:pBdr/>
        <w:bidi w:val="0"/>
        <w:spacing w:before="0" w:after="0"/>
        <w:ind w:left="0" w:right="0" w:hanging="72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Relationship of the Parties During the Consultancy</w:t>
      </w:r>
      <w:r>
        <w:rPr>
          <w:rFonts w:ascii="Times New Roman;Times;serif" w:hAnsi="Times New Roman;Times;serif"/>
          <w:sz w:val="20"/>
        </w:rPr>
        <w:t>. The Parties acknowledge and agree that Employee shall not be an employee of the Company during the Consulting Period and that the only relationship between the Parties during the Consulting Period is that of an independent contractor providing consulting services. Except as may be authorized by the Board of Directors of the Company, the Employee has no authority or right to create any obligation on behalf of the Company or to bind the Company in any respect whatsoever during the Consulting Period. Nothing contained in this Agreement shall be construed to constitute Employee as an employee of the Company during the Consulting Period. Employee neither expects nor desires that the Company should (a) withhold from any fees due and payable to Employee any taxes – state, federal, local, income, social security or otherwise, (b) pay with respect to Employee any fees or taxes for workers’ compensation or unemployment compensation, or (c) provide Employee with any other benefits customarily provided to employees. Since Employee shall not be an employee of the Company during the Consulting Period, Employee further agrees that, with respect to the Consulting Period and Employee’s provision of consulting services, he will not assert any claim against the Company for workers’ compensation, unemployment benefits, or other employee benefits of any kind. Nothing in this Agreement precludes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Employee from seeking unemployment benefits related to Employee’s employment with the Company that ended at the Termination. Employee and the Company further agree to use good faith to address and abide by any restrictions on the consulting services contemplated by Section II(A) necessary to enable Employee to obtain and/or maintain post-Termination employment by another entity.</w:t>
      </w:r>
    </w:p>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III.</w:t>
            </w:r>
          </w:p>
        </w:tc>
        <w:tc>
          <w:tcPr>
            <w:tcW w:w="9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CONFIDENTIAL INFORMATION. </w:t>
            </w:r>
            <w:r>
              <w:rPr>
                <w:rFonts w:ascii="Times New Roman;Times;serif" w:hAnsi="Times New Roman;Times;serif"/>
                <w:sz w:val="20"/>
              </w:rPr>
              <w:t>Employee recognizes and acknowledges that he remains bound by any and all restrictive covenants regarding confidential and proprietary information and trade secrets contained in Employee’s Employment Agreement, as well as any restrictive covenants contained in Employee’s Proprietary Information and Invention Agreement with the Company. These covenants continue to apply up through and including Employee’s termination date, and they will extend and apply throughout the duration of the Consulting Period described herein.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IV.</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RETURNING THE COMPANY’S DOCUMENTS AND TANGIBLE PROPERTY. </w:t>
            </w:r>
            <w:r>
              <w:rPr>
                <w:rFonts w:ascii="Times New Roman;Times;serif" w:hAnsi="Times New Roman;Times;serif"/>
                <w:sz w:val="20"/>
              </w:rPr>
              <w:t>Upon request of the Company, upon termination of the Consulting Period, Employee will promptly surrender and deliver to the Company, destroy or delete (and will not keep in its possession or deliver to anyone else) any tangible confidential information, records, data, notes, reports, proposals, lists, correspondence, computer codes, specifications, designs, materials, equipment, devices, or any other documents (including photocopies or other reproductions of any of the aforesaid items) of the Company or any Company Affiliate. In addition, Employee will remove from any and all computer systems under control of Employee, any third-party software applications provided by the Company to Employee for use in providing services under this Agreement. Notwithstanding the foregoing, Employee shall be entitled to preserve any documents, records or other materials that have or may be subject to discovery requests in pending or threatened litigation or other legal claims.</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w:t>
            </w:r>
          </w:p>
        </w:tc>
        <w:tc>
          <w:tcPr>
            <w:tcW w:w="10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SURVIVAL. </w:t>
            </w:r>
            <w:r>
              <w:rPr>
                <w:rFonts w:ascii="Times New Roman;Times;serif" w:hAnsi="Times New Roman;Times;serif"/>
                <w:sz w:val="20"/>
              </w:rPr>
              <w:t>The Parties expressly acknowledge and agree that the provisions of this Agreement that by their express terms extend beyond the termination of the Consulting Period or the termination of this Agreement shall continue in full force and effect notwithstanding termination of the Consulting Period or the termination of this Agreement.</w:t>
            </w:r>
          </w:p>
        </w:tc>
      </w:tr>
    </w:tbl>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VI.</w:t>
      </w:r>
      <w:r>
        <w:rPr>
          <w:rFonts w:ascii="Times New Roman;Times;serif" w:hAnsi="Times New Roman;Times;serif"/>
          <w:b/>
          <w:sz w:val="20"/>
        </w:rPr>
        <w:t>REMEDIES.</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 xml:space="preserve">Enforcement. </w:t>
      </w:r>
      <w:r>
        <w:rPr>
          <w:rFonts w:ascii="Times New Roman;Times;serif" w:hAnsi="Times New Roman;Times;serif"/>
          <w:sz w:val="20"/>
        </w:rPr>
        <w:t>Employee hereby specifically acknowledges and agrees that the provisions in Sections III and IV of this Agreement are reasonable and necessary to protect the legitimate interests of the Company (including without limitation its trade secrets and confidential information) and that such restrictions will not unreasonably restrict Employee or interfere with Employee’s ability to enter gainful business opportunities following the Consulting Period. Employee further agrees that the existence of any dispute respecting the interpretation of this Agreement or the alleged breach of this Agreement by the Company will not excuse performance or otherwise affect the validity or enforceability of Employee’s obligations under Sections III and IV, and Employee’s obligations under Sections III and IV shall continue in accordance with their terms without regard to any other dispute hereunder.</w:t>
      </w:r>
    </w:p>
    <w:p>
      <w:pPr>
        <w:pStyle w:val="TextBody"/>
        <w:bidi w:val="0"/>
        <w:spacing w:before="0" w:after="0"/>
        <w:ind w:left="0" w:right="0" w:firstLine="216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Remedies. </w:t>
      </w:r>
      <w:r>
        <w:rPr>
          <w:rFonts w:ascii="Times New Roman;Times;serif" w:hAnsi="Times New Roman;Times;serif"/>
          <w:sz w:val="20"/>
        </w:rPr>
        <w:t>Employee further acknowledges and agrees that violation of Sections III and IV of this Agreement would cause the Company irreparable harm for which monetary damages alone would not be an adequate remedy. Therefore, in the event of any violation by Employee, the Company (in addition to all other remedies the Company may have) shall be entitled to a temporary restraining order, injunction, and other equitable relief (without posting any bond or other security) restraining the violator from committing or continuing such violation. Any delay by the Company in asserting a right under this Agreement or any failure by the Company to assert a right under this Agreement will not constitute a waiver by the Company of any right hereunder, and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may subsequently assert any and all of its rights under this Agreement as if the delay or failure to assert rights had not occurred.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 xml:space="preserve">Enforcement Costs. </w:t>
      </w:r>
      <w:r>
        <w:rPr>
          <w:rFonts w:ascii="Times New Roman;Times;serif" w:hAnsi="Times New Roman;Times;serif"/>
          <w:sz w:val="20"/>
        </w:rPr>
        <w:t>In the event that the Company breaches any of its obligations pursuant to this Agreement, including, without limitation, by failing to pay any portion of the Severance Payment when due, Employee shall provide written notice to the Company of such alleged breaches. In the event such breaches are not cured within fifteen (15) days of such notice or such breaches are not curable, Employee’s cost of enforcement of this Agreement, including attorneys’ fees, will be borne by the Company; provided that it shall not be a default for the Company to pay Employee the same percentage recovery as other allowed General Unsecured Creditors under the Plan. In the event that Employee breaches any of his obligations under this Agreement, the Company shall provide written notice to Employee of such alleged breaches. In the event such breaches are not cured within fifteen (15) days of such notice or such breaches are not curable, the Company shall have the right to petition the Bankruptcy Court to fashion an equitable remedy including, but not limited to, disgorgement of all or a portion of the Severance Payment that was made with respect to this Agreement.</w:t>
      </w:r>
    </w:p>
    <w:p>
      <w:pPr>
        <w:pStyle w:val="TextBody"/>
        <w:bidi w:val="0"/>
        <w:spacing w:before="0" w:after="0"/>
        <w:ind w:left="0" w:right="0" w:hanging="0"/>
        <w:jc w:val="left"/>
        <w:rPr/>
      </w:pPr>
      <w:r>
        <w:rPr/>
        <w:t>​</w:t>
      </w:r>
    </w:p>
    <w:tbl>
      <w:tblPr>
        <w:tblW w:w="4300" w:type="dxa"/>
        <w:jc w:val="left"/>
        <w:tblInd w:w="0" w:type="dxa"/>
        <w:tblLayout w:type="fixed"/>
        <w:tblCellMar>
          <w:top w:w="0" w:type="dxa"/>
          <w:left w:w="0" w:type="dxa"/>
          <w:bottom w:w="0" w:type="dxa"/>
          <w:right w:w="0" w:type="dxa"/>
        </w:tblCellMar>
      </w:tblPr>
      <w:tblGrid>
        <w:gridCol w:w="350"/>
        <w:gridCol w:w="3950"/>
      </w:tblGrid>
      <w:tr>
        <w:trPr/>
        <w:tc>
          <w:tcPr>
            <w:tcW w:w="3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VII.</w:t>
            </w:r>
          </w:p>
        </w:tc>
        <w:tc>
          <w:tcPr>
            <w:tcW w:w="39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MISCELLANEOUS AND GENERAL TERMS.</w:t>
            </w:r>
          </w:p>
        </w:tc>
      </w:tr>
    </w:tbl>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Governing Law.</w:t>
      </w:r>
      <w:r>
        <w:rPr>
          <w:rFonts w:ascii="Times New Roman;Times;serif" w:hAnsi="Times New Roman;Times;serif"/>
          <w:sz w:val="20"/>
        </w:rPr>
        <w:t xml:space="preserve"> All matters relating to the interpretation, construction, application, validity and enforcement of this Agreement shall be governed by the laws of the State of Delaware without giving effect to any choice or conflict of law provision or rule, whether of the State of Delaware or any other jurisdiction, that would cause the application of laws of any jurisdiction other than the State of Delaware.</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Amendments.</w:t>
      </w:r>
      <w:r>
        <w:rPr>
          <w:rFonts w:ascii="Times New Roman;Times;serif" w:hAnsi="Times New Roman;Times;serif"/>
          <w:sz w:val="20"/>
        </w:rPr>
        <w:t xml:space="preserve"> No amendment or modification of this Agreement shall be deemed effective unless made in writing and signed by the Parties.</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No Waiver.</w:t>
      </w:r>
      <w:r>
        <w:rPr>
          <w:rFonts w:ascii="Times New Roman;Times;serif" w:hAnsi="Times New Roman;Times;serif"/>
          <w:sz w:val="20"/>
        </w:rPr>
        <w:t xml:space="preserve"> No term or condition of this Agreement shall be deemed to have been waived, except by a statement in writing signed by the Party against whom enforcement of the waiver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 xml:space="preserve">Assignment. </w:t>
      </w:r>
      <w:r>
        <w:rPr>
          <w:rFonts w:ascii="Times New Roman;Times;serif" w:hAnsi="Times New Roman;Times;serif"/>
          <w:sz w:val="20"/>
        </w:rPr>
        <w:t>This Agreement shall not be assignable, in whole or in part, by Employee without the prior written consent of the Company. The Company may assign its rights and obligations under this Agreement, except for Section II (Consultancy), without the consent of Employee, including without limitation to any corporation or other person or business entity with which the Company may merge or consolidate or to which the Company may sell or transfer all or a portion of its assets. After any such assignment by the Company, the Company shall be discharged from all further liability hereunder and such assignee shall thereafter be deemed to be the “Company” for purposes of all terms and conditions of this Agreement, including this Section VIID.</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Counterparts.</w:t>
      </w:r>
      <w:r>
        <w:rPr>
          <w:rFonts w:ascii="Times New Roman;Times;serif" w:hAnsi="Times New Roman;Times;serif"/>
          <w:sz w:val="20"/>
        </w:rPr>
        <w:t xml:space="preserve"> This Agreement may be executed in any number of counterparts and delivered by facsimile or other means of electronic communication, and such counterparts executed and delivered, shall constitute but one and the same instrument.</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 xml:space="preserve">Severability. </w:t>
      </w:r>
      <w:r>
        <w:rPr>
          <w:rFonts w:ascii="Times New Roman;Times;serif" w:hAnsi="Times New Roman;Times;serif"/>
          <w:color w:val="3D3D3D"/>
          <w:sz w:val="20"/>
        </w:rPr>
        <w:t>If any term or provision of this Agreement is invalid, illegal, or unenforceable in any jurisdiction, such invalidity, illegality, or unenforceability shall not affect any other term or provision of this Agreement or invalidate or render unenforceable such term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color w:val="3D3D3D"/>
          <w:sz w:val="20"/>
        </w:rPr>
      </w:pPr>
      <w:r>
        <w:rPr>
          <w:rFonts w:ascii="Times New Roman;Times;serif" w:hAnsi="Times New Roman;Times;serif"/>
          <w:color w:val="3D3D3D"/>
          <w:sz w:val="20"/>
        </w:rPr>
        <w:t>or provision in any other jurisdiction provided, however, that if any fundamental term or provision of this Agreement (including without limitation the Severance Payment and Release), is invalid, illegal, or unenforceable, the remainder of this Agreement shall be unenforceable. Upon a determination that any term or provision is invalid, illegal, or unenforceable, the parties hereto shall negotiate in good faith to/the court may modify this Agreement to give effect to the original intent of the parties as closely as possible in order that the transactions contemplated hereby be consummated as originally contemplated to the greatest extent possible.</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 xml:space="preserve">Captions and Headings. </w:t>
      </w:r>
      <w:r>
        <w:rPr>
          <w:rFonts w:ascii="Times New Roman;Times;serif" w:hAnsi="Times New Roman;Times;serif"/>
          <w:sz w:val="20"/>
        </w:rPr>
        <w:t>The captions and paragraph headings used in this Agreement are for convenience of reference only and shall not affect the construction or interpretation of this Agreement or any of the provisions hereof.</w:t>
      </w:r>
    </w:p>
    <w:p>
      <w:pPr>
        <w:pStyle w:val="TextBody"/>
        <w:pBdr/>
        <w:bidi w:val="0"/>
        <w:spacing w:before="0" w:after="0"/>
        <w:ind w:left="0" w:right="0" w:hanging="72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Notices.</w:t>
      </w:r>
      <w:r>
        <w:rPr>
          <w:rFonts w:ascii="Times New Roman;Times;serif" w:hAnsi="Times New Roman;Times;serif"/>
          <w:sz w:val="20"/>
        </w:rPr>
        <w:t xml:space="preserve"> Notices and all other communications under this Agreement shall be in writing and shall be deemed given if (i) delivered personally, (ii) delivered by a recognized overnight courier service, or (iii) mailed by United States registered or certified mail, return receipt requested, postage prepaid, addressed as follows:</w:t>
      </w:r>
    </w:p>
    <w:p>
      <w:pPr>
        <w:pStyle w:val="TextBody"/>
        <w:bidi w:val="0"/>
        <w:spacing w:before="0" w:after="0"/>
        <w:ind w:left="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If to Company to:</w:t>
      </w:r>
    </w:p>
    <w:p>
      <w:pPr>
        <w:pStyle w:val="TextBody"/>
        <w:bidi w:val="0"/>
        <w:spacing w:before="0" w:after="0"/>
        <w:ind w:left="144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Lordstown Motors</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c/o M3 Partners</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1700 Broadway, 19th Floor</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New York, NY 10019</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Attention: William Gallagher</w:t>
      </w:r>
    </w:p>
    <w:p>
      <w:pPr>
        <w:pStyle w:val="TextBody"/>
        <w:bidi w:val="0"/>
        <w:spacing w:before="0" w:after="0"/>
        <w:ind w:left="144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If to Employee, to:</w:t>
      </w:r>
    </w:p>
    <w:p>
      <w:pPr>
        <w:pStyle w:val="TextBody"/>
        <w:bidi w:val="0"/>
        <w:spacing w:before="0" w:after="0"/>
        <w:ind w:left="144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Adam Kroll</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1223 Fairfield Rd</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Glencoe, IL 60022</w:t>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As such addresses may be changed from time to time by a party providing written notice to the other party.</w:t>
      </w:r>
    </w:p>
    <w:p>
      <w:pPr>
        <w:pStyle w:val="TextBody"/>
        <w:bidi w:val="0"/>
        <w:spacing w:before="0" w:after="0"/>
        <w:ind w:left="72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 * *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Follow]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IN WITNESS WHEREOF, Employee and the Company have executed this Agreement as of the Agreement Date.</w:t>
      </w:r>
    </w:p>
    <w:p>
      <w:pPr>
        <w:pStyle w:val="TextBody"/>
        <w:bidi w:val="0"/>
        <w:spacing w:before="0" w:after="0"/>
        <w:ind w:left="0" w:right="0" w:hanging="0"/>
        <w:jc w:val="left"/>
        <w:rPr/>
      </w:pPr>
      <w:r>
        <w:rPr/>
        <w:t>​</w:t>
      </w:r>
    </w:p>
    <w:tbl>
      <w:tblPr>
        <w:tblW w:w="3364" w:type="dxa"/>
        <w:jc w:val="center"/>
        <w:tblInd w:w="0" w:type="dxa"/>
        <w:tblLayout w:type="fixed"/>
        <w:tblCellMar>
          <w:top w:w="0" w:type="dxa"/>
          <w:left w:w="0" w:type="dxa"/>
          <w:bottom w:w="0" w:type="dxa"/>
          <w:right w:w="0" w:type="dxa"/>
        </w:tblCellMar>
      </w:tblPr>
      <w:tblGrid>
        <w:gridCol w:w="858"/>
        <w:gridCol w:w="2352"/>
        <w:gridCol w:w="154"/>
      </w:tblGrid>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LORDSTOWN MOTORS CORP.</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LORDSTOWN EV CORPORATION</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LORDSTOWN EV SALES LLC</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Adam Kroll</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Adam Kroll</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616" w:name="tmb-20240331xex10d3.htm"/>
      <w:bookmarkStart w:id="617" w:name="kstmb20240331xex10d3"/>
      <w:bookmarkEnd w:id="616"/>
      <w:bookmarkEnd w:id="617"/>
      <w:r>
        <w:rPr>
          <w:rFonts w:ascii="Times New Roman;Times;serif" w:hAnsi="Times New Roman;Times;serif"/>
          <w:b/>
          <w:sz w:val="20"/>
        </w:rPr>
        <w:t>Exhibit 10.3</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SEVERANCE SETTLEMENT 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Severance Settlement Agreement (the “</w:t>
      </w:r>
      <w:r>
        <w:rPr>
          <w:rFonts w:ascii="Times New Roman;Times;serif" w:hAnsi="Times New Roman;Times;serif"/>
          <w:b/>
          <w:i/>
          <w:sz w:val="20"/>
        </w:rPr>
        <w:t>Agreement</w:t>
      </w:r>
      <w:r>
        <w:rPr>
          <w:rFonts w:ascii="Times New Roman;Times;serif" w:hAnsi="Times New Roman;Times;serif"/>
          <w:sz w:val="20"/>
        </w:rPr>
        <w:t>”) is entered into between Lordstown Motors Corp., a Delaware corporation (“</w:t>
      </w:r>
      <w:r>
        <w:rPr>
          <w:rFonts w:ascii="Times New Roman;Times;serif" w:hAnsi="Times New Roman;Times;serif"/>
          <w:b/>
          <w:sz w:val="20"/>
        </w:rPr>
        <w:t>LMC</w:t>
      </w:r>
      <w:r>
        <w:rPr>
          <w:rFonts w:ascii="Times New Roman;Times;serif" w:hAnsi="Times New Roman;Times;serif"/>
          <w:sz w:val="20"/>
        </w:rPr>
        <w:t>” and together with Lordstown EV Corporation and Lordstown EV Sales LLC, the “</w:t>
      </w:r>
      <w:r>
        <w:rPr>
          <w:rFonts w:ascii="Times New Roman;Times;serif" w:hAnsi="Times New Roman;Times;serif"/>
          <w:b/>
          <w:i/>
          <w:sz w:val="20"/>
        </w:rPr>
        <w:t>Company</w:t>
      </w:r>
      <w:r>
        <w:rPr>
          <w:rFonts w:ascii="Times New Roman;Times;serif" w:hAnsi="Times New Roman;Times;serif"/>
          <w:sz w:val="20"/>
        </w:rPr>
        <w:t>”), and Edward T. Hightower (“</w:t>
      </w:r>
      <w:r>
        <w:rPr>
          <w:rFonts w:ascii="Times New Roman;Times;serif" w:hAnsi="Times New Roman;Times;serif"/>
          <w:b/>
          <w:i/>
          <w:sz w:val="20"/>
        </w:rPr>
        <w:t>Employee</w:t>
      </w:r>
      <w:r>
        <w:rPr>
          <w:rFonts w:ascii="Times New Roman;Times;serif" w:hAnsi="Times New Roman;Times;serif"/>
          <w:sz w:val="20"/>
        </w:rPr>
        <w:t>”), as of the 13</w:t>
      </w:r>
      <w:r>
        <w:rPr>
          <w:rFonts w:ascii="Times New Roman;Times;serif" w:hAnsi="Times New Roman;Times;serif"/>
          <w:sz w:val="15"/>
        </w:rPr>
        <w:t xml:space="preserve">th </w:t>
      </w:r>
      <w:r>
        <w:rPr>
          <w:rFonts w:ascii="Times New Roman;Times;serif" w:hAnsi="Times New Roman;Times;serif"/>
          <w:sz w:val="20"/>
        </w:rPr>
        <w:t>day of March, 2024 (the “</w:t>
      </w:r>
      <w:r>
        <w:rPr>
          <w:rFonts w:ascii="Times New Roman;Times;serif" w:hAnsi="Times New Roman;Times;serif"/>
          <w:b/>
          <w:i/>
          <w:sz w:val="20"/>
        </w:rPr>
        <w:t>Agreement Date</w:t>
      </w:r>
      <w:r>
        <w:rPr>
          <w:rFonts w:ascii="Times New Roman;Times;serif" w:hAnsi="Times New Roman;Times;serif"/>
          <w:sz w:val="20"/>
        </w:rPr>
        <w:t>”). Each of Company and Employee is a “</w:t>
      </w:r>
      <w:r>
        <w:rPr>
          <w:rFonts w:ascii="Times New Roman;Times;serif" w:hAnsi="Times New Roman;Times;serif"/>
          <w:b/>
          <w:i/>
          <w:sz w:val="20"/>
        </w:rPr>
        <w:t>Party</w:t>
      </w:r>
      <w:r>
        <w:rPr>
          <w:rFonts w:ascii="Times New Roman;Times;serif" w:hAnsi="Times New Roman;Times;serif"/>
          <w:sz w:val="20"/>
        </w:rPr>
        <w:t xml:space="preserve">” and, collectively, constitute the </w:t>
      </w:r>
      <w:r>
        <w:rPr>
          <w:rFonts w:ascii="Times New Roman;Times;serif" w:hAnsi="Times New Roman;Times;serif"/>
          <w:b/>
          <w:i/>
          <w:sz w:val="20"/>
        </w:rPr>
        <w:t>Parties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0"/>
        <w:ind w:left="0" w:right="0" w:hanging="0"/>
        <w:jc w:val="left"/>
        <w:rPr/>
      </w:pPr>
      <w:r>
        <w:rPr/>
        <w:t>​</w:t>
      </w:r>
    </w:p>
    <w:tbl>
      <w:tblPr>
        <w:tblW w:w="4113" w:type="dxa"/>
        <w:jc w:val="left"/>
        <w:tblInd w:w="0" w:type="dxa"/>
        <w:tblLayout w:type="fixed"/>
        <w:tblCellMar>
          <w:top w:w="0" w:type="dxa"/>
          <w:left w:w="0" w:type="dxa"/>
          <w:bottom w:w="0" w:type="dxa"/>
          <w:right w:w="0" w:type="dxa"/>
        </w:tblCellMar>
      </w:tblPr>
      <w:tblGrid>
        <w:gridCol w:w="23"/>
        <w:gridCol w:w="200"/>
        <w:gridCol w:w="389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38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has been employed by the Company.</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Capitalized terms used but not otherwise defined herein have the meanings set forth in the Company’s plan of reorganization (as it may amended, the “</w:t>
            </w:r>
            <w:r>
              <w:rPr>
                <w:rFonts w:ascii="Times New Roman;Times;serif" w:hAnsi="Times New Roman;Times;serif"/>
                <w:b/>
                <w:i/>
                <w:sz w:val="20"/>
              </w:rPr>
              <w:t>Plan</w:t>
            </w:r>
            <w:r>
              <w:rPr>
                <w:rFonts w:ascii="Times New Roman;Times;serif" w:hAnsi="Times New Roman;Times;serif"/>
                <w:sz w:val="20"/>
              </w:rPr>
              <w:t>”) filed as of the date hereof and confirmed by the U.S. Bankruptcy Court for the District of Delaware (the “</w:t>
            </w:r>
            <w:r>
              <w:rPr>
                <w:rFonts w:ascii="Times New Roman;Times;serif" w:hAnsi="Times New Roman;Times;serif"/>
                <w:b/>
                <w:i/>
                <w:sz w:val="20"/>
              </w:rPr>
              <w:t>Court</w:t>
            </w:r>
            <w:r>
              <w:rPr>
                <w:rFonts w:ascii="Times New Roman;Times;serif" w:hAnsi="Times New Roman;Times;serif"/>
                <w:sz w:val="20"/>
              </w:rPr>
              <w:t>”) under Chapter 11 of the Bankruptcy Code.</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will terminate Employee’s employment with the Company effective as of the Effective Date (the “</w:t>
            </w:r>
            <w:r>
              <w:rPr>
                <w:rFonts w:ascii="Times New Roman;Times;serif" w:hAnsi="Times New Roman;Times;serif"/>
                <w:b/>
                <w:i/>
                <w:sz w:val="20"/>
              </w:rPr>
              <w:t>Termination</w:t>
            </w:r>
            <w:r>
              <w:rPr>
                <w:rFonts w:ascii="Times New Roman;Times;serif" w:hAnsi="Times New Roman;Times;serif"/>
                <w:sz w:val="20"/>
              </w:rPr>
              <w:t>”).</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and LMC are party to an Amended and Restated Employment Agreement dated as of July 12, 2022 (the “</w:t>
            </w:r>
            <w:r>
              <w:rPr>
                <w:rFonts w:ascii="Times New Roman;Times;serif" w:hAnsi="Times New Roman;Times;serif"/>
                <w:b/>
                <w:i/>
                <w:sz w:val="20"/>
              </w:rPr>
              <w:t>Employment Agreement</w:t>
            </w:r>
            <w:r>
              <w:rPr>
                <w:rFonts w:ascii="Times New Roman;Times;serif" w:hAnsi="Times New Roman;Times;serif"/>
                <w:sz w:val="20"/>
              </w:rPr>
              <w:t>”</w:t>
            </w:r>
            <w:r>
              <w:rPr>
                <w:rFonts w:ascii="Times New Roman;Times;serif" w:hAnsi="Times New Roman;Times;serif"/>
                <w:i/>
                <w:sz w:val="20"/>
              </w:rPr>
              <w:t>)</w:t>
            </w:r>
            <w:r>
              <w:rPr>
                <w:rFonts w:ascii="Times New Roman;Times;serif" w:hAnsi="Times New Roman;Times;serif"/>
                <w:sz w:val="20"/>
              </w:rPr>
              <w:t xml:space="preserve"> and, in light of the rejection of the Employment Agreement as part of the Plan, the Court has approved an order allowing the Company to enter into this Agreement to provide for the terms hereof with respect to Employee’s termination of employment, which are conditioned on the effectiveness of the Release (as defined below).</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desires to retain Employee as a consultant to provide advice and consulting services to the Company from the Termination in accordance with the terms and conditions of this Agreement.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desires to provide advice and consulting services to the Company from and after the Termination in accordance with the terms and conditions of this Agreement.</w:t>
            </w:r>
          </w:p>
        </w:tc>
      </w:tr>
    </w:tbl>
    <w:p>
      <w:pPr>
        <w:pStyle w:val="TextBody"/>
        <w:pBdr/>
        <w:bidi w:val="0"/>
        <w:spacing w:before="0" w:after="0"/>
        <w:ind w:left="0" w:right="0" w:hanging="144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During the Consulting Period (as defined below) Employee will have access to trade secrets and other confidential and proprietary information regarding the business of the Company and Company Affiliates (as defined below).</w:t>
            </w:r>
          </w:p>
        </w:tc>
      </w:tr>
    </w:tbl>
    <w:p>
      <w:pPr>
        <w:pStyle w:val="TextBody"/>
        <w:pBdr/>
        <w:bidi w:val="0"/>
        <w:spacing w:before="0" w:after="0"/>
        <w:ind w:left="0" w:right="0" w:hanging="144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NOW, THEREFORE, </w:t>
      </w:r>
      <w:r>
        <w:rPr>
          <w:rFonts w:ascii="Times New Roman;Times;serif" w:hAnsi="Times New Roman;Times;serif"/>
          <w:sz w:val="20"/>
        </w:rPr>
        <w:t>in full consideration for the signing of this Agreement and Employee’s representations, warranties, covenants, Release and agreements set forth below, the Parties agree as follows: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AGREEMENT</w:t>
      </w:r>
    </w:p>
    <w:p>
      <w:pPr>
        <w:pStyle w:val="TextBody"/>
        <w:bidi w:val="0"/>
        <w:spacing w:before="0" w:after="0"/>
        <w:ind w:left="0" w:right="0" w:hanging="0"/>
        <w:jc w:val="both"/>
        <w:rPr/>
      </w:pPr>
      <w:r>
        <w:rPr/>
        <w:t>​</w:t>
      </w:r>
    </w:p>
    <w:tbl>
      <w:tblPr>
        <w:tblW w:w="3865" w:type="dxa"/>
        <w:jc w:val="left"/>
        <w:tblInd w:w="0" w:type="dxa"/>
        <w:tblLayout w:type="fixed"/>
        <w:tblCellMar>
          <w:top w:w="0" w:type="dxa"/>
          <w:left w:w="0" w:type="dxa"/>
          <w:bottom w:w="0" w:type="dxa"/>
          <w:right w:w="0" w:type="dxa"/>
        </w:tblCellMar>
      </w:tblPr>
      <w:tblGrid>
        <w:gridCol w:w="185"/>
        <w:gridCol w:w="3680"/>
      </w:tblGrid>
      <w:tr>
        <w:trPr/>
        <w:tc>
          <w:tcPr>
            <w:tcW w:w="18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 xml:space="preserve">I. </w:t>
            </w:r>
          </w:p>
        </w:tc>
        <w:tc>
          <w:tcPr>
            <w:tcW w:w="368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SEVERANCE BENEFITS AND RELEASE.</w:t>
            </w:r>
          </w:p>
        </w:tc>
      </w:tr>
    </w:tbl>
    <w:p>
      <w:pPr>
        <w:pStyle w:val="TextBody"/>
        <w:bidi w:val="0"/>
        <w:spacing w:before="0" w:after="0"/>
        <w:ind w:left="0" w:right="0" w:hanging="0"/>
        <w:jc w:val="both"/>
        <w:rPr/>
      </w:pPr>
      <w:r>
        <w:rPr/>
        <w:t>​</w:t>
      </w:r>
    </w:p>
    <w:tbl>
      <w:tblPr>
        <w:tblW w:w="1668" w:type="dxa"/>
        <w:jc w:val="left"/>
        <w:tblInd w:w="0" w:type="dxa"/>
        <w:tblLayout w:type="fixed"/>
        <w:tblCellMar>
          <w:top w:w="0" w:type="dxa"/>
          <w:left w:w="0" w:type="dxa"/>
          <w:bottom w:w="0" w:type="dxa"/>
          <w:right w:w="0" w:type="dxa"/>
        </w:tblCellMar>
      </w:tblPr>
      <w:tblGrid>
        <w:gridCol w:w="23"/>
        <w:gridCol w:w="200"/>
        <w:gridCol w:w="14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w:t>
            </w:r>
          </w:p>
        </w:tc>
        <w:tc>
          <w:tcPr>
            <w:tcW w:w="14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General Release</w:t>
            </w:r>
            <w:r>
              <w:rPr>
                <w:rFonts w:ascii="Times New Roman;Times;serif" w:hAnsi="Times New Roman;Times;serif"/>
                <w:sz w:val="20"/>
              </w:rPr>
              <w:t>.</w:t>
            </w:r>
          </w:p>
        </w:tc>
      </w:tr>
    </w:tbl>
    <w:p>
      <w:pPr>
        <w:pStyle w:val="TextBody"/>
        <w:pBdr/>
        <w:bidi w:val="0"/>
        <w:spacing w:before="0" w:after="0"/>
        <w:ind w:left="72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8"/>
        <w:gridCol w:w="10044"/>
      </w:tblGrid>
      <w:tr>
        <w:trPr/>
        <w:tc>
          <w:tcPr>
            <w:tcW w:w="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Except as specified in Section I(A)(2), Employee knowingly and voluntarily waives, terminates, cancels, releases and discharges forever the Company, its affiliates, stockholders, beneficial owners of its stock, its current or former officers, directors, employees, members, attorneys and agents, and their predecessors, successors and assigns, in their official capacities as such (together,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the “</w:t>
      </w:r>
      <w:r>
        <w:rPr>
          <w:rFonts w:ascii="Times New Roman;Times;serif" w:hAnsi="Times New Roman;Times;serif"/>
          <w:b/>
          <w:i/>
          <w:sz w:val="20"/>
        </w:rPr>
        <w:t>Released Parties</w:t>
      </w:r>
      <w:r>
        <w:rPr>
          <w:rFonts w:ascii="Times New Roman;Times;serif" w:hAnsi="Times New Roman;Times;serif"/>
          <w:sz w:val="20"/>
        </w:rPr>
        <w:t>”), from any and all suits, actions, causes of action, claims, allegations, rights, obligations, liabilities, demands, entitlements or charges that Employee (or Employee’s heirs, executors, administrators, successors and assigns) has or may have, whether known, unknown or unforeseen, vested or contingent, by reason of any matter, cause or thing occurring at any time before and including the date of this Release (collectively, “</w:t>
      </w:r>
      <w:r>
        <w:rPr>
          <w:rFonts w:ascii="Times New Roman;Times;serif" w:hAnsi="Times New Roman;Times;serif"/>
          <w:b/>
          <w:i/>
          <w:sz w:val="20"/>
        </w:rPr>
        <w:t>Claims</w:t>
      </w:r>
      <w:r>
        <w:rPr>
          <w:rFonts w:ascii="Times New Roman;Times;serif" w:hAnsi="Times New Roman;Times;serif"/>
          <w:sz w:val="20"/>
        </w:rPr>
        <w:t>”), including all claims arising under or in connection with Employee’s employment, termination of employment or Employment Agreement with the Company, including, without limitation:</w:t>
      </w:r>
    </w:p>
    <w:p>
      <w:pPr>
        <w:pStyle w:val="TextBody"/>
        <w:bidi w:val="0"/>
        <w:spacing w:before="0" w:after="0"/>
        <w:ind w:left="720" w:right="0" w:hanging="0"/>
        <w:jc w:val="both"/>
        <w:rPr/>
      </w:pPr>
      <w:r>
        <w:rPr/>
        <w:t>​</w:t>
      </w:r>
    </w:p>
    <w:tbl>
      <w:tblPr>
        <w:tblW w:w="8043" w:type="dxa"/>
        <w:jc w:val="left"/>
        <w:tblInd w:w="0" w:type="dxa"/>
        <w:tblLayout w:type="fixed"/>
        <w:tblCellMar>
          <w:top w:w="0" w:type="dxa"/>
          <w:left w:w="0" w:type="dxa"/>
          <w:bottom w:w="0" w:type="dxa"/>
          <w:right w:w="0" w:type="dxa"/>
        </w:tblCellMar>
      </w:tblPr>
      <w:tblGrid>
        <w:gridCol w:w="23"/>
        <w:gridCol w:w="155"/>
        <w:gridCol w:w="786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78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and all claims for severance payments, except for the Severance Payment (as defined below).</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and all claims under United States federal, state or local law and the national or local law of any foreign country (statutory or decisional), for wrongful, abusive, constructive or unlawful discharge or dismissal, for breach of any contract, or for discrimination based upon race, color, ethnicity, sex, national origin, religion, disability, sexual orientation, or any other unlawful criterion or circumstance, including violations of the Equal Pay Act, Title VII of the Civil Rights Act of 1964, the Civil Rights Act of 1991, the Americans with Disabilities Act of 1991, the Employee Retirement Income Security Act of 1974 (“</w:t>
            </w:r>
            <w:r>
              <w:rPr>
                <w:rFonts w:ascii="Times New Roman;Times;serif" w:hAnsi="Times New Roman;Times;serif"/>
                <w:b/>
                <w:i/>
                <w:sz w:val="20"/>
              </w:rPr>
              <w:t>ERISA</w:t>
            </w:r>
            <w:r>
              <w:rPr>
                <w:rFonts w:ascii="Times New Roman;Times;serif" w:hAnsi="Times New Roman;Times;serif"/>
                <w:sz w:val="20"/>
              </w:rPr>
              <w:t>”), the Fair Labor Standards Act, the Worker Adjustment Retraining and Notification Act, the Family Medical Leave Act, including all amendments to any of the aforementioned acts; and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and all claims for alleged violations of any other federal, state, or municipal fair employment statutes or laws, including, without limitation, violations of any other law, rule, regulation, or ordinance pertaining to employment, wages, compensation, hours worked, or any other Claims for compensation or bonuses, whether or not paid under any compensation plan or arrangement; breach of contract; tort and other common law Claims; defamation; libel; slander; impairment of economic opportunity defamation; sexual harassment; retaliation; attorneys’ fees; emotional distress; intentional infliction of emotional distress; assault; battery, pain and suffering; and punitive or exemplary damages.</w:t>
            </w:r>
          </w:p>
        </w:tc>
      </w:tr>
    </w:tbl>
    <w:p>
      <w:pPr>
        <w:pStyle w:val="TextBody"/>
        <w:bidi w:val="0"/>
        <w:spacing w:before="0" w:after="0"/>
        <w:ind w:left="72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above matters are referred to collectively herein as the “</w:t>
      </w:r>
      <w:r>
        <w:rPr>
          <w:rFonts w:ascii="Times New Roman;Times;serif" w:hAnsi="Times New Roman;Times;serif"/>
          <w:b/>
          <w:i/>
          <w:sz w:val="20"/>
        </w:rPr>
        <w:t>Released Matters</w:t>
      </w:r>
      <w:r>
        <w:rPr>
          <w:rFonts w:ascii="Times New Roman;Times;serif" w:hAnsi="Times New Roman;Times;serif"/>
          <w:sz w:val="20"/>
        </w:rPr>
        <w:t>”. In addition, in consideration of the provisions of this Release, Employee further agrees to waive any and all rights under the laws of any jurisdiction in the United States, or any other country, that limit a general release to those Claims that are known or suspected to exist in Employee’s favor as of the Termination. The provisions of this Section I(A)(1) are referred to collectively herein as the “</w:t>
      </w:r>
      <w:r>
        <w:rPr>
          <w:rFonts w:ascii="Times New Roman;Times;serif" w:hAnsi="Times New Roman;Times;serif"/>
          <w:b/>
          <w:i/>
          <w:sz w:val="20"/>
        </w:rPr>
        <w:t>Release</w:t>
      </w:r>
      <w:r>
        <w:rPr>
          <w:rFonts w:ascii="Times New Roman;Times;serif" w:hAnsi="Times New Roman;Times;serif"/>
          <w:sz w:val="20"/>
        </w:rPr>
        <w:t>”</w:t>
      </w:r>
      <w:r>
        <w:rPr>
          <w:rFonts w:ascii="Times New Roman;Times;serif" w:hAnsi="Times New Roman;Times;serif"/>
          <w:i/>
          <w:sz w:val="20"/>
        </w:rPr>
        <w:t>.</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Exclusions.</w:t>
      </w:r>
    </w:p>
    <w:p>
      <w:pPr>
        <w:pStyle w:val="TextBody"/>
        <w:bidi w:val="0"/>
        <w:spacing w:before="0" w:after="0"/>
        <w:ind w:left="720" w:right="0" w:hanging="0"/>
        <w:jc w:val="both"/>
        <w:rPr/>
      </w:pPr>
      <w:r>
        <w:rPr/>
        <w:t>​</w:t>
      </w:r>
    </w:p>
    <w:tbl>
      <w:tblPr>
        <w:tblW w:w="8328" w:type="dxa"/>
        <w:jc w:val="left"/>
        <w:tblInd w:w="0" w:type="dxa"/>
        <w:tblLayout w:type="fixed"/>
        <w:tblCellMar>
          <w:top w:w="0" w:type="dxa"/>
          <w:left w:w="0" w:type="dxa"/>
          <w:bottom w:w="0" w:type="dxa"/>
          <w:right w:w="0" w:type="dxa"/>
        </w:tblCellMar>
      </w:tblPr>
      <w:tblGrid>
        <w:gridCol w:w="23"/>
        <w:gridCol w:w="155"/>
        <w:gridCol w:w="815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81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Release and related consideration therefor set forth in Section 1(C) does not include or apply to:</w:t>
            </w:r>
          </w:p>
        </w:tc>
      </w:tr>
    </w:tbl>
    <w:p>
      <w:pPr>
        <w:pStyle w:val="TextBody"/>
        <w:bidi w:val="0"/>
        <w:spacing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to and claims for indemnification, advancement or reimbursement arising under applicable law, the Employment Agreement, and the Company’s governing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both"/>
        <w:rPr>
          <w:rFonts w:ascii="Times New Roman;Times;serif" w:hAnsi="Times New Roman;Times;serif"/>
          <w:sz w:val="20"/>
        </w:rPr>
      </w:pPr>
      <w:r>
        <w:rPr>
          <w:rFonts w:ascii="Times New Roman;Times;serif" w:hAnsi="Times New Roman;Times;serif"/>
          <w:sz w:val="20"/>
        </w:rPr>
        <w:t>documents with respect to Employee’s role as an employee, director, officer, consultant and/or agent of the Company and its subsidiaries, or serving in any other capacity at the request or direction of the Company or any of its subsidiaries, prior to or following the Termination, and all such rights and claims are reserved;</w:t>
      </w:r>
    </w:p>
    <w:p>
      <w:pPr>
        <w:pStyle w:val="TextBody"/>
        <w:bidi w:val="0"/>
        <w:spacing w:before="0" w:after="0"/>
        <w:ind w:left="19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to restricted stock units and options (collectively, the “</w:t>
            </w:r>
            <w:r>
              <w:rPr>
                <w:rFonts w:ascii="Times New Roman;Times;serif" w:hAnsi="Times New Roman;Times;serif"/>
                <w:b/>
                <w:i/>
                <w:sz w:val="20"/>
              </w:rPr>
              <w:t>Vested Equity Awards</w:t>
            </w:r>
            <w:r>
              <w:rPr>
                <w:rFonts w:ascii="Times New Roman;Times;serif" w:hAnsi="Times New Roman;Times;serif"/>
                <w:sz w:val="20"/>
              </w:rPr>
              <w:t>”) held by the Employee immediately prior to the Termination and which have not been settled through the issuance of shares of the Company’s Class A common stock, and the Accelerated Equity Awards (defined below), which shall receive the treatment of common stock interests as set forth in the Plan, provided that the Employee agrees that the Company may, but is not required to, withhold or sell shares issued upon vesting and/or settlement of any such awards to satisfy state or federal income taxes;</w:t>
            </w:r>
          </w:p>
        </w:tc>
      </w:tr>
    </w:tbl>
    <w:p>
      <w:pPr>
        <w:pStyle w:val="TextBody"/>
        <w:bidi w:val="0"/>
        <w:spacing w:before="0" w:after="0"/>
        <w:ind w:left="19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9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under and claims with respect to all directors’ and officers’ and other insurance policies that provide a benefit to Employee (“</w:t>
            </w:r>
            <w:r>
              <w:rPr>
                <w:rFonts w:ascii="Times New Roman;Times;serif" w:hAnsi="Times New Roman;Times;serif"/>
                <w:b/>
                <w:i/>
                <w:sz w:val="20"/>
              </w:rPr>
              <w:t>D&amp;O Insurance</w:t>
            </w:r>
            <w:r>
              <w:rPr>
                <w:rFonts w:ascii="Times New Roman;Times;serif" w:hAnsi="Times New Roman;Times;serif"/>
                <w:sz w:val="20"/>
              </w:rPr>
              <w:t>”) held by the Company;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99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Rights to the Severance Payment as described in Section I.C below, as well as the ability to enforce Employee’s rights under this Agreement.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is not intended to, and shall not, release or interfere with Employee’s ability to receive, file or otherwise institute a claim for outstanding health and welfare benefit obligations under plans maintained by the Company in which Employee participated prior to Termination, such as contributions to the Company’s 401K plan, as applicable.</w:t>
            </w:r>
          </w:p>
        </w:tc>
      </w:tr>
    </w:tbl>
    <w:p>
      <w:pPr>
        <w:pStyle w:val="TextBody"/>
        <w:bidi w:val="0"/>
        <w:spacing w:before="0" w:after="0"/>
        <w:ind w:left="180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Agreement is not intended to, and shall not, interfere with Employee’s ability to file or otherwise institute a charge with an administrative agency alleging discrimination under federal, state, or local civil rights, labor and/or employment discrimination laws (including, but not limited to, Title VII, the ADA, the NLRA, the ADEA, GINA, USERRA, or their state or local counterparts) or to provide truthful information or assistance in connection with such an administrative charge or administrative proceeding. However, Employee waives any right, and shall not be entitled, to any relief, recovery, monies or any other remedies in connection with any such charge brought against the Company, regardless of who filed or initiated any such complaint, charge, or proceeding.</w:t>
            </w:r>
          </w:p>
        </w:tc>
      </w:tr>
    </w:tbl>
    <w:p>
      <w:pPr>
        <w:pStyle w:val="TextBody"/>
        <w:pBdr/>
        <w:bidi w:val="0"/>
        <w:spacing w:before="0" w:after="0"/>
        <w:ind w:left="1170" w:right="0" w:hanging="720"/>
        <w:jc w:val="both"/>
        <w:rPr/>
      </w:pPr>
      <w:r>
        <w:rPr/>
        <w:t>​</w:t>
      </w:r>
    </w:p>
    <w:tbl>
      <w:tblPr>
        <w:tblW w:w="3453" w:type="dxa"/>
        <w:jc w:val="left"/>
        <w:tblInd w:w="0" w:type="dxa"/>
        <w:tblLayout w:type="fixed"/>
        <w:tblCellMar>
          <w:top w:w="0" w:type="dxa"/>
          <w:left w:w="0" w:type="dxa"/>
          <w:bottom w:w="0" w:type="dxa"/>
          <w:right w:w="0" w:type="dxa"/>
        </w:tblCellMar>
      </w:tblPr>
      <w:tblGrid>
        <w:gridCol w:w="23"/>
        <w:gridCol w:w="200"/>
        <w:gridCol w:w="32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w:t>
            </w:r>
          </w:p>
        </w:tc>
        <w:tc>
          <w:tcPr>
            <w:tcW w:w="323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Consideration and Terms of Payment.</w:t>
            </w:r>
          </w:p>
        </w:tc>
      </w:tr>
    </w:tbl>
    <w:p>
      <w:pPr>
        <w:pStyle w:val="TextBody"/>
        <w:pBdr/>
        <w:bidi w:val="0"/>
        <w:spacing w:before="0" w:after="0"/>
        <w:ind w:left="5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2"/>
        <w:gridCol w:w="10050"/>
      </w:tblGrid>
      <w:tr>
        <w:trPr/>
        <w:tc>
          <w:tcPr>
            <w:tcW w:w="2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consideration for and subject to the Release and compliance in all material respects by Employee with the other terms of this Agreement, the Employee shall receive (a) an Allowed General Unsecured Claim under the Plan in the amount of $975,267 (the “</w:t>
            </w:r>
            <w:r>
              <w:rPr>
                <w:rFonts w:ascii="Times New Roman;Times;serif" w:hAnsi="Times New Roman;Times;serif"/>
                <w:b/>
                <w:i/>
                <w:sz w:val="20"/>
              </w:rPr>
              <w:t>Severance Payment</w:t>
            </w:r>
            <w:r>
              <w:rPr>
                <w:rFonts w:ascii="Times New Roman;Times;serif" w:hAnsi="Times New Roman;Times;serif"/>
                <w:sz w:val="20"/>
              </w:rPr>
              <w:t>”), which shall be paid pursuant to the terms of the Plan (including Post-Petition Interest, as applicable under the Plan) through Distributions by the Post-Effective Date Debtors or the Claims Ombudsman, as applicable, and (b) accelerated vesting in full at the time of Termination of all equity awards held by Employee under the Company’s 2020 Equity Incentive Plan, as amended (the “</w:t>
            </w:r>
            <w:r>
              <w:rPr>
                <w:rFonts w:ascii="Times New Roman;Times;serif" w:hAnsi="Times New Roman;Times;serif"/>
                <w:b/>
                <w:i/>
                <w:sz w:val="20"/>
              </w:rPr>
              <w:t>Equity Plan</w:t>
            </w:r>
            <w:r>
              <w:rPr>
                <w:rFonts w:ascii="Times New Roman;Times;serif" w:hAnsi="Times New Roman;Times;serif"/>
                <w:sz w:val="20"/>
              </w:rPr>
              <w:t>”) that are not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otherwise vested other than performance based restricted stock awards (the “</w:t>
      </w:r>
      <w:r>
        <w:rPr>
          <w:rFonts w:ascii="Times New Roman;Times;serif" w:hAnsi="Times New Roman;Times;serif"/>
          <w:b/>
          <w:i/>
          <w:sz w:val="20"/>
        </w:rPr>
        <w:t>Accelerated Equity Awards</w:t>
      </w:r>
      <w:r>
        <w:rPr>
          <w:rFonts w:ascii="Times New Roman;Times;serif" w:hAnsi="Times New Roman;Times;serif"/>
          <w:sz w:val="20"/>
        </w:rPr>
        <w:t>”). The timing and method of these payments are described below.</w:t>
      </w:r>
    </w:p>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 of 2/3 of the Severance Payment (the “</w:t>
            </w:r>
            <w:r>
              <w:rPr>
                <w:rFonts w:ascii="Times New Roman;Times;serif" w:hAnsi="Times New Roman;Times;serif"/>
                <w:b/>
                <w:i/>
                <w:sz w:val="20"/>
              </w:rPr>
              <w:t>Initial Payment</w:t>
            </w:r>
            <w:r>
              <w:rPr>
                <w:rFonts w:ascii="Times New Roman;Times;serif" w:hAnsi="Times New Roman;Times;serif"/>
                <w:sz w:val="20"/>
              </w:rPr>
              <w:t>”) will be made to Employee within 30 days of the Effective Date; provided that Employee shall not be entitled to a greater percentage recovery of the Initial Payment than other allowed General Unsecured Claims are entitled to in the Chapter 11 Cases. If such Initial Payment is reduced as a result of this provision, Employee shall be entitled to receive up to the unpaid portion of the Initial Payment in connection with and proportional to any subsequent “holdback” distributions made by the post-Effective Date Debtors/Claims Ombudsman.</w:t>
            </w:r>
          </w:p>
        </w:tc>
      </w:tr>
    </w:tbl>
    <w:p>
      <w:pPr>
        <w:pStyle w:val="TextBody"/>
        <w:bidi w:val="0"/>
        <w:spacing w:before="0" w:after="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 of the remaining 1/3 of the Severance Payment (the “</w:t>
            </w:r>
            <w:r>
              <w:rPr>
                <w:rFonts w:ascii="Times New Roman;Times;serif" w:hAnsi="Times New Roman;Times;serif"/>
                <w:b/>
                <w:i/>
                <w:sz w:val="20"/>
              </w:rPr>
              <w:t>Second Payment</w:t>
            </w:r>
            <w:r>
              <w:rPr>
                <w:rFonts w:ascii="Times New Roman;Times;serif" w:hAnsi="Times New Roman;Times;serif"/>
                <w:sz w:val="20"/>
              </w:rPr>
              <w:t>”) will be made to Employee within 120 days after the Effective Date, provided that Employee shall not be entitled to a greater percentage recovery of the Second Payment than other allowed General Unsecured Claims are entitled to in the Chapter 11 Cases. If such Second Payment is reduced as a result of this provision, Employee shall be entitled to receive up to the unpaid portion of the Second Payment in connection with and proportional to any subsequent “holdback” distributions made by the post-Effective Date Debtors/Claims Ombudsman.</w:t>
            </w:r>
          </w:p>
        </w:tc>
      </w:tr>
    </w:tbl>
    <w:p>
      <w:pPr>
        <w:pStyle w:val="TextBody"/>
        <w:pBdr/>
        <w:bidi w:val="0"/>
        <w:spacing w:before="0" w:after="0"/>
        <w:ind w:left="117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Settlement of the Accelerated Equity Awards, as well as any Vested Equity Awards, that constitute restricted stock units or performance stock units held by Employee shall occur on or promptly following the Effective Date in accordance with the Plan, the Equity Plan and award agreements thereunder; provided that Employee agrees that the Company may, but is not required to, withhold or sell shares issued upon vesting or settlement of any such awards to satisfy state or federal income taxes. Accelerated Equity Awards and Vested Equity Awards that constitute options shall remain outstanding and be exercisable in accordance with the Plan, the Equity Plan and award agreements thereunder.</w:t>
            </w:r>
          </w:p>
        </w:tc>
      </w:tr>
    </w:tbl>
    <w:p>
      <w:pPr>
        <w:pStyle w:val="TextBody"/>
        <w:bidi w:val="0"/>
        <w:spacing w:before="0" w:after="0"/>
        <w:ind w:left="0" w:right="0" w:hanging="0"/>
        <w:jc w:val="both"/>
        <w:rPr/>
      </w:pPr>
      <w:r>
        <w:rPr/>
        <w:t>​</w:t>
      </w:r>
    </w:p>
    <w:tbl>
      <w:tblPr>
        <w:tblW w:w="8778" w:type="dxa"/>
        <w:jc w:val="left"/>
        <w:tblInd w:w="0" w:type="dxa"/>
        <w:tblLayout w:type="fixed"/>
        <w:tblCellMar>
          <w:top w:w="0" w:type="dxa"/>
          <w:left w:w="0" w:type="dxa"/>
          <w:bottom w:w="0" w:type="dxa"/>
          <w:right w:w="0" w:type="dxa"/>
        </w:tblCellMar>
      </w:tblPr>
      <w:tblGrid>
        <w:gridCol w:w="23"/>
        <w:gridCol w:w="170"/>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85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Payments to Employee pursuant to this Agreement are made without regard to setoff or recoupment rights.</w:t>
            </w:r>
          </w:p>
        </w:tc>
      </w:tr>
    </w:tbl>
    <w:p>
      <w:pPr>
        <w:pStyle w:val="TextBody"/>
        <w:bidi w:val="0"/>
        <w:spacing w:before="0" w:after="0"/>
        <w:ind w:left="1800" w:right="0" w:hanging="0"/>
        <w:jc w:val="left"/>
        <w:rPr/>
      </w:pPr>
      <w:r>
        <w:rPr/>
        <w:t>​</w:t>
      </w:r>
    </w:p>
    <w:tbl>
      <w:tblPr>
        <w:tblW w:w="1750" w:type="dxa"/>
        <w:jc w:val="left"/>
        <w:tblInd w:w="0" w:type="dxa"/>
        <w:tblLayout w:type="fixed"/>
        <w:tblCellMar>
          <w:top w:w="0" w:type="dxa"/>
          <w:left w:w="0" w:type="dxa"/>
          <w:bottom w:w="0" w:type="dxa"/>
          <w:right w:w="0" w:type="dxa"/>
        </w:tblCellMar>
      </w:tblPr>
      <w:tblGrid>
        <w:gridCol w:w="215"/>
        <w:gridCol w:w="1535"/>
      </w:tblGrid>
      <w:tr>
        <w:trPr/>
        <w:tc>
          <w:tcPr>
            <w:tcW w:w="21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II.</w:t>
            </w:r>
          </w:p>
        </w:tc>
        <w:tc>
          <w:tcPr>
            <w:tcW w:w="153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CONSULTANCY.</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Consulting Period. </w:t>
            </w:r>
            <w:r>
              <w:rPr>
                <w:rFonts w:ascii="Times New Roman;Times;serif" w:hAnsi="Times New Roman;Times;serif"/>
                <w:sz w:val="20"/>
              </w:rPr>
              <w:t>Beginning on the day following the Termination, Employee will serve as an advisory consultant to the Company for a period of up to six (6) months after the Effective Date (the “</w:t>
            </w:r>
            <w:r>
              <w:rPr>
                <w:rFonts w:ascii="Times New Roman;Times;serif" w:hAnsi="Times New Roman;Times;serif"/>
                <w:b/>
                <w:i/>
                <w:sz w:val="20"/>
              </w:rPr>
              <w:t>Consulting Period”</w:t>
            </w:r>
            <w:r>
              <w:rPr>
                <w:rFonts w:ascii="Times New Roman;Times;serif" w:hAnsi="Times New Roman;Times;serif"/>
                <w:sz w:val="20"/>
              </w:rPr>
              <w:t>) as follows:</w:t>
            </w:r>
          </w:p>
        </w:tc>
      </w:tr>
    </w:tbl>
    <w:p>
      <w:pPr>
        <w:pStyle w:val="TextBody"/>
        <w:pBdr/>
        <w:bidi w:val="0"/>
        <w:spacing w:before="0" w:after="0"/>
        <w:ind w:left="360" w:right="0" w:hanging="360"/>
        <w:jc w:val="both"/>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Employee will provide up to 80 hours of consulting services relating to management transition services, not to exceed seven (7) hours in any given week, absent extraordinary circumstances. The Employee shall not receive any additional compensation for such services. The services described here will be performed by the Employee at the request of the Company after reasonable advance notice from the Company and Employee will perform the services at a reasonable time and place. During the Consulting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Employee agrees to perform all duties in a professional manner and observe and obey all applicable laws, rules and regulations.</w:t>
      </w:r>
    </w:p>
    <w:p>
      <w:pPr>
        <w:pStyle w:val="TextBody"/>
        <w:pBdr/>
        <w:bidi w:val="0"/>
        <w:spacing w:before="0" w:after="0"/>
        <w:ind w:left="720" w:right="0" w:hanging="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Company will reimburse Employee for reasonable out-of-pocket costs and expenses incurred in performing duties for the Company during the Consulting Period, including out-of-pocket travel, meals, and other similar type of costs and expenses, provided that Employee shall provide reasonable and appropriate documentation in such form as the Company may reasonably request. All reimbursements shall be made within thirty (30) days of submission of a reimbursement request. Any amounts outstanding after thirty (30) days shall bear interest at the rate of eighteen percent (18%) per annum.</w:t>
      </w:r>
    </w:p>
    <w:p>
      <w:pPr>
        <w:pStyle w:val="TextBody"/>
        <w:pBdr/>
        <w:bidi w:val="0"/>
        <w:spacing w:before="0" w:after="0"/>
        <w:ind w:left="0" w:right="0" w:hanging="72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Relationship of the Parties During the Consultancy</w:t>
      </w:r>
      <w:r>
        <w:rPr>
          <w:rFonts w:ascii="Times New Roman;Times;serif" w:hAnsi="Times New Roman;Times;serif"/>
          <w:sz w:val="20"/>
        </w:rPr>
        <w:t>. The Parties acknowledge and agree that Employee shall not be an employee of the Company during the Consulting Period and that the only relationship between the Parties during the Consulting Period is that of an independent contractor providing consulting services. Except as may be authorized by the Board of Directors of the Company, the Employee has no authority or right to create any obligation on behalf of the Company or to bind the Company in any respect whatsoever during the Consulting Period. Nothing contained in this Agreement shall be construed to constitute Employee as an employee of the Company during the Consulting Period. Employee neither expects nor desires that the Company should (a) withhold from any fees due and payable to Employee any taxes – state, federal, local, income, social security or otherwise, (b) pay with respect to Employee any fees or taxes for workers’ compensation or unemployment compensation, or (c) provide Employee with any other benefits customarily provided to employees. Since Employee shall not be an employee of the Company during the Consulting Period, Employee further agrees that, with respect to the Consulting Period and Employee’s provision of consulting services, he will not assert any claim against the Company for workers’ compensation, unemployment benefits, or other employee benefits of any kind. Nothing in this Agreement precludes Employee from seeking unemployment benefits related to Employee’s employment with the Company that ended at the Termination. Employee and the Company further agree to use good faith to address and abide by any restrictions on the consulting services contemplated by Section II(A) necessary to enable Employee to obtain and/or maintain post-Termination employment by another entity.</w:t>
      </w:r>
    </w:p>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III.</w:t>
            </w:r>
          </w:p>
        </w:tc>
        <w:tc>
          <w:tcPr>
            <w:tcW w:w="9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CONFIDENTIAL INFORMATION. </w:t>
            </w:r>
            <w:r>
              <w:rPr>
                <w:rFonts w:ascii="Times New Roman;Times;serif" w:hAnsi="Times New Roman;Times;serif"/>
                <w:sz w:val="20"/>
              </w:rPr>
              <w:t>Employee recognizes and acknowledges that he remains bound by any and all restrictive covenants regarding confidential and proprietary information and trade secrets contained in Employee’s Employment Agreement, as well as any restrictive covenants contained in Employee’s Proprietary Information and Invention Agreement with the Company. These covenants continue to apply up through and including Employee’s termination date, and they will extend and apply throughout the duration of the Consulting Period described herein.</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IV.</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RETURNING THE COMPANY’S DOCUMENTS AND TANGIBLE PROPERTY. </w:t>
            </w:r>
            <w:r>
              <w:rPr>
                <w:rFonts w:ascii="Times New Roman;Times;serif" w:hAnsi="Times New Roman;Times;serif"/>
                <w:sz w:val="20"/>
              </w:rPr>
              <w:t>Upon request of the Company, upon termination of the Consulting Period, Employee will promptly surrender and deliver to the Company, destroy or delete (and will not keep in its possession or deliver to anyone else) any tangible confidential information, records, data, notes, reports, proposals, lists, correspondence, computer codes, specifications, designs, materials, equipment, devices, or any other documents (including photocopies or other reproductions of any of the aforesaid items) of the Company or any Company Affiliate. In addition, Employee will remove from any and all computer systems under control of Employee, any third-party software applications provided by the Company to Employee for use in providing services under this Agreement. Notwithstanding the foregoing, Employee shall be entitled to preserve any documents, records or other materials that have or may be subject to discovery requests in pending or threatened litigation or other legal claims.</w:t>
            </w:r>
          </w:p>
        </w:tc>
      </w:tr>
    </w:tbl>
    <w:p>
      <w:pPr>
        <w:pStyle w:val="TextBody"/>
        <w:pBdr/>
        <w:bidi w:val="0"/>
        <w:spacing w:before="0" w:after="0"/>
        <w:ind w:left="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w:t>
            </w:r>
          </w:p>
        </w:tc>
        <w:tc>
          <w:tcPr>
            <w:tcW w:w="100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SURVIVAL. </w:t>
            </w:r>
            <w:r>
              <w:rPr>
                <w:rFonts w:ascii="Times New Roman;Times;serif" w:hAnsi="Times New Roman;Times;serif"/>
                <w:sz w:val="20"/>
              </w:rPr>
              <w:t>The Parties expressly acknowledge and agree that the provisions of this Agreement that by their express terms extend beyond the termination of the Consulting Period or the termination of this Agreement shall continue in full force and effect notwithstanding termination of the Consulting Period or the termination of this Agreement.</w:t>
            </w:r>
          </w:p>
        </w:tc>
      </w:tr>
    </w:tbl>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VI.</w:t>
      </w:r>
      <w:r>
        <w:rPr>
          <w:rFonts w:ascii="Times New Roman;Times;serif" w:hAnsi="Times New Roman;Times;serif"/>
          <w:b/>
          <w:sz w:val="20"/>
        </w:rPr>
        <w:t>REMEDIES.</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 xml:space="preserve">Enforcement. </w:t>
      </w:r>
      <w:r>
        <w:rPr>
          <w:rFonts w:ascii="Times New Roman;Times;serif" w:hAnsi="Times New Roman;Times;serif"/>
          <w:sz w:val="20"/>
        </w:rPr>
        <w:t>Employee hereby specifically acknowledges and agrees that the provisions in Sections III and IV of this Agreement are reasonable and necessary to protect the legitimate interests of the Company (including without limitation its trade secrets and confidential information) and that such restrictions will not unreasonably restrict Employee or interfere with Employee’s ability to enter gainful business opportunities following the Consulting Period. Employee further agrees that the existence of any dispute respecting the interpretation of this Agreement or the alleged breach of this Agreement by the Company will not excuse performance or otherwise affect the validity or enforceability of Employee’s obligations under Sections III and IV, and Employee’s obligations under Sections III and IV shall continue in accordance with their terms without regard to any other dispute hereunder.</w:t>
      </w:r>
    </w:p>
    <w:p>
      <w:pPr>
        <w:pStyle w:val="TextBody"/>
        <w:bidi w:val="0"/>
        <w:spacing w:before="0" w:after="0"/>
        <w:ind w:left="0" w:right="0" w:firstLine="216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Remedies. </w:t>
      </w:r>
      <w:r>
        <w:rPr>
          <w:rFonts w:ascii="Times New Roman;Times;serif" w:hAnsi="Times New Roman;Times;serif"/>
          <w:sz w:val="20"/>
        </w:rPr>
        <w:t>Employee further acknowledges and agrees that violation of Sections III and IV of this Agreement would cause the Company irreparable harm for which monetary damages alone would not be an adequate remedy. Therefore, in the event of any violation by Employee, the Company (in addition to all other remedies the Company may have) shall be entitled to a temporary restraining order, injunction, and other equitable relief (without posting any bond or other security) restraining the violator from committing or continuing such violation. Any delay by the Company in asserting a right under this Agreement or any failure by the Company to assert a right under this Agreement will not constitute a waiver by the Company of any right hereunder, and the Company may subsequently assert any and all of its rights under this Agreement as if the delay or failure to assert rights had not occurred.</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 xml:space="preserve">Enforcement Costs. </w:t>
      </w:r>
      <w:r>
        <w:rPr>
          <w:rFonts w:ascii="Times New Roman;Times;serif" w:hAnsi="Times New Roman;Times;serif"/>
          <w:sz w:val="20"/>
        </w:rPr>
        <w:t>In the event that the Company breaches any of its obligations pursuant to this Agreement, including, without limitation, by failing to pay any portion of the Severance Payment when due, Employee shall provide written notice to the Company of such alleged breaches. In the event such breaches are not cured within fifteen (15) days of such notice or such breaches are not curable, Employee’s cost of enforcement of this Agreement, including attorneys’ fees, will be borne by the Company; provided that it shall not be a default for the Company to pay Employee the same percentage recovery as other allowed General Unsecured Creditors under the Plan. In the event that Employee breaches any of his obligations under this Agreement, the Company shall provide written notice to Employee of such alleged breaches. In the event such breaches are not cured within fifteen (15) days of such notice or such breaches are not curable, the Company shall have the right to petition the Bankruptcy Court to fashion an equitable remedy including, but not limited to, disgorgement of all or a portion of the Severance Payment that was made with respect to this Agreement.</w:t>
      </w:r>
    </w:p>
    <w:p>
      <w:pPr>
        <w:pStyle w:val="TextBody"/>
        <w:bidi w:val="0"/>
        <w:spacing w:before="0" w:after="0"/>
        <w:ind w:left="0" w:right="0" w:hanging="0"/>
        <w:jc w:val="left"/>
        <w:rPr/>
      </w:pPr>
      <w:r>
        <w:rPr/>
        <w:t>​</w:t>
      </w:r>
    </w:p>
    <w:tbl>
      <w:tblPr>
        <w:tblW w:w="4300" w:type="dxa"/>
        <w:jc w:val="left"/>
        <w:tblInd w:w="0" w:type="dxa"/>
        <w:tblLayout w:type="fixed"/>
        <w:tblCellMar>
          <w:top w:w="0" w:type="dxa"/>
          <w:left w:w="0" w:type="dxa"/>
          <w:bottom w:w="0" w:type="dxa"/>
          <w:right w:w="0" w:type="dxa"/>
        </w:tblCellMar>
      </w:tblPr>
      <w:tblGrid>
        <w:gridCol w:w="350"/>
        <w:gridCol w:w="3950"/>
      </w:tblGrid>
      <w:tr>
        <w:trPr/>
        <w:tc>
          <w:tcPr>
            <w:tcW w:w="3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VII.</w:t>
            </w:r>
          </w:p>
        </w:tc>
        <w:tc>
          <w:tcPr>
            <w:tcW w:w="395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MISCELLANEOUS AND GENERAL TERMS.</w:t>
            </w:r>
          </w:p>
        </w:tc>
      </w:tr>
    </w:tbl>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Governing Law.</w:t>
      </w:r>
      <w:r>
        <w:rPr>
          <w:rFonts w:ascii="Times New Roman;Times;serif" w:hAnsi="Times New Roman;Times;serif"/>
          <w:sz w:val="20"/>
        </w:rPr>
        <w:t xml:space="preserve"> All matters relating to the interpretation, construction, application, validity and enforcement of this Agreement shall be governed by the laws of the State of Delaware without giving effect to any choice or conflict of law provision or rule, whether of the State of Delaware or any other jurisdiction, that would cause the application of laws of any jurisdiction other than the State of Delaware.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Amendments.</w:t>
      </w:r>
      <w:r>
        <w:rPr>
          <w:rFonts w:ascii="Times New Roman;Times;serif" w:hAnsi="Times New Roman;Times;serif"/>
          <w:sz w:val="20"/>
        </w:rPr>
        <w:t xml:space="preserve"> No amendment or modification of this Agreement shall be deemed effective unless made in writing and signed by the Parties.</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No Waiver.</w:t>
      </w:r>
      <w:r>
        <w:rPr>
          <w:rFonts w:ascii="Times New Roman;Times;serif" w:hAnsi="Times New Roman;Times;serif"/>
          <w:sz w:val="20"/>
        </w:rPr>
        <w:t xml:space="preserve"> No term or condition of this Agreement shall be deemed to have been waived, except by a statement in writing signed by the Party against whom enforcement of the waiver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 xml:space="preserve">Assignment. </w:t>
      </w:r>
      <w:r>
        <w:rPr>
          <w:rFonts w:ascii="Times New Roman;Times;serif" w:hAnsi="Times New Roman;Times;serif"/>
          <w:sz w:val="20"/>
        </w:rPr>
        <w:t>This Agreement shall not be assignable, in whole or in part, by Employee without the prior written consent of the Company. The Company may assign its rights and obligations under this Agreement, except for Section II (Consultancy), without the consent of Employee, including without limitation to any corporation or other person or business entity with which the Company may merge or consolidate or to which the Company may sell or transfer all or a portion of its assets. After any such assignment by the Company, the Company shall be discharged from all further liability hereunder and such assignee shall thereafter be deemed to be the “Company” for purposes of all terms and conditions of this Agreement, including this Section VIID.</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Counterparts.</w:t>
      </w:r>
      <w:r>
        <w:rPr>
          <w:rFonts w:ascii="Times New Roman;Times;serif" w:hAnsi="Times New Roman;Times;serif"/>
          <w:sz w:val="20"/>
        </w:rPr>
        <w:t xml:space="preserve"> This Agreement may be executed in any number of counterparts and delivered by facsimile or other means of electronic communication, and such counterparts executed and delivered, shall constitute but one and the same instrument.</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 xml:space="preserve">Severability. </w:t>
      </w:r>
      <w:r>
        <w:rPr>
          <w:rFonts w:ascii="Times New Roman;Times;serif" w:hAnsi="Times New Roman;Times;serif"/>
          <w:color w:val="3D3D3D"/>
          <w:sz w:val="20"/>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provided, however, that if any fundamental term or provision of this Agreement (including without limitation the Severance Payment and Release), is invalid, illegal, or unenforceable, the remainder of this Agreement shall be unenforceable. Upon a determination that any term or provision is invalid, illegal, or unenforceable, the parties hereto shall negotiate in good faith to/the court may modify this Agreement to give effect to the original intent of the parties as closely as possible in order that the transactions contemplated hereby be consummated as originally contemplated to the greatest extent possible.</w:t>
      </w:r>
    </w:p>
    <w:p>
      <w:pPr>
        <w:pStyle w:val="TextBody"/>
        <w:bidi w:val="0"/>
        <w:spacing w:before="0" w:after="0"/>
        <w:ind w:left="0" w:right="0" w:hanging="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 xml:space="preserve">Captions and Headings. </w:t>
      </w:r>
      <w:r>
        <w:rPr>
          <w:rFonts w:ascii="Times New Roman;Times;serif" w:hAnsi="Times New Roman;Times;serif"/>
          <w:sz w:val="20"/>
        </w:rPr>
        <w:t>The captions and paragraph headings used in this Agreement are for convenience of reference only and shall not affect the construction or interpretation of this Agreement or any of the provisions hereof.</w:t>
      </w:r>
    </w:p>
    <w:p>
      <w:pPr>
        <w:pStyle w:val="TextBody"/>
        <w:pBdr/>
        <w:bidi w:val="0"/>
        <w:spacing w:before="0" w:after="0"/>
        <w:ind w:left="0" w:right="0" w:hanging="720"/>
        <w:jc w:val="both"/>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Notices.</w:t>
      </w:r>
      <w:r>
        <w:rPr>
          <w:rFonts w:ascii="Times New Roman;Times;serif" w:hAnsi="Times New Roman;Times;serif"/>
          <w:sz w:val="20"/>
        </w:rPr>
        <w:t xml:space="preserve"> Notices and all other communications under this Agreement shall be in writing and shall be deemed given if (i) delivered personally, (ii) delivered by a recognized overnight courier service, or (iii) mailed by United States registered or certified mail, return receipt requested, postage prepaid, addressed as follows:</w:t>
      </w:r>
    </w:p>
    <w:p>
      <w:pPr>
        <w:pStyle w:val="TextBody"/>
        <w:bidi w:val="0"/>
        <w:spacing w:before="0" w:after="0"/>
        <w:ind w:left="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If to Company to:</w:t>
      </w:r>
    </w:p>
    <w:p>
      <w:pPr>
        <w:pStyle w:val="TextBody"/>
        <w:bidi w:val="0"/>
        <w:spacing w:before="0" w:after="0"/>
        <w:ind w:left="144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Lordstown Motors</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c/o M3 Partners</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1700 Broadway, 19th Floor</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New York, NY 10019</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Attention: William Gallagher</w:t>
      </w:r>
    </w:p>
    <w:p>
      <w:pPr>
        <w:pStyle w:val="TextBody"/>
        <w:bidi w:val="0"/>
        <w:spacing w:before="0" w:after="0"/>
        <w:ind w:left="144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If to Employee, to:</w:t>
      </w:r>
    </w:p>
    <w:p>
      <w:pPr>
        <w:pStyle w:val="TextBody"/>
        <w:bidi w:val="0"/>
        <w:spacing w:before="0" w:after="0"/>
        <w:ind w:left="144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Edward T. Hightower</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23068 Kristy Lane</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Southfield, MI 48033</w:t>
      </w:r>
    </w:p>
    <w:p>
      <w:pPr>
        <w:pStyle w:val="TextBody"/>
        <w:bidi w:val="0"/>
        <w:spacing w:before="0" w:after="0"/>
        <w:ind w:left="720" w:right="0" w:hanging="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As such addresses may be changed from time to time by a party providing written notice to the other party.</w:t>
      </w:r>
    </w:p>
    <w:p>
      <w:pPr>
        <w:pStyle w:val="TextBody"/>
        <w:bidi w:val="0"/>
        <w:spacing w:before="0" w:after="0"/>
        <w:ind w:left="72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 * *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Follow]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IN WITNESS WHEREOF, Employee and the Company have executed this Agreement as of the Agreement Date.</w:t>
      </w:r>
    </w:p>
    <w:p>
      <w:pPr>
        <w:pStyle w:val="TextBody"/>
        <w:bidi w:val="0"/>
        <w:spacing w:before="0" w:after="0"/>
        <w:ind w:left="0" w:right="0" w:hanging="0"/>
        <w:jc w:val="left"/>
        <w:rPr/>
      </w:pPr>
      <w:r>
        <w:rPr/>
        <w:t>​</w:t>
      </w:r>
    </w:p>
    <w:tbl>
      <w:tblPr>
        <w:tblW w:w="3364" w:type="dxa"/>
        <w:jc w:val="center"/>
        <w:tblInd w:w="0" w:type="dxa"/>
        <w:tblLayout w:type="fixed"/>
        <w:tblCellMar>
          <w:top w:w="0" w:type="dxa"/>
          <w:left w:w="0" w:type="dxa"/>
          <w:bottom w:w="0" w:type="dxa"/>
          <w:right w:w="0" w:type="dxa"/>
        </w:tblCellMar>
      </w:tblPr>
      <w:tblGrid>
        <w:gridCol w:w="858"/>
        <w:gridCol w:w="2352"/>
        <w:gridCol w:w="154"/>
      </w:tblGrid>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LORDSTOWN MOTORS CORP.</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LORDSTOWN EV CORPORATION</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LORDSTOWN EV SALES LLC</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35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Ninivaggi</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w:t>
            </w:r>
          </w:p>
        </w:tc>
        <w:tc>
          <w:tcPr>
            <w:tcW w:w="154" w:type="dxa"/>
            <w:tcBorders/>
            <w:vAlign w:val="center"/>
          </w:tcPr>
          <w:p>
            <w:pPr>
              <w:pStyle w:val="TableContents"/>
              <w:bidi w:val="0"/>
              <w:spacing w:before="0" w:after="0"/>
              <w:ind w:left="0" w:right="0" w:hanging="0"/>
              <w:jc w:val="left"/>
              <w:rPr/>
            </w:pPr>
            <w:r>
              <w:rPr/>
              <w:t>​</w:t>
            </w:r>
          </w:p>
        </w:tc>
      </w:tr>
      <w:tr>
        <w:trPr/>
        <w:tc>
          <w:tcPr>
            <w:tcW w:w="858" w:type="dxa"/>
            <w:tcBorders/>
            <w:vAlign w:val="center"/>
          </w:tcPr>
          <w:p>
            <w:pPr>
              <w:pStyle w:val="TableContents"/>
              <w:bidi w:val="0"/>
              <w:spacing w:before="0" w:after="0"/>
              <w:ind w:left="0" w:right="0" w:hanging="0"/>
              <w:jc w:val="left"/>
              <w:rPr/>
            </w:pPr>
            <w:r>
              <w:rPr/>
              <w:t>​</w:t>
            </w:r>
          </w:p>
        </w:tc>
        <w:tc>
          <w:tcPr>
            <w:tcW w:w="2352"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Edward T. Hightower</w:t>
            </w:r>
          </w:p>
        </w:tc>
        <w:tc>
          <w:tcPr>
            <w:tcW w:w="154" w:type="dxa"/>
            <w:tcBorders/>
            <w:vAlign w:val="center"/>
          </w:tcPr>
          <w:p>
            <w:pPr>
              <w:pStyle w:val="TableContents"/>
              <w:bidi w:val="0"/>
              <w:spacing w:before="0" w:after="0"/>
              <w:ind w:left="0" w:right="0" w:hanging="0"/>
              <w:jc w:val="left"/>
              <w:rPr/>
            </w:pPr>
            <w:r>
              <w:rPr/>
              <w:t>​</w:t>
            </w:r>
          </w:p>
        </w:tc>
      </w:tr>
      <w:tr>
        <w:trPr/>
        <w:tc>
          <w:tcPr>
            <w:tcW w:w="321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Edward T. Hightower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618" w:name="tmb-20240331xex10d4.htm"/>
      <w:bookmarkStart w:id="619" w:name="kstmb20240331xex10d4"/>
      <w:bookmarkEnd w:id="618"/>
      <w:bookmarkEnd w:id="619"/>
      <w:r>
        <w:rPr>
          <w:rFonts w:ascii="Times New Roman;Times;serif" w:hAnsi="Times New Roman;Times;serif"/>
          <w:b/>
          <w:sz w:val="24"/>
        </w:rPr>
        <w:t>Exhibit 10.4</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pPr>
      <w:r>
        <w:rPr/>
        <w:drawing>
          <wp:inline distT="0" distB="0" distL="0" distR="0">
            <wp:extent cx="1190625" cy="790575"/>
            <wp:effectExtent l="0" t="0" r="0" b="0"/>
            <wp:docPr id="10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 descr=""/>
                    <pic:cNvPicPr>
                      <a:picLocks noChangeAspect="1" noChangeArrowheads="1"/>
                    </pic:cNvPicPr>
                  </pic:nvPicPr>
                  <pic:blipFill>
                    <a:blip r:embed="rId6"/>
                    <a:stretch>
                      <a:fillRect/>
                    </a:stretch>
                  </pic:blipFill>
                  <pic:spPr bwMode="auto">
                    <a:xfrm>
                      <a:off x="0" y="0"/>
                      <a:ext cx="1190625" cy="790575"/>
                    </a:xfrm>
                    <a:prstGeom prst="rect">
                      <a:avLst/>
                    </a:prstGeom>
                  </pic:spPr>
                </pic:pic>
              </a:graphicData>
            </a:graphic>
          </wp:inline>
        </w:drawing>
      </w:r>
    </w:p>
    <w:p>
      <w:pPr>
        <w:pStyle w:val="TextBody"/>
        <w:bidi w:val="0"/>
        <w:spacing w:before="0" w:after="0"/>
        <w:ind w:left="0" w:right="0" w:hanging="0"/>
        <w:jc w:val="both"/>
        <w:rPr/>
      </w:pPr>
      <w:r>
        <w:rPr/>
        <w:t>​</w:t>
      </w:r>
    </w:p>
    <w:tbl>
      <w:tblPr>
        <w:tblW w:w="2300" w:type="dxa"/>
        <w:jc w:val="center"/>
        <w:tblInd w:w="0" w:type="dxa"/>
        <w:tblLayout w:type="fixed"/>
        <w:tblCellMar>
          <w:top w:w="0" w:type="dxa"/>
          <w:left w:w="0" w:type="dxa"/>
          <w:bottom w:w="0" w:type="dxa"/>
          <w:right w:w="0" w:type="dxa"/>
        </w:tblCellMar>
      </w:tblPr>
      <w:tblGrid>
        <w:gridCol w:w="124"/>
        <w:gridCol w:w="2176"/>
      </w:tblGrid>
      <w:tr>
        <w:trPr/>
        <w:tc>
          <w:tcPr>
            <w:tcW w:w="124" w:type="dxa"/>
            <w:tcBorders/>
            <w:vAlign w:val="center"/>
          </w:tcPr>
          <w:p>
            <w:pPr>
              <w:pStyle w:val="TableContents"/>
              <w:bidi w:val="0"/>
              <w:spacing w:before="0" w:after="0"/>
              <w:ind w:left="0" w:right="0" w:hanging="0"/>
              <w:jc w:val="right"/>
              <w:rPr/>
            </w:pPr>
            <w:r>
              <w:rPr/>
              <w:t>​</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of March 15, 2024</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Nu Ride Inc.</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c/o M3 Advisory Partners, LP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1700 Broadway, 19</w:t>
      </w:r>
      <w:r>
        <w:rPr>
          <w:rFonts w:ascii="Times New Roman;Times;serif" w:hAnsi="Times New Roman;Times;serif"/>
          <w:sz w:val="18"/>
        </w:rPr>
        <w:t>th</w:t>
      </w:r>
      <w:r>
        <w:rPr>
          <w:rFonts w:ascii="Times New Roman;Times;serif" w:hAnsi="Times New Roman;Times;serif"/>
          <w:sz w:val="20"/>
        </w:rPr>
        <w:t xml:space="preserve"> </w:t>
      </w:r>
      <w:r>
        <w:rPr>
          <w:rFonts w:ascii="Times New Roman;Times;serif" w:hAnsi="Times New Roman;Times;serif"/>
          <w:sz w:val="24"/>
        </w:rPr>
        <w:t>Floor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New York, New York 10019</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Attention:  Board of Directors</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Engagement Letter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Ladies and Gentlemen: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This letter agreement (this “</w:t>
      </w:r>
      <w:r>
        <w:rPr>
          <w:rFonts w:ascii="Times New Roman;Times;serif" w:hAnsi="Times New Roman;Times;serif"/>
          <w:b/>
          <w:i/>
          <w:sz w:val="24"/>
        </w:rPr>
        <w:t>Agreement</w:t>
      </w:r>
      <w:r>
        <w:rPr>
          <w:rFonts w:ascii="Times New Roman;Times;serif" w:hAnsi="Times New Roman;Times;serif"/>
          <w:sz w:val="20"/>
        </w:rPr>
        <w:t>”</w:t>
      </w:r>
      <w:r>
        <w:rPr>
          <w:rFonts w:ascii="Times New Roman;Times;serif" w:hAnsi="Times New Roman;Times;serif"/>
          <w:sz w:val="24"/>
        </w:rPr>
        <w:t>) sets forth the terms and conditions of the engagement (the “</w:t>
      </w:r>
      <w:r>
        <w:rPr>
          <w:rFonts w:ascii="Times New Roman;Times;serif" w:hAnsi="Times New Roman;Times;serif"/>
          <w:b/>
          <w:i/>
          <w:sz w:val="24"/>
        </w:rPr>
        <w:t>Engagement</w:t>
      </w:r>
      <w:r>
        <w:rPr>
          <w:rFonts w:ascii="Times New Roman;Times;serif" w:hAnsi="Times New Roman;Times;serif"/>
          <w:sz w:val="20"/>
        </w:rPr>
        <w:t>”</w:t>
      </w:r>
      <w:r>
        <w:rPr>
          <w:rFonts w:ascii="Times New Roman;Times;serif" w:hAnsi="Times New Roman;Times;serif"/>
          <w:sz w:val="24"/>
        </w:rPr>
        <w:t>) of M3 Advisory Partners, LP (“</w:t>
      </w:r>
      <w:r>
        <w:rPr>
          <w:rFonts w:ascii="Times New Roman;Times;serif" w:hAnsi="Times New Roman;Times;serif"/>
          <w:b/>
          <w:i/>
          <w:sz w:val="24"/>
        </w:rPr>
        <w:t>M3</w:t>
      </w:r>
      <w:r>
        <w:rPr>
          <w:rFonts w:ascii="Times New Roman;Times;serif" w:hAnsi="Times New Roman;Times;serif"/>
          <w:sz w:val="20"/>
        </w:rPr>
        <w:t>”</w:t>
      </w:r>
      <w:r>
        <w:rPr>
          <w:rFonts w:ascii="Times New Roman;Times;serif" w:hAnsi="Times New Roman;Times;serif"/>
          <w:sz w:val="24"/>
        </w:rPr>
        <w:t>) to provide the Services (as defined below) to Nu Ride Inc. and certain of its affiliates (collectively, the “</w:t>
      </w:r>
      <w:r>
        <w:rPr>
          <w:rFonts w:ascii="Times New Roman;Times;serif" w:hAnsi="Times New Roman;Times;serif"/>
          <w:b/>
          <w:i/>
          <w:sz w:val="24"/>
        </w:rPr>
        <w:t>Client</w:t>
      </w:r>
      <w:r>
        <w:rPr>
          <w:rFonts w:ascii="Times New Roman;Times;serif" w:hAnsi="Times New Roman;Times;serif"/>
          <w:sz w:val="20"/>
        </w:rPr>
        <w:t>”</w:t>
      </w:r>
      <w:r>
        <w:rPr>
          <w:rFonts w:ascii="Times New Roman;Times;serif" w:hAnsi="Times New Roman;Times;serif"/>
          <w:sz w:val="24"/>
        </w:rPr>
        <w:t>).  M3 and the Client are collectively referred to in this Agreement as the “</w:t>
      </w:r>
      <w:r>
        <w:rPr>
          <w:rFonts w:ascii="Times New Roman;Times;serif" w:hAnsi="Times New Roman;Times;serif"/>
          <w:b/>
          <w:i/>
          <w:sz w:val="24"/>
        </w:rPr>
        <w:t>Parties</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Services</w:t>
      </w:r>
      <w:r>
        <w:rPr>
          <w:rFonts w:ascii="Times New Roman;Times;serif" w:hAnsi="Times New Roman;Times;serif"/>
          <w:sz w:val="24"/>
        </w:rPr>
        <w:t>.  (a)  The Client hereby retains M3 to provide, and M3 hereby agrees to provide, William Gallagher to serve as Chief Executive Officer, President, Treasurer and Secretary of (the “</w:t>
      </w:r>
      <w:r>
        <w:rPr>
          <w:rFonts w:ascii="Times New Roman;Times;serif" w:hAnsi="Times New Roman;Times;serif"/>
          <w:b/>
          <w:i/>
          <w:sz w:val="24"/>
        </w:rPr>
        <w:t>CEO</w:t>
      </w:r>
      <w:r>
        <w:rPr>
          <w:rFonts w:ascii="Times New Roman;Times;serif" w:hAnsi="Times New Roman;Times;serif"/>
          <w:sz w:val="20"/>
        </w:rPr>
        <w:t>”</w:t>
      </w:r>
      <w:r>
        <w:rPr>
          <w:rFonts w:ascii="Times New Roman;Times;serif" w:hAnsi="Times New Roman;Times;serif"/>
          <w:sz w:val="24"/>
        </w:rPr>
        <w:t>) of the Client.  The CEO will be responsible for the day-to-day management of the Client (the “</w:t>
      </w:r>
      <w:r>
        <w:rPr>
          <w:rFonts w:ascii="Times New Roman;Times;serif" w:hAnsi="Times New Roman;Times;serif"/>
          <w:b/>
          <w:i/>
          <w:sz w:val="24"/>
        </w:rPr>
        <w:t>Services</w:t>
      </w:r>
      <w:r>
        <w:rPr>
          <w:rFonts w:ascii="Times New Roman;Times;serif" w:hAnsi="Times New Roman;Times;serif"/>
          <w:sz w:val="20"/>
        </w:rPr>
        <w:t>”</w:t>
      </w:r>
      <w:r>
        <w:rPr>
          <w:rFonts w:ascii="Times New Roman;Times;serif" w:hAnsi="Times New Roman;Times;serif"/>
          <w:sz w:val="24"/>
        </w:rPr>
        <w:t>) upon the terms and subject to the conditions set forth in this Agreement. The CEO shall be assisted by such other M3 personnel, and the CEO and such personnel shall dedicate such time to the Engagement, as the CEO (in consultation with the Board) shall determine to be required to provide the Services in a professional manner and in accordance with the terms of this Agreement.  The CEO shall report to the Board and shall at all times act under the supervision, and at the direction, of the Client’s Board of Directors (the “</w:t>
      </w:r>
      <w:r>
        <w:rPr>
          <w:rFonts w:ascii="Times New Roman;Times;serif" w:hAnsi="Times New Roman;Times;serif"/>
          <w:b/>
          <w:i/>
          <w:sz w:val="24"/>
        </w:rPr>
        <w:t>Board</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0"/>
        <w:ind w:left="0" w:right="0" w:firstLine="1080"/>
        <w:jc w:val="both"/>
        <w:rPr>
          <w:rFonts w:ascii="Times New Roman;Times;serif" w:hAnsi="Times New Roman;Times;serif"/>
          <w:sz w:val="24"/>
        </w:rPr>
      </w:pPr>
      <w:r>
        <w:rPr>
          <w:rFonts w:ascii="Times New Roman;Times;serif" w:hAnsi="Times New Roman;Times;serif"/>
          <w:sz w:val="24"/>
        </w:rPr>
        <w:t>(b)   In performing the Services and otherwise managing the business and affairs of the Client, the CEO is authorized to retain on behalf of the Client such other advisors as are, in the reasonable judgment of the CEO, appropriate for the proper management of the business of the Client, including, without limitation, financial accountants, tax advisors and legal counsel.  The CEO is expressly authorized to rely upon the work product and advice of such other advisors and shall have no liability for any act or omission made in good faith based upon the work product or advice of any such other advisor.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Engagement Term</w:t>
      </w:r>
      <w:r>
        <w:rPr>
          <w:rFonts w:ascii="Times New Roman;Times;serif" w:hAnsi="Times New Roman;Times;serif"/>
          <w:sz w:val="24"/>
        </w:rPr>
        <w:t>.  The Engagement shall commence on the date of acceptance of this Agreement and may be terminated by either Party at any time upon ten business days’ written notice.  Following any such termination, neither Party shall have further liability to the other, except with respect to fees and expenses earned and incurred through the date of termination and any provisions of this Agreement which are expressly stated to survive its termination or expiration.</w:t>
      </w:r>
    </w:p>
    <w:p>
      <w:pPr>
        <w:pStyle w:val="TextBody"/>
        <w:bidi w:val="0"/>
        <w:spacing w:before="0" w:after="0"/>
        <w:ind w:left="0" w:right="0" w:hanging="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M3 ADVISORY PARTNERS, LP • 1700 BROADWAY, 19TH FLOOR, NEW YORK, NY 10019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 (212) 202-2200 • F: (212) 531-4532 • WWW.M3-PARTNERS.COM</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Staffing</w:t>
      </w:r>
      <w:r>
        <w:rPr>
          <w:rFonts w:ascii="Times New Roman;Times;serif" w:hAnsi="Times New Roman;Times;serif"/>
          <w:sz w:val="24"/>
        </w:rPr>
        <w:t>.  (a)  It is anticipated that the team providing the Services initially will be comprised of the CEO and such other professionals as the CEO (in consultation with the Board) shall deem to be appropriate.  It is M3’s intent to deliver the Services in an effective and cost-efficient manner in accordance with the terms of this Agreement.  In the event that the CEO determines that an increase in the size of the team is warranted, then the CEO shall notify the Board of such determination promptly following the making a change in the size of the team.  The members of the M3 team for the Engagement (other than the CEO) are subject to change by the CEO from time to time in his sole discretion.  M3 also may provide Services through independent contractors and, unless the context shall otherwise indicate, references in this Agreement to M3 and its employees or staff.</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Notwithstanding anything to the contrary contained herein and except with respect to coverage under the D&amp;O Insurance described below, neither M3 nor any of its personnel performing the Services hereunder is being retained as, or shall be deemed to be, an agent, employee, or director of the Client, but rather M3 shall be deemed to be an independent contractor for the Client and such personnel shall remain employees of M3.  M3 is being retained by Client only as a consultant and shall have no fiduciary duty to the Client or any of its affiliates.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Compensation for Services</w:t>
      </w:r>
      <w:r>
        <w:rPr>
          <w:rFonts w:ascii="Times New Roman;Times;serif" w:hAnsi="Times New Roman;Times;serif"/>
          <w:sz w:val="24"/>
        </w:rPr>
        <w:t>.  M3’s compensation for services rendered under this Agreement shall be paid by the Client by wire transfer of immediately available funds in accordance with instructions provided from time to time by M3 and will consist of the following:</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u w:val="single"/>
        </w:rPr>
        <w:t>Service Fees</w:t>
      </w:r>
      <w:r>
        <w:rPr>
          <w:rFonts w:ascii="Times New Roman;Times;serif" w:hAnsi="Times New Roman;Times;serif"/>
          <w:sz w:val="24"/>
        </w:rPr>
        <w:t>:  As compensation for providing the Services hereunder, M3 shall be entitled to non-refundable professional fees based on the actual hours incurred by M3 personnel on matters pertinent to the Engagement (the “</w:t>
      </w:r>
      <w:r>
        <w:rPr>
          <w:rFonts w:ascii="Times New Roman;Times;serif" w:hAnsi="Times New Roman;Times;serif"/>
          <w:b/>
          <w:i/>
          <w:sz w:val="24"/>
        </w:rPr>
        <w:t>Service Fees</w:t>
      </w:r>
      <w:r>
        <w:rPr>
          <w:rFonts w:ascii="Times New Roman;Times;serif" w:hAnsi="Times New Roman;Times;serif"/>
          <w:sz w:val="20"/>
        </w:rPr>
        <w:t>”</w:t>
      </w:r>
      <w:r>
        <w:rPr>
          <w:rFonts w:ascii="Times New Roman;Times;serif" w:hAnsi="Times New Roman;Times;serif"/>
          <w:sz w:val="24"/>
        </w:rPr>
        <w:t>).  The Service Fees shall be based upon the following hourly rates:</w:t>
      </w:r>
    </w:p>
    <w:p>
      <w:pPr>
        <w:pStyle w:val="TextBody"/>
        <w:bidi w:val="0"/>
        <w:spacing w:before="0" w:after="0"/>
        <w:ind w:left="0" w:right="0" w:hanging="0"/>
        <w:jc w:val="both"/>
        <w:rPr/>
      </w:pPr>
      <w:r>
        <w:rPr/>
        <w:t>​</w:t>
      </w:r>
    </w:p>
    <w:tbl>
      <w:tblPr>
        <w:tblW w:w="4217" w:type="dxa"/>
        <w:jc w:val="center"/>
        <w:tblInd w:w="0" w:type="dxa"/>
        <w:tblLayout w:type="fixed"/>
        <w:tblCellMar>
          <w:top w:w="28" w:type="dxa"/>
          <w:left w:w="28" w:type="dxa"/>
          <w:bottom w:w="28" w:type="dxa"/>
          <w:right w:w="28" w:type="dxa"/>
        </w:tblCellMar>
      </w:tblPr>
      <w:tblGrid>
        <w:gridCol w:w="2551"/>
        <w:gridCol w:w="1666"/>
      </w:tblGrid>
      <w:tr>
        <w:trPr/>
        <w:tc>
          <w:tcPr>
            <w:tcW w:w="25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Professional</w:t>
            </w:r>
          </w:p>
        </w:tc>
        <w:tc>
          <w:tcPr>
            <w:tcW w:w="16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Hourly Rate</w:t>
            </w:r>
          </w:p>
        </w:tc>
      </w:tr>
      <w:tr>
        <w:trPr/>
        <w:tc>
          <w:tcPr>
            <w:tcW w:w="25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Managing Partner</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Senior Managing Director</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Managing Director</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Senior Director</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Director</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Vice President</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Senior Associate</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Associate</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Analyst</w:t>
            </w:r>
          </w:p>
        </w:tc>
        <w:tc>
          <w:tcPr>
            <w:tcW w:w="16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$1,415</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$1,305</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$1,075 - $1,205</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$1,050</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$880 - $990</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$786</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$680</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$575</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$470</w:t>
            </w:r>
          </w:p>
        </w:tc>
      </w:tr>
    </w:tbl>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4"/>
        </w:rPr>
        <w:t>M3 shall furnish to the Client copies of a reasonably detailed invoice for the Service Fees monthly in respect of unbilled Service Fees accrued prior to such date and the Client shall pay such Service Fees (together with any out-of-pocket expenses that have been invoiced to the Client in accordance with the provisions of clause (ii) below) by wire transfer of immediately available funds within five days after the date of service of the relevant invoice.  From time to time in the normal course of business M3 may adjust its billing rates upon notice to the Client.</w:t>
      </w:r>
    </w:p>
    <w:p>
      <w:pPr>
        <w:pStyle w:val="TextBody"/>
        <w:bidi w:val="0"/>
        <w:spacing w:before="0" w:after="0"/>
        <w:ind w:left="720" w:right="0" w:firstLine="720"/>
        <w:jc w:val="both"/>
        <w:rPr/>
      </w:pPr>
      <w:r>
        <w:rPr/>
        <w:t>​</w:t>
      </w:r>
    </w:p>
    <w:p>
      <w:pPr>
        <w:pStyle w:val="TextBody"/>
        <w:bidi w:val="0"/>
        <w:spacing w:before="0" w:after="160"/>
        <w:ind w:left="0" w:right="0" w:hanging="0"/>
        <w:jc w:val="left"/>
        <w:rPr/>
      </w:pPr>
      <w:r>
        <w:rPr/>
        <w:t>​</w:t>
      </w:r>
    </w:p>
    <w:p>
      <w:pPr>
        <w:pStyle w:val="TextBody"/>
        <w:bidi w:val="0"/>
        <w:spacing w:before="480" w:after="0"/>
        <w:ind w:left="0" w:right="0" w:hanging="0"/>
        <w:jc w:val="left"/>
        <w:rPr/>
      </w:pPr>
      <w:r>
        <w:rPr/>
        <w:drawing>
          <wp:inline distT="0" distB="0" distL="0" distR="0">
            <wp:extent cx="666750" cy="438150"/>
            <wp:effectExtent l="0" t="0" r="0" b="0"/>
            <wp:docPr id="10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 descr=""/>
                    <pic:cNvPicPr>
                      <a:picLocks noChangeAspect="1" noChangeArrowheads="1"/>
                    </pic:cNvPicPr>
                  </pic:nvPicPr>
                  <pic:blipFill>
                    <a:blip r:embed="rId7"/>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3</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u w:val="single"/>
        </w:rPr>
        <w:t>Out-of-Pocket Expenses</w:t>
      </w:r>
      <w:r>
        <w:rPr>
          <w:rFonts w:ascii="Times New Roman;Times;serif" w:hAnsi="Times New Roman;Times;serif"/>
          <w:sz w:val="24"/>
        </w:rPr>
        <w:t>:  In addition to the Service Fees, the Client shall reimburse M3 for all reasonable and documented out-of-pocket expenses incurred in the performance of the Services (including, without limitation, reasonable travel costs).  In addition, the Client shall reimburse M3 promptly upon demand from time to time for all costs and expenses of M3 in enforcing of the obligations of the Client hereunder (including, without limitation, fees and expenses of counsel).  Any request for reimbursement of an out-of-pocket expense in excess of $100 shall be accompanied by reasonable back-up for each expense and as otherwise required by applicable law.</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(b)  Any amounts payable hereunder which are not paid within ten days of the invoice date shall be deemed “past due.”  M3 reserves the right to suspend further Services until payment is received on past due invoices and to exercise all rights and remedies available under applicable law (with the Client being obligated to pay M3’s reasonable attorney fees and other costs of collection and enforcement).  In the event that M3 so suspends the Services, M3 shall not be responsible or liable for any resulting loss, damage or expense due to such suspension.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  Unless expressly stated otherwise in the relevant invoice, none of the amounts invoiced by M3 from time to time with respect to the Engagement shall be contingent upon, or in any way tied to the delivery of, any reports or other work product in the future, nor upon the outcome of any case or matters.  All fees payable to M3 are exclusive of taxes or similar charges, which shall be the sole obligation of the Client (other than any taxes which may be payable on account of M3’s income generally, which shall be the obligation of M3).</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w:t>
      </w:r>
      <w:r>
        <w:rPr>
          <w:rFonts w:ascii="Times New Roman;Times;serif" w:hAnsi="Times New Roman;Times;serif"/>
          <w:sz w:val="24"/>
          <w:u w:val="single"/>
        </w:rPr>
        <w:t>Cooperation from Board and Advisors</w:t>
      </w:r>
      <w:r>
        <w:rPr>
          <w:rFonts w:ascii="Times New Roman;Times;serif" w:hAnsi="Times New Roman;Times;serif"/>
          <w:sz w:val="24"/>
        </w:rPr>
        <w:t>.  In order to properly perform the Services and fulfill its responsibilities on a timely basis, M3 will rely on the timely cooperation of the Board and, if any, the Client’s other professional advisors, including, without limitation, making available to M3 relevant data, information and personnel, performing any tasks or responsibilities assigned to the Board or such advisor, as the case may be, and notifying M3 of any issues or concerns that the Board may have relating to the Services.  The Board will provide M3 with full access to all personnel, books and records of the Client and its subsidiaries, as well as to all advisors and professionals retained by the Client and its Subsidiaries.  The Board understands and acknowledges that M3’s proper delivery of the Services is dependent upon timely decisions and approvals by the Board and the Client’s other advisors. M3 shall have no responsibility or liability for any delays, additional costs or other deficiencies caused by the Board or any of the Client’s other advisors failing to properly fulfill its respective responsibilities under this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w:t>
      </w:r>
      <w:r>
        <w:rPr>
          <w:rFonts w:ascii="Times New Roman;Times;serif" w:hAnsi="Times New Roman;Times;serif"/>
          <w:sz w:val="24"/>
          <w:u w:val="single"/>
        </w:rPr>
        <w:t>Deliverables</w:t>
      </w:r>
      <w:r>
        <w:rPr>
          <w:rFonts w:ascii="Times New Roman;Times;serif" w:hAnsi="Times New Roman;Times;serif"/>
          <w:sz w:val="24"/>
        </w:rPr>
        <w:t>.  (a) In connection with the Engagement, M3 may furnish the Client with information, advice, reports, analyses, presentations or other materials (the "</w:t>
      </w:r>
      <w:r>
        <w:rPr>
          <w:rFonts w:ascii="Times New Roman;Times;serif" w:hAnsi="Times New Roman;Times;serif"/>
          <w:b/>
          <w:i/>
          <w:sz w:val="24"/>
        </w:rPr>
        <w:t>Deliverables</w:t>
      </w:r>
      <w:r>
        <w:rPr>
          <w:rFonts w:ascii="Times New Roman;Times;serif" w:hAnsi="Times New Roman;Times;serif"/>
          <w:sz w:val="24"/>
        </w:rPr>
        <w:t>"). The Deliverables may contain factual data, the interpretation of which may change over the project term as more information or better understanding becomes available.  The Client acknowledges that M3 will have no obligation to update the Deliverables as part of the Services in the event of such a change.</w:t>
      </w:r>
    </w:p>
    <w:p>
      <w:pPr>
        <w:pStyle w:val="TextBody"/>
        <w:bidi w:val="0"/>
        <w:spacing w:before="0" w:after="0"/>
        <w:ind w:left="720" w:right="0" w:hanging="0"/>
        <w:jc w:val="left"/>
        <w:rPr/>
      </w:pPr>
      <w:r>
        <w:rPr/>
        <w:t>​</w:t>
      </w:r>
    </w:p>
    <w:p>
      <w:pPr>
        <w:pStyle w:val="TextBody"/>
        <w:bidi w:val="0"/>
        <w:spacing w:before="0" w:after="0"/>
        <w:ind w:left="0" w:right="0" w:firstLine="1080"/>
        <w:jc w:val="both"/>
        <w:rPr>
          <w:rFonts w:ascii="Times New Roman;Times;serif" w:hAnsi="Times New Roman;Times;serif"/>
          <w:sz w:val="24"/>
        </w:rPr>
      </w:pPr>
      <w:r>
        <w:rPr>
          <w:rFonts w:ascii="Times New Roman;Times;serif" w:hAnsi="Times New Roman;Times;serif"/>
          <w:sz w:val="24"/>
        </w:rPr>
        <w:t>(b)  Any materials prepared by M3 are solely for the confidential use of the Client and its directors, officers and employees and will not be distributed, reproduced, summarized, referred to, disclosed publicly or given to any other person without the prior written consent of M3,</w:t>
      </w:r>
    </w:p>
    <w:p>
      <w:pPr>
        <w:pStyle w:val="TextBody"/>
        <w:bidi w:val="0"/>
        <w:spacing w:before="0" w:after="160"/>
        <w:ind w:left="0" w:right="0" w:hanging="0"/>
        <w:jc w:val="left"/>
        <w:rPr/>
      </w:pPr>
      <w:r>
        <w:rPr/>
        <w:t>​</w:t>
      </w:r>
    </w:p>
    <w:p>
      <w:pPr>
        <w:pStyle w:val="TextBody"/>
        <w:bidi w:val="0"/>
        <w:spacing w:before="480" w:after="0"/>
        <w:ind w:left="0" w:right="0" w:hanging="0"/>
        <w:jc w:val="left"/>
        <w:rPr/>
      </w:pPr>
      <w:r>
        <w:rPr/>
        <w:drawing>
          <wp:inline distT="0" distB="0" distL="0" distR="0">
            <wp:extent cx="666750" cy="438150"/>
            <wp:effectExtent l="0" t="0" r="0" b="0"/>
            <wp:docPr id="10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 descr=""/>
                    <pic:cNvPicPr>
                      <a:picLocks noChangeAspect="1" noChangeArrowheads="1"/>
                    </pic:cNvPicPr>
                  </pic:nvPicPr>
                  <pic:blipFill>
                    <a:blip r:embed="rId8"/>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4"/>
        </w:rPr>
        <w:t>provided</w:t>
      </w:r>
      <w:r>
        <w:rPr>
          <w:rFonts w:ascii="Times New Roman;Times;serif" w:hAnsi="Times New Roman;Times;serif"/>
          <w:sz w:val="20"/>
        </w:rPr>
        <w:t xml:space="preserve"> </w:t>
      </w:r>
      <w:r>
        <w:rPr>
          <w:rFonts w:ascii="Times New Roman;Times;serif" w:hAnsi="Times New Roman;Times;serif"/>
          <w:sz w:val="24"/>
        </w:rPr>
        <w:t>that such permission shall not be required if the materials are required to be disclosed by applicable law or by order or act of any court or governmental or regulatory authority or body.</w:t>
      </w:r>
    </w:p>
    <w:p>
      <w:pPr>
        <w:pStyle w:val="TextBody"/>
        <w:bidi w:val="0"/>
        <w:spacing w:before="0" w:after="0"/>
        <w:ind w:left="0" w:right="0" w:hanging="0"/>
        <w:jc w:val="both"/>
        <w:rPr/>
      </w:pPr>
      <w:r>
        <w:rPr/>
        <w:t>​</w:t>
      </w:r>
    </w:p>
    <w:p>
      <w:pPr>
        <w:pStyle w:val="TextBody"/>
        <w:bidi w:val="0"/>
        <w:spacing w:before="0" w:after="0"/>
        <w:ind w:left="0" w:right="0" w:firstLine="1080"/>
        <w:jc w:val="both"/>
        <w:rPr>
          <w:rFonts w:ascii="Times New Roman;Times;serif" w:hAnsi="Times New Roman;Times;serif"/>
          <w:sz w:val="24"/>
        </w:rPr>
      </w:pPr>
      <w:r>
        <w:rPr>
          <w:rFonts w:ascii="Times New Roman;Times;serif" w:hAnsi="Times New Roman;Times;serif"/>
          <w:sz w:val="24"/>
        </w:rPr>
        <w:t>(c)  The provisions of this Section shall survive the termination or expiration of this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w:t>
      </w:r>
      <w:r>
        <w:rPr>
          <w:rFonts w:ascii="Times New Roman;Times;serif" w:hAnsi="Times New Roman;Times;serif"/>
          <w:sz w:val="24"/>
          <w:u w:val="single"/>
        </w:rPr>
        <w:t>Limitations on Services</w:t>
      </w:r>
      <w:r>
        <w:rPr>
          <w:rFonts w:ascii="Times New Roman;Times;serif" w:hAnsi="Times New Roman;Times;serif"/>
          <w:sz w:val="24"/>
        </w:rPr>
        <w:t>.  (a)  The Services are limited to those specifically noted in this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Although the CEO will provide support to other advisors retained by the Client in preparing financial statements, SEC compliance filings and tax returns and may sign certifications on behalf of the Client to the SEC in connection with those compliance filings and tax returns filed by the Client, M3 does not provide accounting or tax-related advice and no Deliverable or other information or advice provided to the Client shall be deemed to be accounting or tax-related advice.  The Board of Directors shall be solely responsible for determining the accounting and tax-related implications of the Deliverables and other information and advice provided to it by M3.  M3 shall not express any professional opinions on financial statements or perform attest procedures with respect to other information in conjunction with the Engagement.  The Services are not designed, nor should they be relied upon, to disclose weaknesses in internal controls, financial statement errors, irregularities or illegal acts.  M3 shall assume the accuracy and completeness of all information submitted by or on behalf of the Client (including, without limitation, from its accounting firm) to M3 for analysis and which will form the basis of M3’s conclusions, without any obligation of M3 to verify the accuracy or completeness of such information, and M3 shall not be responsible for any analysis, advice or other Services to the extent based on inaccurate or incomplete information provided or accepted by or on behalf of the Client.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Services shall not include preparing, auditing or otherwise attesting in any way (including without limitation, with respect to the accuracy, achievability, reliability, relevance, usefulness or other appropriateness) to the Client’s financial projections, and the Client has not engaged M3 for that purpose.  The Services are provided based upon the understanding that the Board has sole responsibility for the Client’s financial projections (including preparation thereof), developing underlying assumptions and providing any disclosure related thereto.  To the extent that, during the performance of Services hereunder, M3 is required to consider the Client’s financial projections, the Client understands that M3’s procedures with respect to such projections do not constitute an examination in accordance with procedures established by the American Institute of Certified Public Accountants and do not and are not intended to provide any assurance on any aspect of such projections, including, without limitation, the reasonableness of the assumptions underlying such projections, nor do they provide assurance that M3 might not become aware of significant matters affecting the reasonableness of the projections that might be disclosed by more extensive procedures.  There will usually be differences between projected and actual results, and those differences may be material.  The Client understands and agrees that M3 will have no responsibility or liability relating to any such differences.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M3 does not provide investment advice and the Services shall not include the provision of investment advice.  The Board shall have sole responsibility for all investment decisions made by the Client.  Although M3 may from time to time suggest or recommend options that may be</w:t>
      </w:r>
    </w:p>
    <w:p>
      <w:pPr>
        <w:pStyle w:val="TextBody"/>
        <w:bidi w:val="0"/>
        <w:spacing w:before="0" w:after="160"/>
        <w:ind w:left="0" w:right="0" w:hanging="0"/>
        <w:jc w:val="left"/>
        <w:rPr/>
      </w:pPr>
      <w:r>
        <w:rPr/>
        <w:t>​</w:t>
      </w:r>
    </w:p>
    <w:p>
      <w:pPr>
        <w:pStyle w:val="TextBody"/>
        <w:bidi w:val="0"/>
        <w:spacing w:before="480" w:after="0"/>
        <w:ind w:left="0" w:right="0" w:hanging="0"/>
        <w:jc w:val="left"/>
        <w:rPr/>
      </w:pPr>
      <w:r>
        <w:rPr/>
        <w:drawing>
          <wp:inline distT="0" distB="0" distL="0" distR="0">
            <wp:extent cx="666750" cy="438150"/>
            <wp:effectExtent l="0" t="0" r="0" b="0"/>
            <wp:docPr id="10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 descr=""/>
                    <pic:cNvPicPr>
                      <a:picLocks noChangeAspect="1" noChangeArrowheads="1"/>
                    </pic:cNvPicPr>
                  </pic:nvPicPr>
                  <pic:blipFill>
                    <a:blip r:embed="rId9"/>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5</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available to the Client, the ultimate decision with respect to such options rests with the Board and the Board shall be solely responsible for such decision and its outcome.  M3 makes no representation, promise or guarantee with respect to the outcome of any matter affecting the Client.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To the extent that the performance of the Services requires that M3 form conclusions or reach opinions, M3 shall do so without regard to or consideration of the impact that such conclusions or opinions may have on the initiation or outcome of any litigation to which the Client is or may become a party.</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The Client shall be solely responsible for the work and fees of any third parties engaged by the Client to provide services in connection with the Engagement, regardless of whether such third party was recommended to the Client by M3 or M3 is involved with the services provided by it.  M3 shall not be responsible for providing or reviewing the advice or services of any such third party, including advice as to legal, regulatory, accounting or taxation matters.</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The</w:t>
      </w:r>
      <w:r>
        <w:rPr>
          <w:rFonts w:ascii="Times New Roman;Times;serif" w:hAnsi="Times New Roman;Times;serif"/>
          <w:sz w:val="20"/>
        </w:rPr>
        <w:t xml:space="preserve"> </w:t>
      </w:r>
      <w:r>
        <w:rPr>
          <w:rFonts w:ascii="Times New Roman;Times;serif" w:hAnsi="Times New Roman;Times;serif"/>
          <w:sz w:val="24"/>
        </w:rPr>
        <w:t>provisions of this Section shall survive the termination or expiration of this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w:t>
      </w:r>
      <w:r>
        <w:rPr>
          <w:rFonts w:ascii="Times New Roman;Times;serif" w:hAnsi="Times New Roman;Times;serif"/>
          <w:sz w:val="24"/>
          <w:u w:val="single"/>
        </w:rPr>
        <w:t>Conflicts</w:t>
      </w:r>
      <w:r>
        <w:rPr>
          <w:rFonts w:ascii="Times New Roman;Times;serif" w:hAnsi="Times New Roman;Times;serif"/>
          <w:sz w:val="24"/>
        </w:rPr>
        <w:t>.  M3 has performed an internal search for any potential conflicts of interest based on its understanding of the various parties involved in this matter, and such search has not revealed any relationships that it believes would conflict with its engagement hereunder.  Should any potential conflict pertaining to M3’s engagement hereunder come to the attention of any Party, such Party shall promptly advise the others.  Nothing contained herein should be construed to be a waiver of any potential conflict pertaining to M3 that may come to the attention of any Party.  Notwithstanding the provisions of Section 2 of this Agreement, M3 reserves the right to immediately terminate this Engagement at any time, if a conflict of interest arises or becomes known to it that, in its judgment, would impair its ability to perform the Services objectively.</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w:t>
      </w:r>
      <w:r>
        <w:rPr>
          <w:rFonts w:ascii="Times New Roman;Times;serif" w:hAnsi="Times New Roman;Times;serif"/>
          <w:sz w:val="24"/>
          <w:u w:val="single"/>
        </w:rPr>
        <w:t>Non-Solicitation</w:t>
      </w:r>
      <w:r>
        <w:rPr>
          <w:rFonts w:ascii="Times New Roman;Times;serif" w:hAnsi="Times New Roman;Times;serif"/>
          <w:sz w:val="24"/>
        </w:rPr>
        <w:t>.  The Client covenants and agrees that, prior to the first anniversary of the termination or expiration of this Agreement, it will not, directly or indirectly, hire directly or as an independent contractor, or refer to another for employment, any person who was during the term of this Agreement an employee or contractor of M3 or any of its affiliated entities who was involved on behalf of M3 with the Engagement or the performance of the Services. In the event of the breach of the foregoing covenant, the Client shall be liable to M3, and shall pay on demand to M3, liquidated damages equal to 200% of the total annual compensation of each relevant employee for the preceding calendar year (and, in the event that any such employee was not employed for the full year, the amount equal to 200% of his or her annualized compensation).  The Parties mutually agree that the actual damages that would be sustained by M3 as the result of any such breach will be substantial and will be impossible to measure accurately, and that the foregoing liquidated damage amount is fair and reasonable.  The provisions of this Section shall survive the termination or expiration of this Agreement.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10.</w:t>
      </w:r>
      <w:r>
        <w:rPr>
          <w:rFonts w:ascii="Times New Roman;Times;serif" w:hAnsi="Times New Roman;Times;serif"/>
          <w:sz w:val="24"/>
          <w:u w:val="single"/>
        </w:rPr>
        <w:t>Confidentiality</w:t>
      </w:r>
      <w:r>
        <w:rPr>
          <w:rFonts w:ascii="Times New Roman;Times;serif" w:hAnsi="Times New Roman;Times;serif"/>
          <w:sz w:val="24"/>
        </w:rPr>
        <w:t>.  (a)  Each Party shall use reasonable efforts, but in no event less effort than it would use to protect its own confidential information, to keep confidential all non</w:t>
        <w:softHyphen/>
        <w:t>public confidential or proprietary information obtained from the other Party in the scope of the Engagement (the "</w:t>
      </w:r>
      <w:r>
        <w:rPr>
          <w:rFonts w:ascii="Times New Roman;Times;serif" w:hAnsi="Times New Roman;Times;serif"/>
          <w:b/>
          <w:i/>
          <w:sz w:val="24"/>
        </w:rPr>
        <w:t>Confidential Information</w:t>
      </w:r>
      <w:r>
        <w:rPr>
          <w:rFonts w:ascii="Times New Roman;Times;serif" w:hAnsi="Times New Roman;Times;serif"/>
          <w:sz w:val="24"/>
        </w:rPr>
        <w:t>"), and neither Party will disclose any Confidential</w:t>
      </w:r>
    </w:p>
    <w:p>
      <w:pPr>
        <w:pStyle w:val="TextBody"/>
        <w:bidi w:val="0"/>
        <w:spacing w:before="0" w:after="160"/>
        <w:ind w:left="0" w:right="0" w:hanging="0"/>
        <w:jc w:val="left"/>
        <w:rPr/>
      </w:pPr>
      <w:r>
        <w:rPr/>
        <w:t>​</w:t>
      </w:r>
    </w:p>
    <w:p>
      <w:pPr>
        <w:pStyle w:val="TextBody"/>
        <w:bidi w:val="0"/>
        <w:spacing w:before="480" w:after="0"/>
        <w:ind w:left="0" w:right="0" w:hanging="0"/>
        <w:jc w:val="left"/>
        <w:rPr/>
      </w:pPr>
      <w:r>
        <w:rPr/>
        <w:drawing>
          <wp:inline distT="0" distB="0" distL="0" distR="0">
            <wp:extent cx="666750" cy="438150"/>
            <wp:effectExtent l="0" t="0" r="0" b="0"/>
            <wp:docPr id="10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 descr=""/>
                    <pic:cNvPicPr>
                      <a:picLocks noChangeAspect="1" noChangeArrowheads="1"/>
                    </pic:cNvPicPr>
                  </pic:nvPicPr>
                  <pic:blipFill>
                    <a:blip r:embed="rId10"/>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6</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Information of the other Party to any other person or entity.  For the avoidance of doubt, the term "Confidential Information" shall include (i) the terms of this Agreement, (ii) all non-public confidential and proprietary data, plans, reports, schedules, drawings, accounts, records, calculations, specifications, flow sheets, computer programs, source or object codes, results and models and (iii) any work product relating to the business of either Party, its subsidiaries, distributors, affiliates, vendors, customers, employees, contractors and consultants.  Notwithstanding the foregoing, the term “Confidential Information” shall not include information that (x) is or becomes publicly available other than as a result of disclosure by the receiving Party in violation of this Agreement, (y) was already known to the receiving Party or (z) was independently acquired or developed by the receiving Party from a source not known by it to be bound by a confidentiality requirement with respect to such information.  In performing the Services, M3 will use and rely primarily on the Confidential Information and on information available from public sources without having independently verified any of such information.</w:t>
      </w:r>
    </w:p>
    <w:p>
      <w:pPr>
        <w:pStyle w:val="TextBody"/>
        <w:bidi w:val="0"/>
        <w:spacing w:before="0" w:after="0"/>
        <w:ind w:left="108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0"/>
        </w:rPr>
        <w:t xml:space="preserve"> </w:t>
      </w:r>
      <w:r>
        <w:rPr>
          <w:rFonts w:ascii="Times New Roman;Times;serif" w:hAnsi="Times New Roman;Times;serif"/>
          <w:sz w:val="24"/>
        </w:rPr>
        <w:t>The foregoing is not intended to prohibit, nor shall it be construed as prohibiting, M3 from making such disclosures of Confidential Information that M3 reasonably believes are required by law or any regulatory requirement or authority, or to clear client conflicts.  M3 also may disclose Confidential Information to its partners, directors, officers, employees, independent contractors, agents and advisors who have a need to know the Confidential Information for the proper performance of the Services or otherwise in connection with the Engagement.  M3 may make reasonable disclosures of Confidential Information to third parties to the extent that M3 reasonably believes that such disclosure is consistent with its performance of the Services.  In addition, M3 will have the right to disclose to any person that it provided services to the Client or its affiliates and a general description of such services, but such disclosure shall not provide any other Confidential Information about M3’s involvement with the Client.</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provisions of this Section shall survive for a period of two years following the termination or expiration of this Agreement and shall supersede any separate confidentiality or analogous agreement between M3</w:t>
      </w:r>
      <w:r>
        <w:rPr>
          <w:rFonts w:ascii="Times New Roman;Times;serif" w:hAnsi="Times New Roman;Times;serif"/>
          <w:sz w:val="20"/>
        </w:rPr>
        <w:t xml:space="preserve"> </w:t>
      </w:r>
      <w:r>
        <w:rPr>
          <w:rFonts w:ascii="Times New Roman;Times;serif" w:hAnsi="Times New Roman;Times;serif"/>
          <w:sz w:val="24"/>
        </w:rPr>
        <w:t>and the Client.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11.</w:t>
      </w:r>
      <w:r>
        <w:rPr>
          <w:rFonts w:ascii="Times New Roman;Times;serif" w:hAnsi="Times New Roman;Times;serif"/>
          <w:sz w:val="24"/>
          <w:u w:val="single"/>
        </w:rPr>
        <w:t>Intellectual Property</w:t>
      </w:r>
      <w:r>
        <w:rPr>
          <w:rFonts w:ascii="Times New Roman;Times;serif" w:hAnsi="Times New Roman;Times;serif"/>
          <w:sz w:val="24"/>
        </w:rPr>
        <w:t xml:space="preserve">.  Upon payment in full of all amounts owing to M3 hereunder, the Client will own all Deliverables furnished by M3 to the Client in connection with the Services, </w:t>
      </w:r>
      <w:r>
        <w:rPr>
          <w:rFonts w:ascii="Times New Roman;Times;serif" w:hAnsi="Times New Roman;Times;serif"/>
          <w:i/>
          <w:sz w:val="24"/>
        </w:rPr>
        <w:t>provided</w:t>
      </w:r>
      <w:r>
        <w:rPr>
          <w:rFonts w:ascii="Times New Roman;Times;serif" w:hAnsi="Times New Roman;Times;serif"/>
          <w:sz w:val="20"/>
        </w:rPr>
        <w:t xml:space="preserve"> </w:t>
      </w:r>
      <w:r>
        <w:rPr>
          <w:rFonts w:ascii="Times New Roman;Times;serif" w:hAnsi="Times New Roman;Times;serif"/>
          <w:sz w:val="24"/>
        </w:rPr>
        <w:t>that M3 will retain ownership of (a) all concepts, analyses, know-how, tools, frameworks, models and industry perspectives used and/or developed by M3 in connection with the Services and (b) all other intellectual property not containing Confidential Information which has been developed by M3 outside of the provision of the Services (the “</w:t>
      </w:r>
      <w:r>
        <w:rPr>
          <w:rFonts w:ascii="Times New Roman;Times;serif" w:hAnsi="Times New Roman;Times;serif"/>
          <w:b/>
          <w:i/>
          <w:sz w:val="24"/>
        </w:rPr>
        <w:t>M3 Tools</w:t>
      </w:r>
      <w:r>
        <w:rPr>
          <w:rFonts w:ascii="Times New Roman;Times;serif" w:hAnsi="Times New Roman;Times;serif"/>
          <w:sz w:val="20"/>
        </w:rPr>
        <w:t>”</w:t>
      </w:r>
      <w:r>
        <w:rPr>
          <w:rFonts w:ascii="Times New Roman;Times;serif" w:hAnsi="Times New Roman;Times;serif"/>
          <w:sz w:val="24"/>
        </w:rPr>
        <w:t>), it being understood that M3 will have no ownership right to, and will maintain in accordance with the provisions of this Agreement the confidentiality of, any Confidential Information contained in the M3 Tools.  To the extent that the Deliverables include any M3 Tools, M3 hereby grants the Client a non-exclusive, non-transferable, non-sublicensable worldwide, royalty-free license to use and copy the M3 Tools solely as part of the Deliverables and subject to the confidentiality provisions contained in this Agreement.  The Client acknowledges and agrees that the M3 Tools are provided to the Client on an “as is” basis and without any warranty or condition of any kind (whether express, implied or otherwise), and including without limitation any implied warranty of merchantability or fitness for a particular purpose.  The provisions of this Section shall survive the termination or expiration of this Agreement.</w:t>
      </w:r>
    </w:p>
    <w:p>
      <w:pPr>
        <w:pStyle w:val="TextBody"/>
        <w:bidi w:val="0"/>
        <w:spacing w:before="0" w:after="0"/>
        <w:ind w:left="72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left"/>
        <w:rPr/>
      </w:pPr>
      <w:r>
        <w:rPr/>
        <w:drawing>
          <wp:inline distT="0" distB="0" distL="0" distR="0">
            <wp:extent cx="666750" cy="438150"/>
            <wp:effectExtent l="0" t="0" r="0" b="0"/>
            <wp:docPr id="10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 descr=""/>
                    <pic:cNvPicPr>
                      <a:picLocks noChangeAspect="1" noChangeArrowheads="1"/>
                    </pic:cNvPicPr>
                  </pic:nvPicPr>
                  <pic:blipFill>
                    <a:blip r:embed="rId11"/>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7</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12.</w:t>
      </w:r>
      <w:r>
        <w:rPr>
          <w:rFonts w:ascii="Times New Roman;Times;serif" w:hAnsi="Times New Roman;Times;serif"/>
          <w:sz w:val="24"/>
          <w:u w:val="single"/>
        </w:rPr>
        <w:t>Indemnification</w:t>
      </w:r>
      <w:r>
        <w:rPr>
          <w:rFonts w:ascii="Times New Roman;Times;serif" w:hAnsi="Times New Roman;Times;serif"/>
          <w:sz w:val="24"/>
        </w:rPr>
        <w:t>.  (a)  The Client hereby irrevocably agrees to indemnify and hold harmless the Indemnitees (as defined in Annex I to this Agreement) in accordance with the provisions of Annex I hereto, with such Annex I being incorporated herein by reference and constituting an integral and enforceable part of this Agreement.  The indemnity and expense reimbursement obligations set forth herein (including, without limitation, in Annex I) shall (i) be in addition to any liability the Client may have to M3 at common law or otherwise, (ii) survive the termination or expiration of this Agreement and (iii) be binding on any successors and assigns of the Client.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(b)  In addition to (and not in limitation of) the provisions of Section 13(a) and Annex I, the CEO and any other M3 employees who may from time to time serve as directors or officers of the Client or any of its affiliates will receive the benefit of the most favorable indemnification provisions provided by the Client to its directors, officers and any equivalently placed employees, whether under the Client’s charter or by-laws, by contract or otherwise.  Additionally, the Client shall specifically include and cover the CEO and any M3 employees, contractors and agents who may from time to time serve as directors or officers of the Client or any of its affiliates (including, without limitation, any employee, contractor or agent of M3 who may serve as an Assistant Secretary of the Client) with direct coverage under the Client’s policy for liability insurance covering its directors, officers and any equivalently placed employees (the "</w:t>
      </w:r>
      <w:r>
        <w:rPr>
          <w:rFonts w:ascii="Times New Roman;Times;serif" w:hAnsi="Times New Roman;Times;serif"/>
          <w:b/>
          <w:i/>
          <w:sz w:val="24"/>
        </w:rPr>
        <w:t>D&amp;O Insurance</w:t>
      </w:r>
      <w:r>
        <w:rPr>
          <w:rFonts w:ascii="Times New Roman;Times;serif" w:hAnsi="Times New Roman;Times;serif"/>
          <w:sz w:val="24"/>
        </w:rPr>
        <w:t>").  Upon request of M3, the Client shall provide M3 with a copy of the policy documentation for its then-current D&amp;O Insurance, a certificate of insurance evidencing that the policy is in full force and effect, and a copy of the signed board resolutions and any other documents as M3 may reasonably request evidencing the appointment and coverage of the indemnitees. The Client will maintain such D&amp;O Insurance coverage for the period through which claims can be made against such persons. The Client disclaims a right to distribution from the D&amp;O Insurance coverage with respect to such persons.  In the event that the Client is unable to include the CEO or any other such M3 employee or agent under the Client’s D&amp;O Insurance coverage or does not have first dollar coverage reasonably acceptable to M3 in effect for at least $10 million (e.g., there are outstanding or threatened claims against officers and directors alleging prior acts that may give rise to a claim), then M3 may, at its option, attempt to purchase a separate D&amp;O insurance policy that will cover the CEO and any such other M3 employees, contractors and agents only.  The cost of such separate policy shall be invoiced to the Client as an out-of-pocket expense.  If M3 is unable or unwilling to purchase such separate D&amp;O insurance policy, then M3 reserves the right to immediately terminate the Agreement.</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The Client’s indemnification obligations in this Section shall be primary to, and without allocation against, any similar indemnification obligations that M3 may offer to its personnel generally, and the Client’s D&amp;O Insurance coverage for the indemnitees shall be specifically primary to, and without allocation against, any other valid and collectible insurance coverage that may apply to the indemnitees (whether provided by M3 or otherwise).</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rPr>
        <w:t>Notwithstanding anything to the contrary contained in this Section 13, the indemnity owing from the Client to the Indemnitees shall not exceed the terms of any indemnities provided to the Client’s other officers and directors under the corporate bylaws and applicable state law, plus any insurance coverage under the Client’s D&amp;O Insurance.</w:t>
      </w:r>
    </w:p>
    <w:p>
      <w:pPr>
        <w:pStyle w:val="TextBody"/>
        <w:bidi w:val="0"/>
        <w:spacing w:before="0" w:after="160"/>
        <w:ind w:left="0" w:right="0" w:hanging="0"/>
        <w:jc w:val="left"/>
        <w:rPr/>
      </w:pPr>
      <w:r>
        <w:rPr/>
        <w:t>​</w:t>
      </w:r>
    </w:p>
    <w:p>
      <w:pPr>
        <w:pStyle w:val="TextBody"/>
        <w:bidi w:val="0"/>
        <w:spacing w:before="480" w:after="0"/>
        <w:ind w:left="0" w:right="0" w:hanging="0"/>
        <w:jc w:val="left"/>
        <w:rPr/>
      </w:pPr>
      <w:r>
        <w:rPr/>
        <w:drawing>
          <wp:inline distT="0" distB="0" distL="0" distR="0">
            <wp:extent cx="666750" cy="438150"/>
            <wp:effectExtent l="0" t="0" r="0" b="0"/>
            <wp:docPr id="10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 descr=""/>
                    <pic:cNvPicPr>
                      <a:picLocks noChangeAspect="1" noChangeArrowheads="1"/>
                    </pic:cNvPicPr>
                  </pic:nvPicPr>
                  <pic:blipFill>
                    <a:blip r:embed="rId12"/>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(f)</w:t>
      </w:r>
      <w:r>
        <w:rPr>
          <w:rFonts w:ascii="Times New Roman;Times;serif" w:hAnsi="Times New Roman;Times;serif"/>
          <w:sz w:val="24"/>
        </w:rPr>
        <w:t>The provisions of this Section (including, without limitation, the provisions of Annex I) shall survive the termination or expiration of this Agreement.</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13.</w:t>
      </w:r>
      <w:r>
        <w:rPr>
          <w:rFonts w:ascii="Times New Roman;Times;serif" w:hAnsi="Times New Roman;Times;serif"/>
          <w:sz w:val="24"/>
          <w:u w:val="single"/>
        </w:rPr>
        <w:t>Limitation on Damages</w:t>
      </w:r>
      <w:r>
        <w:rPr>
          <w:rFonts w:ascii="Times New Roman;Times;serif" w:hAnsi="Times New Roman;Times;serif"/>
          <w:sz w:val="24"/>
        </w:rPr>
        <w:t>.  Except, in all cases, for intentional misconduct, criminal activity, gross negligence or fraud, in no event shall M3 or any other Indemnitee be liable to the Client or its affiliates, successors, or any person claiming on behalf of or in the right of the Client (including the Client’s owners, parents, affiliates, successors, directors, officers, employees, agents, security holders, or creditors) for (i) any amount which, when taken together with all losses for which M3 and all Indemnitees are liable in connection with this Agreement or the Engagement, would exceed the amount of fees for the Services actually received by M3 from the Client in connection with the Engagement during the immediately preceding 12 months or (ii) any special, consequential, incidental or exemplary damages or loss (or any lost profits, savings or business opportunity) (the amounts described in clauses (i) and (ii) collectively, the “</w:t>
      </w:r>
      <w:r>
        <w:rPr>
          <w:rFonts w:ascii="Times New Roman;Times;serif" w:hAnsi="Times New Roman;Times;serif"/>
          <w:b/>
          <w:i/>
          <w:sz w:val="24"/>
        </w:rPr>
        <w:t>Liability Cap</w:t>
      </w:r>
      <w:r>
        <w:rPr>
          <w:rFonts w:ascii="Times New Roman;Times;serif" w:hAnsi="Times New Roman;Times;serif"/>
          <w:sz w:val="20"/>
        </w:rPr>
        <w:t>”</w:t>
      </w:r>
      <w:r>
        <w:rPr>
          <w:rFonts w:ascii="Times New Roman;Times;serif" w:hAnsi="Times New Roman;Times;serif"/>
          <w:sz w:val="24"/>
        </w:rPr>
        <w:t>). This paragraph shall apply regardless of the nature of any claim(s) (including claims based on contract, statute, negligence, tort, strict liability or otherwise), regardless of any failure of the essential purpose of any remedy and whether or not M3</w:t>
      </w:r>
      <w:r>
        <w:rPr>
          <w:rFonts w:ascii="Times New Roman;Times;serif" w:hAnsi="Times New Roman;Times;serif"/>
          <w:sz w:val="20"/>
        </w:rPr>
        <w:t xml:space="preserve"> </w:t>
      </w:r>
      <w:r>
        <w:rPr>
          <w:rFonts w:ascii="Times New Roman;Times;serif" w:hAnsi="Times New Roman;Times;serif"/>
          <w:sz w:val="24"/>
        </w:rPr>
        <w:t>was advised of the possibility of the damage or loss asserted, but shall not apply to the extent finally determined by final and non-appealable judgment of a court of competent jurisdiction to be prohibited by applicable law.  For the avoidance of doubt, the Parties hereby irrevocably agree that, in the absence of intentional misconduct, criminal activity, gross negligence or fraud, the Liability Cap is intended to be the total limit of liability for M3 and all other Indemnitees in the aggregate for any and all claims or demand by anyone in connection with this Agreement, the Services and the Engagement, including without limitation any liability to the Client and to any others making claims relating to the Services and the Engagement.  Any such claimants shall allocate among themselves any amounts payable by M3, but the failure of the claimants to reach such an agreement shall not affect the enforceability of the Liability Cap.  Under no circumstances shall the collective liability of M3 and the other Indemnitee in connection with this Agreement exceed the Liability Cap.  The provisions of this Section shall survive the termination or expiration of this Agreement.</w:t>
      </w:r>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14.</w:t>
      </w:r>
      <w:r>
        <w:rPr>
          <w:rFonts w:ascii="Times New Roman;Times;serif" w:hAnsi="Times New Roman;Times;serif"/>
          <w:sz w:val="24"/>
          <w:u w:val="single"/>
        </w:rPr>
        <w:t>Client Acknowledgement</w:t>
      </w:r>
      <w:r>
        <w:rPr>
          <w:rFonts w:ascii="Times New Roman;Times;serif" w:hAnsi="Times New Roman;Times;serif"/>
          <w:sz w:val="24"/>
        </w:rPr>
        <w:t>.  The Client hereby acknowledges and agrees that M3 may, in the ordinary course of its business, serve clients who are competitive with, or have conflicting interests with, the Client.  Consistent with its confidentiality obligations hereunder and its confidentiality obligations to its other clients, M3 will not advise or consult to the Client with respect to any aspect of M3’s engagement or potential engagement with any other client, potential client or former client.  Similarly, M3 will not advise or consult to any other client, potential client or former client with respect to any aspect of the Engagement.  M3 will maintain the confidentiality of the Confidential Information in accordance with the terms of this Agreement and, similarly, will not share confidential information of any client, potential client or former client of M3 with the Client.  The provisions of this Section shall survive the termination or expiration of this Agreement.</w:t>
      </w:r>
    </w:p>
    <w:p>
      <w:pPr>
        <w:pStyle w:val="TextBody"/>
        <w:bidi w:val="0"/>
        <w:spacing w:before="0" w:after="160"/>
        <w:ind w:left="72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15.</w:t>
      </w:r>
      <w:r>
        <w:rPr>
          <w:rFonts w:ascii="Times New Roman;Times;serif" w:hAnsi="Times New Roman;Times;serif"/>
          <w:sz w:val="24"/>
          <w:u w:val="single"/>
        </w:rPr>
        <w:t>Miscellaneous</w:t>
      </w:r>
      <w:r>
        <w:rPr>
          <w:rFonts w:ascii="Times New Roman;Times;serif" w:hAnsi="Times New Roman;Times;serif"/>
          <w:sz w:val="24"/>
        </w:rPr>
        <w:t>.  (a)  This Agreement (i) constitutes the entire agreement of the Parties with respect to the subject matter hereof and supersedes any other communications, understandings or agreements (both written and oral) among the Parties with respect to the subject matter hereof,</w:t>
      </w:r>
    </w:p>
    <w:p>
      <w:pPr>
        <w:pStyle w:val="TextBody"/>
        <w:bidi w:val="0"/>
        <w:spacing w:before="0" w:after="160"/>
        <w:ind w:left="0" w:right="0" w:hanging="0"/>
        <w:jc w:val="left"/>
        <w:rPr/>
      </w:pPr>
      <w:r>
        <w:rPr/>
        <w:t>​</w:t>
      </w:r>
    </w:p>
    <w:p>
      <w:pPr>
        <w:pStyle w:val="TextBody"/>
        <w:bidi w:val="0"/>
        <w:spacing w:before="480" w:after="0"/>
        <w:ind w:left="0" w:right="0" w:hanging="0"/>
        <w:jc w:val="left"/>
        <w:rPr/>
      </w:pPr>
      <w:r>
        <w:rPr/>
        <w:drawing>
          <wp:inline distT="0" distB="0" distL="0" distR="0">
            <wp:extent cx="666750" cy="438150"/>
            <wp:effectExtent l="0" t="0" r="0" b="0"/>
            <wp:docPr id="10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 descr=""/>
                    <pic:cNvPicPr>
                      <a:picLocks noChangeAspect="1" noChangeArrowheads="1"/>
                    </pic:cNvPicPr>
                  </pic:nvPicPr>
                  <pic:blipFill>
                    <a:blip r:embed="rId13"/>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9</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and (ii) may be modified, amended or supplemented only by prior written agreement of each of the Parties.</w:t>
      </w:r>
    </w:p>
    <w:p>
      <w:pPr>
        <w:pStyle w:val="TextBody"/>
        <w:bidi w:val="0"/>
        <w:spacing w:before="0" w:after="0"/>
        <w:ind w:left="72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 xml:space="preserve">(b)  The invalidity, illegality, or unenforceability of any provision in or obligation under this Agreement in any jurisdiction shall not affect or impair the validity, legality, or enforceability of the remaining provisions or obligations under this Agreement or of such provision or obligation in any other jurisdiction.  If feasible, any such offending provision shall be deemed modified to be within the limits of enforceability or validity; </w:t>
      </w:r>
      <w:r>
        <w:rPr>
          <w:rFonts w:ascii="Times New Roman;Times;serif" w:hAnsi="Times New Roman;Times;serif"/>
          <w:i/>
          <w:sz w:val="24"/>
        </w:rPr>
        <w:t>provided</w:t>
      </w:r>
      <w:r>
        <w:rPr>
          <w:rFonts w:ascii="Times New Roman;Times;serif" w:hAnsi="Times New Roman;Times;serif"/>
          <w:sz w:val="20"/>
        </w:rPr>
        <w:t xml:space="preserve"> </w:t>
      </w:r>
      <w:r>
        <w:rPr>
          <w:rFonts w:ascii="Times New Roman;Times;serif" w:hAnsi="Times New Roman;Times;serif"/>
          <w:sz w:val="24"/>
        </w:rPr>
        <w:t>that, if the offending provision cannot be so modified without violating the practical intent thereof, it shall be stricken and all other provisions of this Agreement in all other respects shall remain valid and enforceable.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  M3’s services hereunder are personal in nature and may not be assigned without the written consent of the Client.  The obligations of M3 hereunder are owing only to the Client and there shall be no third-party beneficiaries of the obligations of M3 hereunder.</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  In the event of any action, claim, suit or proceeding brought by the Client (or any person claiming on behalf of or in the right of the Client) against M3 which relates to the Services or the Engagement, the Client shall be obligated to promptly reimburse M3 for all reasonable expenses (including, without limitation, fees and disbursements of counsel) as they are incurred by M3 in connection with investigating, preparing for or defending, or providing evidence in, such action, claim, suit or proceeding.  To the extent that M3 is finally determined by final and non-appealable judgment of a court of competent jurisdiction to liable on account of such action, claim, suit or proceeding, then M3 shall promptly reimburse the Client for a fair and equitable portion of the expenses previously reimbursed to M3.</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(f)  This Agreement may be executed in any number of counterparts, each of which when so executed shall be deemed an original, but all such counterparts shall constitute one and the same instrument, and all signatures need not appear on any one counterpart.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(g)  This Agreement and all controversies and other matters arising from or related to performance hereunder shall be governed by and construed in accordance with the laws of the State of New York applicable to contracts to be executed and performed within such state.  The Parties hereby submit to the exclusive jurisdiction of and venue in the federal and state courts located in New York City and waive any right to trial by jury in connection with any dispute related to this Agreement.  The provisions of this paragraph shall survive the termination or expiration of this Agreement.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[Remainder of Page Intentionally Left Blank]</w:t>
      </w:r>
    </w:p>
    <w:p>
      <w:pPr>
        <w:pStyle w:val="TextBody"/>
        <w:bidi w:val="0"/>
        <w:spacing w:before="0" w:after="0"/>
        <w:ind w:left="0" w:right="0" w:hanging="0"/>
        <w:jc w:val="center"/>
        <w:rPr/>
      </w:pPr>
      <w:r>
        <w:rPr/>
        <w:t>​</w:t>
      </w:r>
    </w:p>
    <w:p>
      <w:pPr>
        <w:pStyle w:val="TextBody"/>
        <w:bidi w:val="0"/>
        <w:spacing w:before="0" w:after="160"/>
        <w:ind w:left="0" w:right="0" w:hanging="0"/>
        <w:jc w:val="left"/>
        <w:rPr/>
      </w:pPr>
      <w:r>
        <w:rPr/>
        <w:t>​</w:t>
      </w:r>
    </w:p>
    <w:p>
      <w:pPr>
        <w:pStyle w:val="TextBody"/>
        <w:bidi w:val="0"/>
        <w:spacing w:before="480" w:after="0"/>
        <w:ind w:left="0" w:right="0" w:hanging="0"/>
        <w:jc w:val="left"/>
        <w:rPr/>
      </w:pPr>
      <w:r>
        <w:rPr/>
        <w:drawing>
          <wp:inline distT="0" distB="0" distL="0" distR="0">
            <wp:extent cx="666750" cy="438150"/>
            <wp:effectExtent l="0" t="0" r="0" b="0"/>
            <wp:docPr id="10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 descr=""/>
                    <pic:cNvPicPr>
                      <a:picLocks noChangeAspect="1" noChangeArrowheads="1"/>
                    </pic:cNvPicPr>
                  </pic:nvPicPr>
                  <pic:blipFill>
                    <a:blip r:embed="rId14"/>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10</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Agreement shall be binding upon the Parties and their respective successors and assigns, and no other person shall acquire or have any right under or by virtue of, and no other person shall be a third-party beneficiary of, this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Please confirm the foregoing is in accordance with your understanding by signing and returning a copy of this Agreement, whereupon it shall become binding and enforceable in accordance with its terms.</w:t>
      </w:r>
    </w:p>
    <w:p>
      <w:pPr>
        <w:pStyle w:val="TextBody"/>
        <w:bidi w:val="0"/>
        <w:spacing w:before="0" w:after="0"/>
        <w:ind w:left="0" w:right="0" w:hanging="0"/>
        <w:jc w:val="left"/>
        <w:rPr/>
      </w:pPr>
      <w:r>
        <w:rPr/>
        <w:t>​</w:t>
      </w:r>
    </w:p>
    <w:tbl>
      <w:tblPr>
        <w:tblW w:w="10172" w:type="dxa"/>
        <w:jc w:val="center"/>
        <w:tblInd w:w="0" w:type="dxa"/>
        <w:tblLayout w:type="fixed"/>
        <w:tblCellMar>
          <w:top w:w="0" w:type="dxa"/>
          <w:left w:w="0" w:type="dxa"/>
          <w:bottom w:w="0" w:type="dxa"/>
          <w:right w:w="0" w:type="dxa"/>
        </w:tblCellMar>
      </w:tblPr>
      <w:tblGrid>
        <w:gridCol w:w="406"/>
        <w:gridCol w:w="5791"/>
        <w:gridCol w:w="326"/>
        <w:gridCol w:w="464"/>
        <w:gridCol w:w="3031"/>
        <w:gridCol w:w="154"/>
      </w:tblGrid>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3495" w:type="dxa"/>
            <w:gridSpan w:val="2"/>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Very truly yours,</w:t>
            </w:r>
          </w:p>
        </w:tc>
        <w:tc>
          <w:tcPr>
            <w:tcW w:w="154" w:type="dxa"/>
            <w:tcBorders/>
            <w:vAlign w:val="center"/>
          </w:tcPr>
          <w:p>
            <w:pPr>
              <w:pStyle w:val="TableContents"/>
              <w:bidi w:val="0"/>
              <w:spacing w:before="0" w:after="0"/>
              <w:ind w:left="0" w:right="0" w:hanging="0"/>
              <w:jc w:val="both"/>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495"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3495" w:type="dxa"/>
            <w:gridSpan w:val="2"/>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M3 ADVISORY PARTNERS, LP</w:t>
            </w:r>
          </w:p>
        </w:tc>
        <w:tc>
          <w:tcPr>
            <w:tcW w:w="154" w:type="dxa"/>
            <w:tcBorders/>
            <w:vAlign w:val="center"/>
          </w:tcPr>
          <w:p>
            <w:pPr>
              <w:pStyle w:val="TableContents"/>
              <w:bidi w:val="0"/>
              <w:spacing w:before="0" w:after="0"/>
              <w:ind w:left="0" w:right="0" w:hanging="0"/>
              <w:jc w:val="both"/>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By</w:t>
            </w:r>
          </w:p>
        </w:tc>
        <w:tc>
          <w:tcPr>
            <w:tcW w:w="30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Mohsin Y. Meghji</w:t>
            </w:r>
          </w:p>
        </w:tc>
        <w:tc>
          <w:tcPr>
            <w:tcW w:w="154"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Mohsin Y. Meghji</w:t>
            </w:r>
          </w:p>
        </w:tc>
        <w:tc>
          <w:tcPr>
            <w:tcW w:w="154"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Managing Member</w:t>
            </w:r>
          </w:p>
        </w:tc>
        <w:tc>
          <w:tcPr>
            <w:tcW w:w="154"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97" w:type="dxa"/>
            <w:gridSpan w:val="2"/>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ACCEPTED AND AGREED</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9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4"/>
                <w:u w:val="single"/>
              </w:rPr>
              <w:t>as of the date first set forth above</w:t>
            </w:r>
            <w:r>
              <w:rPr>
                <w:rFonts w:ascii="Times New Roman;Times;serif" w:hAnsi="Times New Roman;Times;serif"/>
                <w:sz w:val="24"/>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197" w:type="dxa"/>
            <w:gridSpan w:val="2"/>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NU RIDE INC.</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By</w:t>
            </w:r>
          </w:p>
        </w:tc>
        <w:tc>
          <w:tcPr>
            <w:tcW w:w="579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/s/ Andrew Sole</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Andrew Sole</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6" w:type="dxa"/>
            <w:tcBorders/>
            <w:vAlign w:val="center"/>
          </w:tcPr>
          <w:p>
            <w:pPr>
              <w:pStyle w:val="TableContents"/>
              <w:bidi w:val="0"/>
              <w:spacing w:before="0" w:after="0"/>
              <w:ind w:left="0" w:right="0" w:hanging="0"/>
              <w:jc w:val="both"/>
              <w:rPr/>
            </w:pPr>
            <w:r>
              <w:rPr/>
              <w:t>​</w:t>
            </w:r>
          </w:p>
        </w:tc>
        <w:tc>
          <w:tcPr>
            <w:tcW w:w="57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Chairperson of the Board of Directors of Nu Ride Inc.</w:t>
            </w:r>
          </w:p>
        </w:tc>
        <w:tc>
          <w:tcPr>
            <w:tcW w:w="326" w:type="dxa"/>
            <w:tcBorders/>
            <w:vAlign w:val="center"/>
          </w:tcPr>
          <w:p>
            <w:pPr>
              <w:pStyle w:val="TableContents"/>
              <w:bidi w:val="0"/>
              <w:spacing w:before="0" w:after="0"/>
              <w:ind w:left="0" w:right="0" w:hanging="0"/>
              <w:jc w:val="both"/>
              <w:rPr/>
            </w:pPr>
            <w:r>
              <w:rPr/>
              <w:t>​</w:t>
            </w:r>
          </w:p>
        </w:tc>
        <w:tc>
          <w:tcPr>
            <w:tcW w:w="464" w:type="dxa"/>
            <w:tcBorders/>
            <w:vAlign w:val="center"/>
          </w:tcPr>
          <w:p>
            <w:pPr>
              <w:pStyle w:val="TableContents"/>
              <w:bidi w:val="0"/>
              <w:spacing w:before="0" w:after="0"/>
              <w:ind w:left="0" w:right="0" w:hanging="0"/>
              <w:jc w:val="both"/>
              <w:rPr/>
            </w:pPr>
            <w:r>
              <w:rPr/>
              <w:t>​</w:t>
            </w:r>
          </w:p>
        </w:tc>
        <w:tc>
          <w:tcPr>
            <w:tcW w:w="303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left"/>
        <w:rPr/>
      </w:pPr>
      <w:r>
        <w:rPr/>
        <w:drawing>
          <wp:inline distT="0" distB="0" distL="0" distR="0">
            <wp:extent cx="666750" cy="438150"/>
            <wp:effectExtent l="0" t="0" r="0" b="0"/>
            <wp:docPr id="10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 descr=""/>
                    <pic:cNvPicPr>
                      <a:picLocks noChangeAspect="1" noChangeArrowheads="1"/>
                    </pic:cNvPicPr>
                  </pic:nvPicPr>
                  <pic:blipFill>
                    <a:blip r:embed="rId15"/>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11</w:t>
      </w:r>
    </w:p>
    <w:p>
      <w:pPr>
        <w:pStyle w:val="TextBody"/>
        <w:bidi w:val="0"/>
        <w:spacing w:before="0" w:after="0"/>
        <w:ind w:left="0" w:right="0" w:hanging="0"/>
        <w:jc w:val="center"/>
        <w:rPr>
          <w:rFonts w:ascii="Times New Roman;Times;serif" w:hAnsi="Times New Roman;Times;serif"/>
          <w:sz w:val="24"/>
          <w:u w:val="single"/>
        </w:rPr>
      </w:pPr>
      <w:r>
        <w:rPr>
          <w:rFonts w:ascii="Times New Roman;Times;serif" w:hAnsi="Times New Roman;Times;serif"/>
          <w:sz w:val="24"/>
          <w:u w:val="single"/>
        </w:rPr>
        <w:t>Annex I</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AGREEMENTS REGARDING INDEMNIFICATION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In consideration of M3 performing the Services for the benefit of the Client, the Client (the “</w:t>
      </w:r>
      <w:r>
        <w:rPr>
          <w:rFonts w:ascii="Times New Roman;Times;serif" w:hAnsi="Times New Roman;Times;serif"/>
          <w:b/>
          <w:i/>
          <w:sz w:val="24"/>
        </w:rPr>
        <w:t>Indemnitor</w:t>
      </w:r>
      <w:r>
        <w:rPr>
          <w:rFonts w:ascii="Times New Roman;Times;serif" w:hAnsi="Times New Roman;Times;serif"/>
          <w:sz w:val="20"/>
        </w:rPr>
        <w:t>”</w:t>
      </w:r>
      <w:r>
        <w:rPr>
          <w:rFonts w:ascii="Times New Roman;Times;serif" w:hAnsi="Times New Roman;Times;serif"/>
          <w:sz w:val="24"/>
        </w:rPr>
        <w:t>) shall indemnify M3 and its affiliates, equity holders, partners, directors, employees, agents, representatives and contractors, including past, present or future partners, principals and personnel of each (collectively hereinafter called the “</w:t>
      </w:r>
      <w:r>
        <w:rPr>
          <w:rFonts w:ascii="Times New Roman;Times;serif" w:hAnsi="Times New Roman;Times;serif"/>
          <w:b/>
          <w:i/>
          <w:sz w:val="24"/>
        </w:rPr>
        <w:t>Indemnitees</w:t>
      </w:r>
      <w:r>
        <w:rPr>
          <w:rFonts w:ascii="Times New Roman;Times;serif" w:hAnsi="Times New Roman;Times;serif"/>
          <w:sz w:val="20"/>
        </w:rPr>
        <w:t>”</w:t>
      </w:r>
      <w:r>
        <w:rPr>
          <w:rFonts w:ascii="Times New Roman;Times;serif" w:hAnsi="Times New Roman;Times;serif"/>
          <w:sz w:val="24"/>
        </w:rPr>
        <w:t>), against all costs, fees, expenses, damages, and liabilities (including defense costs) associated with any pending or threatened claim, action, proceeding or investigation (a “</w:t>
      </w:r>
      <w:r>
        <w:rPr>
          <w:rFonts w:ascii="Times New Roman;Times;serif" w:hAnsi="Times New Roman;Times;serif"/>
          <w:b/>
          <w:i/>
          <w:sz w:val="24"/>
        </w:rPr>
        <w:t>Claim</w:t>
      </w:r>
      <w:r>
        <w:rPr>
          <w:rFonts w:ascii="Times New Roman;Times;serif" w:hAnsi="Times New Roman;Times;serif"/>
          <w:sz w:val="20"/>
        </w:rPr>
        <w:t>”</w:t>
      </w:r>
      <w:r>
        <w:rPr>
          <w:rFonts w:ascii="Times New Roman;Times;serif" w:hAnsi="Times New Roman;Times;serif"/>
          <w:sz w:val="24"/>
        </w:rPr>
        <w:t>) relating to or arising as a result of the Engagement or the provision of the Services, the Client’s use or disclosure of the Deliverables, or this Agreement (“</w:t>
      </w:r>
      <w:r>
        <w:rPr>
          <w:rFonts w:ascii="Times New Roman;Times;serif" w:hAnsi="Times New Roman;Times;serif"/>
          <w:b/>
          <w:i/>
          <w:sz w:val="24"/>
        </w:rPr>
        <w:t>Losses</w:t>
      </w:r>
      <w:r>
        <w:rPr>
          <w:rFonts w:ascii="Times New Roman;Times;serif" w:hAnsi="Times New Roman;Times;serif"/>
          <w:sz w:val="20"/>
        </w:rPr>
        <w:t>”</w:t>
      </w:r>
      <w:r>
        <w:rPr>
          <w:rFonts w:ascii="Times New Roman;Times;serif" w:hAnsi="Times New Roman;Times;serif"/>
          <w:sz w:val="24"/>
        </w:rPr>
        <w:t>).  This provision is intended to apply regardless of the nature of any Claim (including contract, statute, any form of negligence, whether of the Client, M3, or others, tort, strict liability or otherwise), except to the extent such Losses are determined by a final and non-appealable judgment of a court of competent jurisdiction to be the result of M3’s bad faith, gross negligence or willful misconduct.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The Indemnitor shall not, without M3’s prior written consent (which will not be unreasonably withheld), settle, compromise, or consent to the entry of any judgment in any pending or threatened Claim in respect of which indemnification could reasonably be sought hereunder (whether or not M3 or any other Indemnitee is an actual or potential party to such Claim), if such settlement, compromise, or consent does not include an unconditional release of each Indemnitee from all liability arising out of such Claim;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that the Indemnitor shall not enter into any such settlement, compromise or consent of a Claim without M3’s prior written consent (which may be granted or withheld in M3’s sole discretion) if such settlement, compromise or consent provides for injunctive relief against an Indemnitee or an admission of liability by an Indemnitee or would require payment of any amount by an Indemnitee or any insurer of an Indemnitee.  The Indemnitor shall not be liable hereunder to any Indemnitee for any amount paid or payable in the settlement of any action, proceeding or investigation entered into by such Indemnitee without the Indemnitor’s written consent.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Upon receipt by an Indemnitee of actual notice of a Claim against such Indemnitee in respect of which indemnity may be sought hereunder, such Indemnitee shall promptly notify the Indemnitor with respect thereto.  In addition, an Indemnitee shall promptly notify the Indemnitor after any action is commenced (by way of service with a summons or other legal process giving information as to the nature and basis of the claim) against such Indemnitee in respect of which indemnity may be sought hereunder.  In any event, failure to notify the Indemnitor shall not relieve the Indemnitor from any liability which the Indemnitor may have on account of this indemnity or otherwise, except to the extent, and only to the extent, that the Indemnitor shall have been materially prejudiced by such failure.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Indemnitor shall advance all expenses indemnifiable hereunder that are reasonably incurred by or on behalf of each Indemnitee in connection with any Claim within thirty (30) days after receipt by Indemnitor of a statement or statements from Indemnitee requesting such advance or advances from time to time, whether prior to or after final disposition of such Claim.  Such statement or statements shall reasonably evidence the expenses incurred by Indemnitee and shall include or be</w:t>
      </w:r>
    </w:p>
    <w:p>
      <w:pPr>
        <w:pStyle w:val="TextBody"/>
        <w:bidi w:val="0"/>
        <w:spacing w:before="0" w:after="160"/>
        <w:ind w:left="0" w:right="0" w:hanging="0"/>
        <w:jc w:val="left"/>
        <w:rPr/>
      </w:pPr>
      <w:r>
        <w:rPr/>
        <w:t>​</w:t>
      </w:r>
    </w:p>
    <w:p>
      <w:pPr>
        <w:pStyle w:val="TextBody"/>
        <w:bidi w:val="0"/>
        <w:spacing w:before="480" w:after="0"/>
        <w:ind w:left="0" w:right="0" w:hanging="0"/>
        <w:jc w:val="left"/>
        <w:rPr/>
      </w:pPr>
      <w:r>
        <w:rPr/>
        <w:drawing>
          <wp:inline distT="0" distB="0" distL="0" distR="0">
            <wp:extent cx="666750" cy="438150"/>
            <wp:effectExtent l="0" t="0" r="0" b="0"/>
            <wp:docPr id="11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 descr=""/>
                    <pic:cNvPicPr>
                      <a:picLocks noChangeAspect="1" noChangeArrowheads="1"/>
                    </pic:cNvPicPr>
                  </pic:nvPicPr>
                  <pic:blipFill>
                    <a:blip r:embed="rId16"/>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4"/>
        </w:rPr>
      </w:pPr>
      <w:r>
        <w:rPr>
          <w:rFonts w:ascii="Times New Roman;Times;serif" w:hAnsi="Times New Roman;Times;serif"/>
          <w:sz w:val="24"/>
        </w:rPr>
        <w:t>12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preceded or accompanied by a written undertaking by or on behalf of Indemnitee to repay any expenses advanced if it shall ultimately be determined by a final and non-appealable judgment of a court of competent jurisdiction that Indemnitee is not entitled to be indemnified against such expenses.  Any advances and undertakings to repay pursuant to this </w:t>
      </w:r>
      <w:r>
        <w:rPr>
          <w:rFonts w:ascii="Times New Roman;Times;serif" w:hAnsi="Times New Roman;Times;serif"/>
          <w:sz w:val="24"/>
          <w:u w:val="single"/>
        </w:rPr>
        <w:t>paragraph</w:t>
      </w:r>
      <w:r>
        <w:rPr>
          <w:rFonts w:ascii="Times New Roman;Times;serif" w:hAnsi="Times New Roman;Times;serif"/>
          <w:sz w:val="20"/>
        </w:rPr>
        <w:t xml:space="preserve"> </w:t>
      </w:r>
      <w:r>
        <w:rPr>
          <w:rFonts w:ascii="Times New Roman;Times;serif" w:hAnsi="Times New Roman;Times;serif"/>
          <w:sz w:val="24"/>
        </w:rPr>
        <w:t>shall be unsecured and interest free.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To the extent that the Indemnitor so elects, it shall be entitled to assume the defense, with counsel selected by the Indemnitor (and approved by M3, with such approval not to be unreasonably withheld), of any action that is the subject of the Claim in respect of which indemnity may be sought.  After notice to the Indemnitees of its election to assume the defense thereof, the Indemnitor will not be liable to the Indemnitee under this Agreement for any expenses subsequently incurred by such Indemnitee in connection with the defense thereof except as otherwise provided below.  Such Indemnitee shall have the right to employ counsel of its choice in such Claim, but the fees and expenses of such counsel incurred after notice from the Indemnitor of the assumption of the defense thereof shall be at the expense of the Indemnitee unless the employment of counsel by the Indemnitee has been authorized by the Indemnitor, in which case the reasonably incurred fees and expenses of such counsel of the Indemnitee shall be at the expense of the Indemnitor.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Client agrees that neither M3 nor any other Indemnitee shall have any liability (whether direct or indirect and regardless of the legal theory advanced) to the Client or any person or entity asserting claims on behalf of or in right of the Client caused by, relating to, based upon or arising out of (directly or indirectly) this Agreement or the Engagement, except for losses, claims, damages, penalties or liabilities incurred by the Client which are finally determined by a non-appealable judgment of a court of competent jurisdiction to have resulted primarily and directly from the bad faith, willful misconduct or gross negligence of M3 or such other Indemnitee, as the case may be.  In no event, however, shall M3’s or any other Indemnitee’s liability to the Client or their respective affiliates, successors, or any person claiming on behalf of or in the right of the Client (including the Client’s owners, parents, affiliates, directors, officers, employees, agents, security holders, or creditors) exceed the Liability Cap.</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 the event that any M3 personnel are requested or required to appear as a witness in connection with any claim, action or proceeding relating to or arising as a result of the Engagement or the provision of the Services, the Client’s use or disclosure of the Deliverables, or this Agreement, the Indemnitor shall, to the extent permitted by applicable law, reimburse M3 for all reasonable and documented out-of-pocket expenses incurred by it in connection with such personnel appearing and preparing to appear as a witness, including, without limitation, the reasonable and documented fees and disbursements of its legal counsel, and to compensate M3 at a rate equal to M3’s then standard hourly rate for the relevant personnel for each day that such personnel is involved in preparation, discovery proceedings or testimony pertaining to such Claim.  Additionally, M3 will have the right to obtain advice from independent legal counsel with respect to its actual or potential obligations and liability hereunder and the Client will promptly reimburse M3 for the reasonable out-of-pocket fees and expenses paid by M3 on account thereof.</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provisions of this Annex I shall be deemed to be an integral part of this Agreement to which this Annex I is affixed and shall survive the termination or expiration of this Agreement for any reason.  The provisions of this Annex I shall be binding upon the Client and its successors and assigns.</w:t>
      </w:r>
    </w:p>
    <w:p>
      <w:pPr>
        <w:pStyle w:val="TextBody"/>
        <w:bidi w:val="0"/>
        <w:spacing w:before="480" w:after="0"/>
        <w:ind w:left="0" w:right="0" w:hanging="0"/>
        <w:jc w:val="left"/>
        <w:rPr/>
      </w:pPr>
      <w:r>
        <w:rPr/>
        <w:drawing>
          <wp:inline distT="0" distB="0" distL="0" distR="0">
            <wp:extent cx="666750" cy="438150"/>
            <wp:effectExtent l="0" t="0" r="0" b="0"/>
            <wp:docPr id="11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2" descr=""/>
                    <pic:cNvPicPr>
                      <a:picLocks noChangeAspect="1" noChangeArrowheads="1"/>
                    </pic:cNvPicPr>
                  </pic:nvPicPr>
                  <pic:blipFill>
                    <a:blip r:embed="rId17"/>
                    <a:stretch>
                      <a:fillRect/>
                    </a:stretch>
                  </pic:blipFill>
                  <pic:spPr bwMode="auto">
                    <a:xfrm>
                      <a:off x="0" y="0"/>
                      <a:ext cx="666750" cy="43815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pBdr/>
        <w:bidi w:val="0"/>
        <w:spacing w:lineRule="auto" w:line="285" w:before="0" w:after="0"/>
        <w:ind w:left="0" w:right="0" w:hanging="720"/>
        <w:jc w:val="right"/>
        <w:rPr>
          <w:rFonts w:ascii="Times New Roman;Times;serif" w:hAnsi="Times New Roman;Times;serif"/>
          <w:b/>
          <w:spacing w:val="-3"/>
          <w:sz w:val="20"/>
        </w:rPr>
      </w:pPr>
      <w:bookmarkStart w:id="620" w:name="tmb-20240331xex31d1.htm"/>
      <w:bookmarkStart w:id="621" w:name="kstmb20240331xex31d1"/>
      <w:bookmarkEnd w:id="620"/>
      <w:bookmarkEnd w:id="621"/>
      <w:r>
        <w:rPr>
          <w:rFonts w:ascii="Times New Roman;Times;serif" w:hAnsi="Times New Roman;Times;serif"/>
          <w:b/>
          <w:spacing w:val="-3"/>
          <w:sz w:val="20"/>
        </w:rPr>
        <w:t>EXHIBIT 31.1</w:t>
      </w:r>
      <w:r>
        <w:br w:type="page"/>
      </w:r>
    </w:p>
    <w:p>
      <w:pPr>
        <w:pStyle w:val="TextBody"/>
        <w:pBdr/>
        <w:bidi w:val="0"/>
        <w:spacing w:lineRule="auto" w:line="285" w:before="0" w:after="0"/>
        <w:ind w:left="0" w:right="0" w:hanging="720"/>
        <w:jc w:val="right"/>
        <w:rPr>
          <w:spacing w:val="-3"/>
        </w:rPr>
      </w:pPr>
      <w:r>
        <w:rPr>
          <w:spacing w:val="-3"/>
        </w:rPr>
        <w:t>​</w:t>
      </w:r>
    </w:p>
    <w:p>
      <w:pPr>
        <w:pStyle w:val="TextBody"/>
        <w:bidi w:val="0"/>
        <w:spacing w:lineRule="auto" w:line="285" w:before="0" w:after="0"/>
        <w:ind w:left="0" w:right="0" w:hanging="720"/>
        <w:jc w:val="center"/>
        <w:rPr>
          <w:rFonts w:ascii="Times New Roman;Times;serif" w:hAnsi="Times New Roman;Times;serif"/>
          <w:b/>
          <w:color w:val="333333"/>
          <w:sz w:val="20"/>
          <w:shd w:fill="FFFFFF" w:val="clear"/>
        </w:rPr>
      </w:pPr>
      <w:r>
        <w:rPr>
          <w:rFonts w:ascii="Times New Roman;Times;serif" w:hAnsi="Times New Roman;Times;serif"/>
          <w:b/>
          <w:color w:val="333333"/>
          <w:sz w:val="20"/>
          <w:shd w:fill="FFFFFF" w:val="clear"/>
        </w:rPr>
        <w:t xml:space="preserve">CERTIFICATION PURSUANT TO SECTION 302 </w:t>
      </w:r>
    </w:p>
    <w:p>
      <w:pPr>
        <w:pStyle w:val="TextBody"/>
        <w:bidi w:val="0"/>
        <w:spacing w:lineRule="auto" w:line="285" w:before="0" w:after="0"/>
        <w:ind w:left="0" w:right="0" w:hanging="720"/>
        <w:jc w:val="center"/>
        <w:rPr>
          <w:rFonts w:ascii="Times New Roman;Times;serif" w:hAnsi="Times New Roman;Times;serif"/>
          <w:b/>
          <w:color w:val="333333"/>
          <w:sz w:val="20"/>
          <w:shd w:fill="FFFFFF" w:val="clear"/>
        </w:rPr>
      </w:pPr>
      <w:r>
        <w:rPr>
          <w:rFonts w:ascii="Times New Roman;Times;serif" w:hAnsi="Times New Roman;Times;serif"/>
          <w:b/>
          <w:color w:val="333333"/>
          <w:sz w:val="20"/>
          <w:shd w:fill="FFFFFF" w:val="clear"/>
        </w:rPr>
        <w:t>OF THE SARBANES-OXLEY ACT OF 2002</w:t>
      </w:r>
    </w:p>
    <w:p>
      <w:pPr>
        <w:pStyle w:val="TextBody"/>
        <w:pBdr/>
        <w:bidi w:val="0"/>
        <w:spacing w:lineRule="auto" w:line="285" w:before="0" w:after="0"/>
        <w:ind w:left="0" w:right="0" w:hanging="720"/>
        <w:jc w:val="right"/>
        <w:rPr>
          <w:spacing w:val="-3"/>
        </w:rPr>
      </w:pPr>
      <w:r>
        <w:rPr>
          <w:spacing w:val="-3"/>
        </w:rPr>
        <w:t>​</w:t>
      </w:r>
    </w:p>
    <w:p>
      <w:pPr>
        <w:pStyle w:val="TextBody"/>
        <w:bidi w:val="0"/>
        <w:spacing w:lineRule="auto" w:line="285" w:before="0" w:after="120"/>
        <w:ind w:left="0" w:right="0" w:hanging="0"/>
        <w:jc w:val="both"/>
        <w:rPr/>
      </w:pPr>
      <w:r>
        <w:rPr/>
        <w:t>​</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I, William Gallagher, certify that:</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of Nu Ride Inc.;</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12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12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pStyle w:val="TextBody"/>
        <w:bidi w:val="0"/>
        <w:spacing w:lineRule="auto" w:line="285" w:before="0" w:after="12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12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w:t>
      </w:r>
    </w:p>
    <w:p>
      <w:pPr>
        <w:pStyle w:val="TextBody"/>
        <w:bidi w:val="0"/>
        <w:spacing w:lineRule="auto" w:line="285" w:before="0" w:after="12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12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120"/>
        <w:ind w:left="0" w:right="0" w:firstLine="720"/>
        <w:jc w:val="both"/>
        <w:rPr/>
      </w:pPr>
      <w:r>
        <w:rPr/>
        <w:t>​</w:t>
      </w:r>
    </w:p>
    <w:tbl>
      <w:tblPr>
        <w:tblW w:w="4697" w:type="dxa"/>
        <w:jc w:val="left"/>
        <w:tblInd w:w="0" w:type="dxa"/>
        <w:tblLayout w:type="fixed"/>
        <w:tblCellMar>
          <w:top w:w="0" w:type="dxa"/>
          <w:left w:w="0" w:type="dxa"/>
          <w:bottom w:w="0" w:type="dxa"/>
          <w:right w:w="0" w:type="dxa"/>
        </w:tblCellMar>
      </w:tblPr>
      <w:tblGrid>
        <w:gridCol w:w="1741"/>
        <w:gridCol w:w="295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05535" cy="175260"/>
                      <wp:effectExtent l="0" t="0" r="0" b="0"/>
                      <wp:wrapNone/>
                      <wp:docPr id="112" name="Frame10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877060" cy="175260"/>
                      <wp:effectExtent l="0" t="0" r="0" b="0"/>
                      <wp:wrapNone/>
                      <wp:docPr id="113" name="Frame101"/>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lineRule="auto" w:line="285"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both"/>
                              <w:rPr/>
                            </w:pPr>
                            <w:r>
                              <w:rPr/>
                              <w:t>​</w:t>
                            </w:r>
                          </w:p>
                        </w:txbxContent>
                      </v:textbox>
                      <w10:wrap type="none"/>
                    </v:rect>
                  </w:pict>
                </mc:Fallback>
              </mc:AlternateContent>
            </w:r>
          </w:p>
        </w:tc>
      </w:tr>
      <w:tr>
        <w:trPr/>
        <w:tc>
          <w:tcPr>
            <w:tcW w:w="174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May 14, 2024</w:t>
            </w:r>
          </w:p>
        </w:tc>
        <w:tc>
          <w:tcPr>
            <w:tcW w:w="2956" w:type="dxa"/>
            <w:tcBorders/>
            <w:vAlign w:val="center"/>
          </w:tcPr>
          <w:p>
            <w:pPr>
              <w:pStyle w:val="TableContents"/>
              <w:bidi w:val="0"/>
              <w:spacing w:lineRule="auto" w:line="285" w:before="0" w:after="0"/>
              <w:ind w:left="0" w:right="0" w:hanging="0"/>
              <w:jc w:val="both"/>
              <w:rPr/>
            </w:pPr>
            <w:r>
              <w:rPr/>
              <w:t>​</w:t>
            </w:r>
          </w:p>
        </w:tc>
      </w:tr>
      <w:tr>
        <w:trPr/>
        <w:tc>
          <w:tcPr>
            <w:tcW w:w="1741" w:type="dxa"/>
            <w:tcBorders/>
            <w:vAlign w:val="center"/>
          </w:tcPr>
          <w:p>
            <w:pPr>
              <w:pStyle w:val="TableContents"/>
              <w:bidi w:val="0"/>
              <w:spacing w:lineRule="auto" w:line="285" w:before="0" w:after="0"/>
              <w:ind w:left="0" w:right="0" w:hanging="0"/>
              <w:jc w:val="both"/>
              <w:rPr/>
            </w:pPr>
            <w:r>
              <w:rPr/>
              <w:t>​</w:t>
            </w:r>
          </w:p>
        </w:tc>
        <w:tc>
          <w:tcPr>
            <w:tcW w:w="2956" w:type="dxa"/>
            <w:tcBorders/>
            <w:vAlign w:val="center"/>
          </w:tcPr>
          <w:p>
            <w:pPr>
              <w:pStyle w:val="TableContents"/>
              <w:bidi w:val="0"/>
              <w:spacing w:lineRule="auto" w:line="285" w:before="0" w:after="0"/>
              <w:ind w:left="0" w:right="0" w:hanging="0"/>
              <w:jc w:val="both"/>
              <w:rPr/>
            </w:pPr>
            <w:r>
              <w:rPr/>
              <w:t>​</w:t>
            </w:r>
          </w:p>
        </w:tc>
      </w:tr>
      <w:tr>
        <w:trPr/>
        <w:tc>
          <w:tcPr>
            <w:tcW w:w="1741" w:type="dxa"/>
            <w:tcBorders/>
            <w:vAlign w:val="center"/>
          </w:tcPr>
          <w:p>
            <w:pPr>
              <w:pStyle w:val="TableContents"/>
              <w:bidi w:val="0"/>
              <w:spacing w:lineRule="auto" w:line="285" w:before="0" w:after="0"/>
              <w:ind w:left="0" w:right="0" w:hanging="0"/>
              <w:jc w:val="both"/>
              <w:rPr/>
            </w:pPr>
            <w:r>
              <w:rPr/>
              <w:t>​</w:t>
            </w:r>
          </w:p>
        </w:tc>
        <w:tc>
          <w:tcPr>
            <w:tcW w:w="295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William Gallagher</w:t>
            </w:r>
          </w:p>
        </w:tc>
      </w:tr>
      <w:tr>
        <w:trPr/>
        <w:tc>
          <w:tcPr>
            <w:tcW w:w="1741" w:type="dxa"/>
            <w:tcBorders/>
            <w:vAlign w:val="center"/>
          </w:tcPr>
          <w:p>
            <w:pPr>
              <w:pStyle w:val="TableContents"/>
              <w:bidi w:val="0"/>
              <w:spacing w:lineRule="auto" w:line="285" w:before="0" w:after="0"/>
              <w:ind w:left="0" w:right="0" w:hanging="0"/>
              <w:jc w:val="both"/>
              <w:rPr/>
            </w:pPr>
            <w:r>
              <w:rPr/>
              <w:t>​</w:t>
            </w:r>
          </w:p>
        </w:tc>
        <w:tc>
          <w:tcPr>
            <w:tcW w:w="2956"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William Gallagher</w:t>
            </w:r>
          </w:p>
        </w:tc>
      </w:tr>
      <w:tr>
        <w:trPr/>
        <w:tc>
          <w:tcPr>
            <w:tcW w:w="1741" w:type="dxa"/>
            <w:tcBorders/>
            <w:vAlign w:val="center"/>
          </w:tcPr>
          <w:p>
            <w:pPr>
              <w:pStyle w:val="TableContents"/>
              <w:bidi w:val="0"/>
              <w:spacing w:lineRule="auto" w:line="285" w:before="0" w:after="0"/>
              <w:ind w:left="0" w:right="0" w:hanging="0"/>
              <w:jc w:val="both"/>
              <w:rPr/>
            </w:pPr>
            <w:r>
              <w:rPr/>
              <w:t>​</w:t>
            </w:r>
          </w:p>
        </w:tc>
        <w:tc>
          <w:tcPr>
            <w:tcW w:w="295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President,</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Secretary, and Treasurer</w:t>
            </w:r>
          </w:p>
        </w:tc>
      </w:tr>
      <w:tr>
        <w:trPr/>
        <w:tc>
          <w:tcPr>
            <w:tcW w:w="1741" w:type="dxa"/>
            <w:tcBorders/>
            <w:vAlign w:val="center"/>
          </w:tcPr>
          <w:p>
            <w:pPr>
              <w:pStyle w:val="TableContents"/>
              <w:bidi w:val="0"/>
              <w:spacing w:lineRule="auto" w:line="285" w:before="0" w:after="0"/>
              <w:ind w:left="0" w:right="0" w:hanging="0"/>
              <w:jc w:val="both"/>
              <w:rPr/>
            </w:pPr>
            <w:r>
              <w:rPr/>
              <w:t>​</w:t>
            </w:r>
          </w:p>
        </w:tc>
        <w:tc>
          <w:tcPr>
            <w:tcW w:w="295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 and</w:t>
            </w:r>
          </w:p>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622" w:name="tmb-20240331xex32d1.htm"/>
      <w:bookmarkStart w:id="623" w:name="kstmb20240331xex32d1"/>
      <w:bookmarkEnd w:id="622"/>
      <w:bookmarkEnd w:id="623"/>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Nu Ride Inc. (the "Company") for the period ended March 31, 2024, as filed with the Securities and Exchange Commission on the date hereof (the "Report"), I, William Gallagher, Chief Executive Officer, President, Secretary, and Treasurer of the Company,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bl>
      <w:tblPr>
        <w:tblW w:w="6271" w:type="dxa"/>
        <w:jc w:val="center"/>
        <w:tblInd w:w="0" w:type="dxa"/>
        <w:tblLayout w:type="fixed"/>
        <w:tblCellMar>
          <w:top w:w="0" w:type="dxa"/>
          <w:left w:w="0" w:type="dxa"/>
          <w:bottom w:w="0" w:type="dxa"/>
          <w:right w:w="0" w:type="dxa"/>
        </w:tblCellMar>
      </w:tblPr>
      <w:tblGrid>
        <w:gridCol w:w="1261"/>
        <w:gridCol w:w="885"/>
        <w:gridCol w:w="4125"/>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800735" cy="175260"/>
                      <wp:effectExtent l="0" t="0" r="0" b="0"/>
                      <wp:wrapNone/>
                      <wp:docPr id="114" name="Frame10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181350" cy="175260"/>
                      <wp:effectExtent l="0" t="0" r="0" b="0"/>
                      <wp:wrapNone/>
                      <wp:docPr id="115" name="Frame103"/>
                      <a:graphic xmlns:a="http://schemas.openxmlformats.org/drawingml/2006/main">
                        <a:graphicData uri="http://schemas.microsoft.com/office/word/2010/wordprocessingShape">
                          <wps:wsp>
                            <wps:cNvSpPr txBox="1"/>
                            <wps:spPr>
                              <a:xfrm>
                                <a:off x="0" y="0"/>
                                <a:ext cx="318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14, 2024</w:t>
            </w:r>
          </w:p>
        </w:tc>
        <w:tc>
          <w:tcPr>
            <w:tcW w:w="5010" w:type="dxa"/>
            <w:gridSpan w:val="2"/>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5010" w:type="dxa"/>
            <w:gridSpan w:val="2"/>
            <w:tcBorders/>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Gallagher</w:t>
            </w:r>
          </w:p>
        </w:tc>
      </w:tr>
      <w:tr>
        <w:trPr/>
        <w:tc>
          <w:tcPr>
            <w:tcW w:w="1261" w:type="dxa"/>
            <w:tcBorders/>
            <w:vAlign w:val="center"/>
          </w:tcPr>
          <w:p>
            <w:pPr>
              <w:pStyle w:val="TableContents"/>
              <w:bidi w:val="0"/>
              <w:spacing w:before="0" w:after="0"/>
              <w:ind w:left="0" w:right="0" w:hanging="0"/>
              <w:jc w:val="left"/>
              <w:rPr/>
            </w:pPr>
            <w:r>
              <w:rPr/>
              <w:t>​</w:t>
            </w:r>
          </w:p>
        </w:tc>
        <w:tc>
          <w:tcPr>
            <w:tcW w:w="5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Gallagher</w:t>
            </w:r>
          </w:p>
        </w:tc>
      </w:tr>
      <w:tr>
        <w:trPr/>
        <w:tc>
          <w:tcPr>
            <w:tcW w:w="1261" w:type="dxa"/>
            <w:tcBorders/>
            <w:vAlign w:val="center"/>
          </w:tcPr>
          <w:p>
            <w:pPr>
              <w:pStyle w:val="TableContents"/>
              <w:bidi w:val="0"/>
              <w:spacing w:before="0" w:after="0"/>
              <w:ind w:left="0" w:right="0" w:hanging="0"/>
              <w:jc w:val="left"/>
              <w:rPr/>
            </w:pPr>
            <w:r>
              <w:rPr/>
              <w:t>​</w:t>
            </w:r>
          </w:p>
        </w:tc>
        <w:tc>
          <w:tcPr>
            <w:tcW w:w="5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Secretary, and Treasurer</w:t>
            </w:r>
          </w:p>
        </w:tc>
      </w:tr>
      <w:tr>
        <w:trPr/>
        <w:tc>
          <w:tcPr>
            <w:tcW w:w="1261" w:type="dxa"/>
            <w:tcBorders/>
            <w:vAlign w:val="center"/>
          </w:tcPr>
          <w:p>
            <w:pPr>
              <w:pStyle w:val="TableContents"/>
              <w:bidi w:val="0"/>
              <w:spacing w:before="0" w:after="0"/>
              <w:ind w:left="0" w:right="0" w:hanging="0"/>
              <w:jc w:val="left"/>
              <w:rPr/>
            </w:pPr>
            <w:r>
              <w:rPr/>
              <w:t>​</w:t>
            </w:r>
          </w:p>
        </w:tc>
        <w:tc>
          <w:tcPr>
            <w:tcW w:w="5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9546/000110465924031706/tm248190d1_ex2-1.htm" TargetMode="External"/><Relationship Id="rId3" Type="http://schemas.openxmlformats.org/officeDocument/2006/relationships/hyperlink" Target="https://www.sec.gov/Archives/edgar/data/1759546/000110465924034627/tm248893d1_ex3-1.htm" TargetMode="External"/><Relationship Id="rId4" Type="http://schemas.openxmlformats.org/officeDocument/2006/relationships/hyperlink" Target="https://www.sec.gov/Archives/edgar/data/1759546/000110465924034627/tm248893d1_ex3-2.htm" TargetMode="External"/><Relationship Id="rId5" Type="http://schemas.openxmlformats.org/officeDocument/2006/relationships/hyperlink" Target="https://www.sec.gov/Archives/edgar/data/1759546/000110465924031706/tm248190d1_ex99-1.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38147</Words>
  <Characters>208277</Characters>
  <CharactersWithSpaces>246920</CharactersWithSpaces>
  <Paragraphs>3220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