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40" w:right="2100" w:hanging="332"/>
        <w:spacing w:after="0" w:line="516" w:lineRule="auto"/>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740" w:right="339" w:bottom="122" w:gutter="0" w:footer="0" w:header="0"/>
        </w:sectPr>
      </w:pPr>
    </w:p>
    <w:p>
      <w:pPr>
        <w:spacing w:after="0" w:line="23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2760" w:space="720"/>
            <w:col w:w="7760"/>
          </w:cols>
          <w:pgMar w:left="320" w:top="740" w:right="339" w:bottom="122"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001-38821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0" w:right="339" w:bottom="122" w:gutter="0" w:footer="0" w:header="0"/>
          <w:type w:val="continuous"/>
        </w:sectPr>
      </w:pPr>
    </w:p>
    <w:p>
      <w:pPr>
        <w:spacing w:after="0" w:line="20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83-2533239</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520"/>
          </w:cols>
          <w:pgMar w:left="320" w:top="740" w:right="339" w:bottom="122"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1700 Broadway, 19th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202-2200</w:t>
      </w:r>
    </w:p>
    <w:p>
      <w:pPr>
        <w:spacing w:after="0" w:line="22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22" w:gutter="0" w:footer="0" w:header="0"/>
          <w:type w:val="continuous"/>
        </w:sectPr>
      </w:pPr>
    </w:p>
    <w:p>
      <w:pPr>
        <w:spacing w:after="0" w:line="135" w:lineRule="exact"/>
        <w:rPr>
          <w:sz w:val="24"/>
          <w:szCs w:val="24"/>
          <w:color w:val="auto"/>
        </w:rPr>
      </w:pPr>
    </w:p>
    <w:p>
      <w:pPr>
        <w:jc w:val="center"/>
        <w:ind w:right="6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62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320"/>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7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center"/>
        <w:ind w:right="7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4240" w:space="720"/>
            <w:col w:w="2680" w:space="720"/>
            <w:col w:w="2880"/>
          </w:cols>
          <w:pgMar w:left="320" w:top="740" w:right="339" w:bottom="122" w:gutter="0" w:footer="0" w:header="0"/>
          <w:type w:val="continuous"/>
        </w:sectPr>
      </w:pPr>
    </w:p>
    <w:p>
      <w:pPr>
        <w:spacing w:after="0" w:line="1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22" w:gutter="0" w:footer="0" w:header="0"/>
          <w:type w:val="continuous"/>
        </w:sectPr>
      </w:pPr>
    </w:p>
    <w:bookmarkStart w:id="1" w:name="page2"/>
    <w:bookmarkEnd w:id="1"/>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Class A common stock outstanding, other than shares held by persons who may be deemed affiliates of the registrant, computed by reference to the closing sales price for the registrant’s Class A common stock on June 28, 2024 (the last business day of the registrant’s most recently completed second quarter) as reported on the OTC Pink market, was approximately $25,435,287.</w:t>
      </w:r>
    </w:p>
    <w:p>
      <w:pPr>
        <w:spacing w:after="0" w:line="176"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24, 2025, there were 16,096,296 shares of Class A common stock, $0.0001 par value,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6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80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PART I</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IV.</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800" w:type="dxa"/>
            <w:vAlign w:val="bottom"/>
            <w:gridSpan w:val="2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800" w:type="dxa"/>
            <w:vAlign w:val="bottom"/>
            <w:gridSpan w:val="25"/>
          </w:tcPr>
          <w:p>
            <w:pPr>
              <w:ind w:left="12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453"/>
        </w:trPr>
        <w:tc>
          <w:tcPr>
            <w:tcW w:w="5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gridSpan w:val="2"/>
          </w:tcPr>
          <w:p>
            <w:pPr>
              <w:spacing w:after="0"/>
              <w:rPr>
                <w:sz w:val="24"/>
                <w:szCs w:val="24"/>
                <w:color w:val="auto"/>
              </w:rPr>
            </w:pPr>
          </w:p>
        </w:tc>
        <w:tc>
          <w:tcPr>
            <w:tcW w:w="4700" w:type="dxa"/>
            <w:vAlign w:val="bottom"/>
            <w:tcBorders>
              <w:bottom w:val="single" w:sz="8" w:color="auto"/>
            </w:tcBorders>
            <w:gridSpan w:val="17"/>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27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those described in the “Business” and “Risk Factors” section of this report and the following: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Financial Condition</w:t>
      </w:r>
    </w:p>
    <w:p>
      <w:pPr>
        <w:spacing w:after="0" w:line="227"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revenues and limited operations and assets, which makes it difficult for us to evaluate our future business prospects and there is a risk we may eventually exhaust the capital resources we had when we emerged from bankruptcy;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material assets are cash on hand, the claims asserted in the Foxconn Litigation, claims that the Company may have against other parties, and NOLs;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actual financial results following our emergence from bankruptcy are not comparable to the Company’s historical financial information;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new Board of Directors and newly appointed management to continue navigating our emergence from the Chapter 11 Cases and contribute to our ability to realize future value of our remaining assets, and if we are unable to attract, retain, manage, and appropriately compensate our officers and Board of Directors, our ability to meet our financial reporting obligations, achieve our anticipated operating costs, and to realize value from our remaining assets and litigation claims could be adversely affected;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efforts of consultants and professional service providers to execute our business plan, operations and internal controls, and if we lose their services, our business may be severely disrupted;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change our business plan and strategy without stockholder approval, which could alter the nature of your investment;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use some or all of its NOLs to offset future income or realize any potential value may be limited, and the Internal Revenue Service could challenge the amount, timing and/or use of our NOLs;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business combinations, strategic alliances, joint ventures, or acquisitions;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may not be afforded an opportunity to vote on a proposed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having emerged from bankruptcy, we continue to be subject to the risks and uncertainties associated with residual Chapter 11 bankruptcy proceedings;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incidents or attacks directed at us or disruptions to our information systems could result in information theft, data corruption, operational disruption, financial loss and/or reputational damage;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Claims, Regulation and External Events</w:t>
      </w:r>
    </w:p>
    <w:p>
      <w:pPr>
        <w:spacing w:after="0" w:line="227"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awards, if any, attributable to the Foxconn Litigation is uncertain, and no assurances can be provided that our claims against Foxconn will be successful or that we will recover any damages as a result thereof;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and uncertainties related to ongoing and potential future litigation and claims, as well as regulatory actions and governmental investigations and inquiries, for which we will continue to incur significant legal costs and may be subject to significant uninsured losses;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streamlined our operations following our emergence from the Chapter 11 Cases but legal expenses may remain high;</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operations following our emergence from bankruptcy have reduced our need to maintain insurance coverage at previous levels or to carry certain insurance policies, which could make us subject to potential losses and unexpected liabilities if there were to be a material loss or an adverse judgment or settlement in any one or more of our ongoing legal matters that are not insured which could significantly exceed our ability to pay, which could have a material adverse effect on the Company;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allowed claims could exceed our estimates, which could have a material adverse effect on our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a failure to comply with any laws and regulations, or any litigation that we may be subject to or involved in may adversely affect our business, prospects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 and Being a Public Company</w:t>
      </w:r>
    </w:p>
    <w:p>
      <w:pPr>
        <w:spacing w:after="0" w:line="227"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trades on an over-the-counter market and trading in our Class A common stock is highly speculative and poses substantial risks;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our ability to utilize our NOLs, our charter includes certain transfer restrictions with respect to our stock, which may limit the liquidity of our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Stock ranks senior to our Class A common stock, which may adversely affect holders of our Class A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preferred stock or additional shares of Class A common stock, and sales of a substantial number of additional shares of our securities would dilute the interest of our stockholders and could cause the price of our Class A common stock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and Delaware law could prevent a takeover that stockholders consider favorable and could also reduce the market price of our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obligated to continue our SEC reporting, however our ability to meet these obligations timely or at all may be limited;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“Risk Factors” and elsewhere in this report and in future filings.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stockholders are cautioned that trading in shares of our Class A common stock is highly speculative. Trading prices for our Class A common stock may bear little or no relation to actual value, if any. In addition, our Third Amended and Restated Certificate of Incorporation (our “charter”) contains certain trading restrictions, which are designed to support our efforts to preserve our net operating loss carryforwards (“NOLs”) and other tax attributes and generally restrict transactions involving any person or group of persons that is or as a result of such a transaction would become a substantial stockholder (i.e., would beneficially own, directly or indirectly, 4.5% or more of all issued and outstanding shares of Class A common stock). Accordingly, we urge extreme caution with respect to existing and future investments in our Class A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all shares of our Class A common stock are presented after giving effect to the 1:15 reverse stock split of the outstanding Class A common stock, which became effective on May 24,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2023 (the “Petition Date”),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Chapter 11 Cases, the Company ceased production and sales of its flagship vehicle, the Endurance, and new program development and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assumed certain specified liabilities of the Company and paid $10.2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carryforwards (“NOLs”) and other tax attributes.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emergence from bankruptcy in March 2024,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the Company may explore potential business opportunities, including strategic alternatives or business combinations. No assurances can be made that the Company will be successful in prosecuting any claim or cause of action or that any strategic alternative or business combination will be identified and/or would result in profitable operations. The Company anticipates that the prosecution of claims and causes of action and the evaluation and pursuit of potential strategic alternatives will be costly, complex, and risky.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Sale of Certain Assets to LandX</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2023, the Company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(the assignee 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assumed certain specified liabilities, and paid $10.2 million in cash. Following consummation of the sale, the Company’s investment banker was paid a transaction fee of $2.0 million after crediting certain other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Emergence From Bankruptcy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2024, the Debtors filed the Plan, which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SEC’s claim against the Company (the “SEC Claim”). See Note 9 - Commitments and Contingencies - Ohio Securities Class Action and - SEC Claim for additional information.</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March 5, 2024, the Bankruptcy Court entered a confirmation order confirming the Plan. Following the entry of the confirmation order and all conditions to effectiveness of the Plan being satisfied, the Debtors emerged from bankruptcy on March 14, 2024 (the “Effective Date”)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emergence, the Company’s primary operations are: (i) resolving claims filed in the bankruptcy, (ii) prosecuting the Foxconn Litigation (as defined below), (iii) pursuing, compromising, settling or otherwise disposing of other retained causes of action of the Company, and (iv) identifying potential transactions, including business combinations, or otherwise, that could create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the Company believes Foxconn’s actions have caused substantial harm to the Company’s operations and prospects and caused significant damages.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or the outcome or recoveries, if any. See Note 9 - Commitments and Contingencies - Foxconn Litigation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had no full-time employees. 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Lordstown Motors Corp., originally known as DiamondPeak Holdings Corp. (“DiamondPeak”), was incorporated in Delaware on November 13, 2018, as a blank check company for the purpose of effecting a business combination and completed its initial public offering in March 2019.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DiamondPeak changed its name to Lordstown Motors Corp. The Business Combination was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 Upon the Effective Date, the Company changed its name to Nu Ride Inc. In connection with its emergence from bankruptcy, the Company relocated its headquarters from Lordstown, Ohio to New York, New York. The Company remains incorporated in Delaware.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mailing address of our principal executive office is 1700 Broadway, 19th Floor, New York, New York 10019 c/o M3 Partners, L.P. Our telephone number is (212) 202-2200. Our website address is www.nurideinc.com. Information contained on our website or connected thereto does not constitute part of, and is not incorporated by reference into,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the Company’s stockholders are encouraged to perform your own investigation with respect to us and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Condition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revenues and limited operations and assets, which makes it difficult for us to evaluate our future business prospects and there is a risk we may eventually exhaust the capital resources we had when we emerged from bankruptcy.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company with a limited operating history and very limited revenue prior to commencing the Chapter 11 Cases. Shortly after the Petition Date, we ceased production of the Endurance and new program development. On August 8, 2023, the Bankruptcy Court approved our procedures for conducting a comprehensive marketing and sale process for some, all, or substantially all of our operating assets. On September 29, 2023, we entered into the LandX Asset Purchase Agreement. As a result, we do not hold assets that are of the type that were previously used in our operations. We cannot provide assurances as to the value of our assets, including potential recoveries in the Foxconn litigation and other retained causes of action or our NOLs.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continue to maintain or develop relationships with vendors and other third parties, including those providing services that are integral to maintaining our financial, information technology and other systems used to operate. We may face higher costs and limited opportunities to establish favorable terms and conditions for these relationships in light of our financial condition and business prospects. This may further hinder our ability to maintain adequate financial, information technology and management processes, controls and procedures and pursue possible future business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As the Company currently has limited operations and assets the value of which is uncertain, there is a risk that we will exhaust the assets we had when we emerged from bankruptcy. We have no significant income-generating assets and limited financial resources. We anticipate relying upon the allowed funds allocated by the Bankruptcy Court to sustain operating expenses, unless or until the consummation of a business combination or we are able to successfully prosecute claims and causes of action or secure additional funding, if at all. We cannot provide any assurance that we will identify a suitable business opportunity, consummate a business combination or that our choice of business combination will result in profitable operations, the ability to generate cash. Moreover, there can be no assurance that financing will be available to us on favorable terms and timing or at all.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cash on hand, the claims asserted in the Foxconn Litigation, claims that the Company may have against other parties, and NOLs.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shell company (as defined in Rule 12b-2 of the Exchange Act), our only material assets are cash on hand and intangible assets, including the claims asserted in the Foxconn Litigation, claims the Company may have against other parties and NOLs. As of December 31, 2024, we had $29.5 million cash and cash equivalents and short-term investments, excluding restricted short-term investments. For the foreseeable future, our principal source of revenue and cash flow will be investment income from our investment portfolio, if any. We anticipate relying upon such liquid assets to sustain operating expenses, unless or until the consummation of a business combination or we are able to secure additional funding, if at all. We cannot provide any assurance of the timing or amount, if any, of proceeds received on account of our causes of action and claims, or that we will identify a suitable business opportunity, consummate a business combination or that our choice of business combination will result in profitable operations, the ability to generate cash or preserve the value of our NOLs. Moreover, there can be no assurance that financing will be available to us on favorable terms and timing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actual financial results following our emergence from bankruptcy is not comparable to the Company’s historical financial information.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Company’s actions to cut costs and preserve cash, the Chapter 11 Cases and consummation of the LandX Asset Purchase Agreement, the nature of our business activities upon emergence is materially different from those prior to filing the Chapter 11 Cases on June 27, 2023. We expect our operating losses to continue to be significant, as restructuring activities, operating expenses, the claims administration process, the Foxconn Litigation and other retained causes of action, among other activities, significantly impact our consolidated financial results. Pursuant to the terms of the Plan, which includes certain exceptions, the Claims Ombudsman will have the authority to settle, litigate or otherwise resolve general unsecured Claims against the Debtors. We cannot provide any assurances regarding what our total actual liabilities based on such claims will be, and our historical financial performance is not indicative of our financial performance after the Effective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the amount and composition of our assets and liabilities is significantly different as a result of the Chapter 11 Cases, and the description of our operations, assets, liabilities, contingencies, liquidity and capital resources included in our periodic reports or in any filing we have made or may make with the Bankruptcy Court may not accurately reflect such matters following the Chapter 11 Cases or the value of our remaining assets and liquidity in light of the uncertainty of the estimates and assumptions used in the applicable reporting principles, and such values may be higher or lower as a result.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composition of our Board of Directors has changed significantly.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Plan, the composition of our Board of Directors changed significantly. Following our emergence from Chapter 11, our Board of Directors consists of five directors, none of whom had previously served on our Board of Directors. The new directors have different backgrounds, experiences and perspectives from those who previously served on our Board of Directors and thus may have different views on the issues that will determine our future.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the new Board of Directors and newly appointed management to continue navigating our emergence from the Chapter 11 Cases and contribute to our ability to realize future value of our remaining assets, and if we are unable to attract, retain, manage, and appropriately compensate our officers and Board of Directors, our ability to meet our financial reporting obligations, achieve our anticipated operating costs, and to realize value from our remaining assets and litigation claims could be adversely affected.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realize the value of our remaining assets is based on the service of our new Board of Directors and newly appointed management. We may not be able to attract, appropriately compensate, incentivize or retain our new officers and the new Board. As of the Effective Date, the employment by the Company of our remaining executive officers and employees ended. Some of our former employees were, and others may be, subject to claims and risks of litigation for which indemnification may be uncertain. We may not be able to attract and retain the services of such individuals, who work for us on an at-will basis and will provide limited support after the Effective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emergence from the Chapter 11 Cases, our operations are limited. If we increase our operations in the future, we may need to hire and train additional personnel. If our Chief Executive Officer becomes unable or unwilling to continue providing his services to us, we might not be able to replace him in a timely manner, or at all, and if we are unable to attract, retain, manage, and appropriately compensate our officers and Board of Directors, our ability to meet our financial reporting obligations, achieve our anticipated operating costs, and to realize value from our remaining assets and litigation claims could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efforts of consultants and professional service providers to execute our business plan, operations and internal controls, and if we lose their services, our business may be severely disrupted.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any full-time employees and we have engaged third parties to perform the work needed to run and support our operations and meet our financial reporting requirements as a public company as well as other regulatory requirements. Our business operations depend on the efforts of consultants and professional service providers to execute our business plan, operations and internal controls, including all of our financial reporting and claims reconciliation. If our key consultants become unable or unwilling to continue providing their services to us, we might not be able to replace them in a timely manner, or at all. It is impossible to predict what, if any, errors, delays, breaches or system disruptions might occur as the result of changes in third party consultants or a reduced workforce. We may incur additional expenses to recruit and retain qualified replacements. As a result, our business may be severely disrupted and our financial condition and results of operations may be materially and adversely affected. Any failure of such third parties to work effectively and to execute our plans following emergence from the Chapter 11 Cases, including our efforts to realize value from our remaining assets including through resolving and pursuing litigation and other claims, could adversely affect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business plan and strategy without stockholder approval, which could alter the nature of your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developing and reviewing its business plan and strategy for the Company and determining what is in the best interest of our stockholders. This business plan and strategy may change over time. The methods of implementing our business plan and strategy may vary, as trends emerge and opportunities develop. Our business plan and strategy, the methods for its implementation, and our other objectives, may be altered by our Board of Directors without the approval of our stockholders. As a result, the nature of your investment could change without your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ability to use some or all of its NOLs to offset future income or realize any potential value may be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approximately $1,087.6 million and $843.4 million of federal and state and local NOLs, respectively. The Company’s ability to use some or all of these NOLs is subject to certain limitations. Under Section 382 of the Internal Revenue Code, if a corporation (or a consolidated group) undergoes an “ownership change,” the use of its NOLs may be subject to certain limitations. In general, an ownership change occurs if the aggregate stock ownership of certain shareholders (generally five percent shareholders, applying certain look-through and aggregation rules) increases by more than 50% over such shareholders’ lowest percentage ownership during the testing period (generally three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advisors conducted a preliminary analysis to determine if an ownership change has occurred since November 2020 and to determine if our other tax attributes are limited by Section 382 of the Internal Revenue Code, and believe an ownership change has not occurred. However, the Company has not completed or received a formal opinion from any authority confirming the preliminary analysis. Whether the Company underwent or will undergo an ownership change depends on the application of certain laws that are uncertain in several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could challenge the amount, timing and/or use of our NOL carryforwards.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 of our NOL carryforwards has not been audited or otherwise validated by the Internal Revenue Service (“IRS”). Among other things, the IRS could challenge whether an ownership change has occurred since November 2020, as well as the amount, the timing and/or our use of our NOLs. Any such challenge, if successful, could significantly limit our ability to utilize a portion or all of our NOLs. In addition, calculating whether an ownership change has occurred within the meaning of Section 382 of the Code is subject to inherent uncertainty, both because of the complexity of applying Section 382 of the Code and because of limitations on a publicly-traded company’s knowledge as to the ownership of, and transactions in, its securities. Therefore, the calculation of the amount of our utilizable NOL carryforwards could be changed as a result of a successful challenge by the IRS or as a result of new information about the ownership of, and transactions in, our securities. If the IRS successfully asserts that the Company did undergo, or the Company otherwise does undergo, an ownership change, the limitation on its NOLs under Section 382 of the Internal Revenue Code would likely have a material adverse effect on the value of the Company’s stock and its ability to consummate a business combination.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business combinations, strategic alliances, joint ventures, or acquisitions.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expects to investigate and, if such investigation warrants, enter into a business combination, acquire a target company or business or enter into strategic alliances, including joint ventures, minority equity investments or other transactions and arrangements with one or more third parties seeking the perceived advantages of being a publicly traded corporation. These business opportunities may be complex and could subject us to a number of risks. The time and costs required to select and evaluate a target business and to structure and complete a business combination cannot presently be ascertained. We may not have sufficient resources to consummate a business combination. It is also impossible to predict the manner in which the Company may participate in a business opportunity. Potentially available business combinations may occur in many different industries and at various stages of development, all of which will make the task of comparative investigation and analysis of such business opportunities difficult and complex. There can be no assurance that an attractive business opportunity will be identified, be available on acceptable terms, that financing will be available to consummate any transaction or that it would result in profitable operations, generation of cash flow, or preserve the value of our NOLs.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public shareholders may not be afforded an opportunity to vote on a proposed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choose not to hold a shareholder vote to approve a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typically not be required to seek shareholder approval to complete such a transaction. Except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having emerged from bankruptcy, we continue to be subject to the risks and uncertainties associated with residual Chapter 11 bankruptcy proceedings.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emerged from Chapter 11 bankruptcy on March 14, 2024. However, we may be subject to residual risks and uncertainties associated with Chapter 11 bankruptcy proceedings. The ultimate impact of events that occurred during, or that may occur subsequent to, the Chapter 11 Cases will have on our business, financial condition and results of operations cannot be accurately predicted or quantified. We cannot assure you that having been subject to bankruptcy protection will not adversely affect our operations going forward.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incidents or attacks directed at us or disruptions to our information systems could result in information theft, data corruption, operational disruption, financial loss and/or reputational damage.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a security breach, incident, compromise, or disruption, particularly through cyber attack or cyber intrusion, including by computer hackers, foreign governments and cyber terrorists, has generally increased as the number, intensity and sophistication of attempted attacks and intrusions from around the world have increased. Though we do not anticipate collecting or storing any significant confidential information related to customers, consumers, employees or vendors, we may be at increased risk of disruptions, cyberattacks or security breaches. 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Since emerging from bankruptcy, our operations have been limited to resolving substantial litigation, claims reconciliation and financial reporting. Therefore, we have not adopted any cybersecurity risk management program or formal processes for assessing risk, which may make us susceptible to heightened cybersecurity risks. We also depend on third parties to provide certain services, and any sophisticated and deliberate attacks on, or security breaches in, systems or infrastructure that we utilize, including those of third parties, could lead to the corruption or misappropriation of our information. Because we expect to continue to rely on third parties, we will also depend upon the personnel and the processes of third parties to protect against cybersecurity threats, and we will have no personnel or processes of our own for this purpose. We may not have sufficient resources to adequately protect against, or to investigate and remediate any vulnerability to, cyber incidents. In addition, because we have not adopted any cybersecurity risk management program or formal processes for assessing risk, we may be susceptible to heightened cybersecurity risks. It is possible that any of these occurrences, or a combination of them, could have adverse consequences on our business and lead to financial loss and damage to our reputation.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Claims, Regulation and External Events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expenses and awards, if any, attributable to the Foxconn Litigation is uncertain, and no assurances can be provided that our claims against Foxconn will be successful or that we will recover any damages as a result thereof.</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2023, the Company filed the Foxconn Litigation against Foxconn in the Bankruptcy Court seeking relief for contractual breaches and fraudulent and tortious actions that the Company believes were committed by Foxconn, which have caused substantial harm to our operations and prospects and significant damages. The Foxconn Litigation involves allegations of wrongful conduct by Foxconn, which induced the Company to enter into a series of agreements, including the Agreement in Principle, the Foxconn APA, the CMA and the Investment Agreement. Pursuant to the Plan, the Foxconn Litigation and other causes of action were preserved and continue. No assurances can be provided that our claims against Foxconn will be successful or that we will recover any damages as a result thereof or that Foxconn will not assert counterclaims. Furthermore, the Company will incur significant costs to pursue the Foxconn Litigation and no assurances can be provided as to the Company having sufficient resources to pursue the Foxconn Litigation, the outcome or recoveries, if any. See Note 9 - Commitments and Contingencies - Foxconn Litigation for additional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inherent uncertainties of litigation and regulatory proceedings, we cannot accurately predict the ultimate outcome of the Foxconn Litigation. An unfavorable outcome could have a material adverse effect on our business, financial condition and results of operations. Regardless of the outcome of the Foxconn Litigation, it is likely to result in substantial expenses and require us to devote substantial resources, including management’s time, to it. No assurances can be provided as to the Company having sufficient resources to pursue the Foxconn Litigation, the outcome or the timing or amount of recoveries, if any.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Plan, a significant amount of our cash on hand is being used to settle outstanding claims against the Company, including litigation claims. We are and have been subject to extensive litigation, including securities class action litigation, shareholder derivative suits, a stockholder class action, and an SEC investigation, among other disputes. However, we, or our indemnified directors and officers, may be subject to additional litigation and claims in connection with the Chapter 11 Cases or for claims that were not discharged in the Chapter 11 Cases that may be asserted after our emergence from bankruptcy and that may be currently unknown to us and for which we do not have the resources to adequately defend or dispute such claims, including, but not limited to those proofs of claim filed as unliquidated.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 The Company has potential indemnification obligations with respect to the current and former directors named in various lawsuits that have been or may be filed, which obligations may not be covered by the Company’s applicable directors’ and officers’ insurance. See Note 9 - Commitments and Contingencies.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These claims have diverted and may in the future divert our financial and management resources that would otherwise be used to benefit our operations, increased our insurance costs and caused reputational harm. We have already incurred, and expect to continue to incur, significant legal expenses in defending against any claims not discharged in the Chapter 11 Cases. Further, the ongoing expense of lawsuits, investigations and any substantial settlement payment by us or damages award enforceable against us could have a material adverse effect on the Company’s consolidated results of operations, financial condition or cash flows and adversely affect our ability to successfully realize value for our remaining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as to what our total actual liabilities will be based on any such unliquidated or additional claims, and we cannot predict the future costs with respect to any additional claims that were not discharged in the Chapter 11 Cases. If our actual liabilities or the costs associated with defending any such claims exceeds amounts reserved by us, it could have a material adverse effect on our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streamlined our operations following our emergence from the Chapter 11 Cases but legal expenses may remain high.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emergence from the Chapter 11 Cases, the Company expects to incur significant legal expenses to pursue retained causes of action. However, the Company has taken and may continue to take measures to further streamline its operations and seek to reduce its general and administrative expenses, which may include, among other things, reducing or no longer maintaining insurance coverage, scaling back our information technology systems and reducing our management infrastructure. Implementing these measures may adversely impact the Company’s operations and increase liability exposure and our susceptibility to other risks inherent to operating the Company with significantly limited resources and personnel.</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our operations following our emergence from bankruptcy have reduced our need to maintain insurance coverage at previous levels or to carry certain insurance policies, which could make us subject to potential losses and unexpected liabilities if there were to be a material loss or an adverse judgment or settlement in any one or more of our ongoing legal matters that are not insured which could significantly exceed our ability to pay, which could have a material adverse effect on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our operations following our emergence from bankruptcy have reduced our need to maintain insurance coverage at previous levels or to carry certain insurance policies. We have, and may continue to seek to reduce or eliminate our insurance coverage or certain policies in the future. The Company currently carries directors’ and officers’ insurance. Beyond this coverage, we do not maintain any insurance coverage due to our limited operations and the cost of insurance or insurers being unwilling to provide coverage at all. Insurance we presently have may expire and we may not be able to obtain replacement policies or such policies may require substantially higher cost or have materially lower coverage amounts, or both. If we reduce or no longer maintain insurance coverage, we may be subject to potential losses and unexpected liabilities, and if we are not able to obtain replacement coverage, the lack of such insurance could have a material adverse effect on the Company if there were to be a material loss.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probable losses requires the analysis of multiple forecasted factors that often depend on judgments and potential actions by third parties. Legal fees and costs of litigation or an adverse judgment or settlement in any one or more of our ongoing legal matters that are not insured could significantly exceed our ability to pay. This would have a material adverse effect on our financial position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allowed claims could exceed our estimates, which could have a material adverse effect on our financial condition, results of operations and prospects.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significant contingent liabilities, including the settled Ohio Securities Class Action in which the Company is to distribute up to $7 million to stockholders when received, in accordance with the terms of that settlement. See Note 9 - Commitments and Contingencies for additional information. Although we intend to pay all allowed claims, including general unsecured claims, in full with interest as provided by the Plan, there can be no assurance that the Claims Reserve, our other assets, or our remaining cash will be sufficient to do so given the uncertainties and risks of the claims dispute and settlement process. If the amount of allowed claims exceeds our estimates, this could have a material adverse effect on our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or any litigation that we may be subject to or involved in may adversely affect our business, prospects and results of operations.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In particular, we are required to comply with certain SEC and other legal and regulatory requirements. Compliance with, and monitoring of, applicable laws, regulations and rules may be difficult, time-consuming and costly.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Those laws, regulations and rules and their interpretation and application may also change from time to time and those changes could have a material adverse effect on our business, prospects and results of operations. It is difficult to predict what impact, if any, changes in federal laws and policies will have on our business and industry or the economy as a whole. The failure to comply with applicable laws, regulations or rules, as interpreted and applied, could have a material adverse effect on our business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health epidemics and pandemics, and natural and man-made disasters, which have and may in the future adversely affect our business and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various risks related to public health issues, including epidemics, pandemics and other outbreaks, including the ongoing effects of the COVID-19 pandemic, as well as natural disasters, such as earthquakes, floods, snowstorms, typhoon, or fires, and the occurrence of geopolitical events such as war, terrorism, civil unrest, political instability, environmental or climatic factors. The effects and potential effects of such events, including, but not limited to, their impacts on general economic conditions, trade and financing markets and continuity in business operations, create significant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Class A common stock trades on an over-the-counter market.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2023, our Class A common stock was delisted from Nasdaq. Our Class A common stock currently trades on the OTC Pink Marketplace under the symbol “NRDE”, which is currently the only trading market for our Class A common stock, which subjects the Company and our stockholders to certain significant risks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or no coverage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issue additional securities or obtain additional financing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are no longer “covered securities” under the National Securities Markets Improvement Act of 1996, and therefore subject to regulation in each state in which we offer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our Class A common stock will continue to trade on this market or any other market, whether broker-dealers will continue to provide public quotes of our Class A common stock on this market, whether the trading volume of our Class A common stock will be sufficient to provide for an efficient trading market or whether quotes for our Class A common stock will continue on this market in the future, which could result in significantly lower trading volumes and reduced liquidity for investors seeking to buy or sell our Class A common stock. The ability of our investors to access the capital markets may be severely limited or eliminated. Furthermore, because of the limited market and generally low volume of trading in our Class A common stock, the price of our Class A common stock is likely to be volatile.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 our Class A common stock is highly speculative and poses substantial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structure upon our emergence from bankruptcy remained the same as the capital structure upon filing the Chapter 11 Cases, with our shares Class A common stock, warrants to purchase Class A common stock and Preferred Stock remaining outstanding. Existing holders of our Class A common stock may find that their shares have little or no value and the exercise price of outstanding warrants is significantly above the current market price of our Class A common stock. Any trading in our Class A common stock may be very limited.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that may be available to our various stakeholders, including our creditors and stockholders, is uncertain and our ability to generate value for stakeholders, if any, will be subject to risks and uncertainties, including, among others, those described elsewhere in this report and subsequent filings that we make with the SEC. Accordingly, the Company urges extreme caution with respect to existing and future investments in its Class A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protect our ability to utilize our NOLs, our charter includes certain transfer restrictions with respect to our stock, which may limit the liquidity of our Class A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reduce the risk of a potential adverse effect on our ability to use our NOLs for U.S. Federal income tax purposes, our charter contains, subject to certain exceptions, restrictions with respect to our stock involving any person or group of persons that is or as a result of such a transaction would become a substantial stockholder (i.e., would beneficially own, directly or indirectly, 4.5% of all issued and outstanding shares of Class A common stock). Any transferee receiving shares of Class A common stock or Preferred Stock that would result in a violation of such restrictions will not be recognized as a stockholder of the Company or entitled to any rights of shareholders, including, without limitation, the right to vote and to receive dividends or distributions, whether liquidating or otherwise, in each case, with respect to the shares of stock causing the violation. The NOL restrictions may adversely affect the ability of certain holders of our Class A common stock to dispose of or acquire shares of our Class A common stock and may have an adverse impact on the liquidity of our stock generally.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Preferred Stock ranks senior to our Class A common stock, which may adversely affect holders of our Class A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Preferred Stock to Foxconn that ranks senior to our Class A common stock in priority of distribution rights and rights upon our liquidation, dissolution or winding up, accrues dividends and is convertible into Class A common stock and provides associated corporate governance rights and rights with respect to subsequent transactions, which may adversely affect and/or limit the influence of holders of our Class A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liquidation preference amount is equal to approximately $30 million, plus accrued dividends of approximately $5.5 million as of December 31, 2024. Pursuant to the Plan, the Preferred Stock remains outstanding and its rights with respect to its preferred equity, including with respect to any liquidation preference which has or may become due, are unimpaired. We would vigorously oppose any assertion of Foxconn’s entitlement to receive the liquidation preference, but if we are unsuccessful, it could have a material adverse impact on our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As long as Foxconn, subject to the outcome of the Foxconn Litigation, or another party or concentrated group owns or controls a significant percentage of our Preferred Stock or outstanding voting power, they have the ability to have a significant influence on our actions and operation of the Board and to influence certain corporate actions requiring stockholder approval, including the election of directors, any amendment of our charter and the approval of significant corporate transactions. On a pro forma basis, after giving effect to the conversion of its Preferred Stock and accrued dividends (but not the exercise of the Foxconn Warrants as they are currently substantially out of the money), Foxconn would hold shares of Class A common stock representing approximately 7% of our outstanding Class A common stock as of December 31, 2024. This concentration of voting power and other rights could have the effect of delaying or preventing a change of control or changes in management and would make the approval of certain transactions difficult or impossible without the support of these significant stockholders. Any of the foregoing could impact our ability to run our business and may adversely affect the influence of the holders and market price of our Class A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preferred stock or additional shares of Class A common stock, and sales of a substantial number of additional shares of our securities would dilute the interest of our stockholders and could cause the price of our Class A common stock to decline.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charter provides for 462 million authorized shares of capital stock, consisting of (i) 450 million shares of Class A common stock and (ii) 12 million shares of preferred stock, of which 1 million shares has been designated as Series A Convertible Preferred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raise capital, we may seek to sell additional shares of Class A common stock, preferred stock, convertible securities or other equity or equity-linked securities in one or more transactions. Such securities may be offered at a price per share that is less than the price per share paid by our current stockholders, and investors purchasing shares or other securities in the future could have rights superior to existing stockholders. Any such issuance:</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our then-current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shares of Class A common stock if one or more classes of preferred stock are created, and such preferred shares are issued, with rights senior to those afforded to our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covenants that restrict our financial and operating flexibility;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of control if a substantial number of shares of Class A common stock are issued, which may affect, among other things, our ability to use our NOLs, if any, and could result in the resignation or removal of our present officers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the prevailing market price for our Class A common stock.</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bylaws and Delaware law contain provisions that could delay or prevent a change in control of us. These provisions could also make it more difficult for stockholders to elect directors and take other corporate actions. In addition to the matters identified in the risk factors above relating to the provisions of our charter, these provisions include:</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our charter on acquisitions and dispositions of our Class A common stock designed to protect our NOLs and certain other tax attributes;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blank check preferred stock, which could be issued with voting, liquidation, dividend and other rights superior to our common stock.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charter and bylaws and under Delaware law could discourage potential takeover attempts, reduce the price that investors might be willing to pay in the future for shares of common stock and result in the market price of the common stock being lower than it would be without these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remain obligated to continue our SEC reporting, however our ability to meet these obligations timely or at all may be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remain required to file periodic reports with the SEC following our emergence from Chapter 11. Further, continuing such filings facilitates trading of our Class A common stock, which currently trades on the OTC Pink Marketplace under the symbol “NRDE.” If we are unable to meet these obligations timely or at all, the amount of publicly available information concerning us and our Class A common stock may decrease substantially, which may limit the ability of our stockholders to sell their shares of Class A common stock, and the liquidity and trading prices of our Class A common stock could be further negatively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an effective internal control over financial reporting may cause our investors to lose confidence in our financial and other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of 2002. The Exchange Act requires, among other things, that the combined company file annual reports with respect to our business and financial condition. Section 404 of the Sarbanes-Oxley Act requires, among other things, that we include a report of our management on our internal control over financial reporting. We are also required to include certifications of our management regarding the effectiveness of our disclosure controls and procedures. If we cannot effectively maintain our controls and procedures, we could suffer material misstatements in our financial statements and other information it reports which would likely cause investors to lose confidence. This lack of confidence could lead to a decline in the trading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144 will not be available for the resale of our Class A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144(i) provides that Rule 144 is not available for the resale of securities initially issued by an issuer that is a shell company as defined under Rule 144. As a shell company, the holders of our securities may not rely on Rule 144, a safe harbor on which holders of restricted securities may rely to resell securities, to resell their securities without registration or until we are no longer identified as a shell company under Rule 144. This will likely make it more difficult for investors to resell our Class A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or industry analysts will likely not publish research or reports about us, and the price and trading volume of our Class A common stock could be impaired as a result.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may publish about us, our business, our market or our competitors. We do not anticipate any analyst coverage, which will limit our visibility in the financial markets and could impair our stock price or trading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emerging from bankruptcy, our operations have been limited to resolving substantial litigation, claims reconciliation and financial reporting. Therefore, we have not adopted any cybersecurity risk management program or formal processes for assessing risk, which may make us susceptible to heightened cybersecurity risks. We also depend on third parties to provide certain services, and any sophisticated and deliberate attacks on, or security breaches in, systems or infrastructure that we utilize, including those of third parties, could lead to the corruption or misappropriation of our information, though we do not anticipate collecting or storing any significant confidential information related to customers, consumers, employees, or vendors. Because we expect to continue to rely on third parties, we will also depend upon the personnel and the processes of third parties to protect against cybersecurity threats, and we will have no personnel or processes of our own for this purpose. Our Board is generally responsible for the oversight of risks from cybersecurity threats. In the event of a cybersecurity incident impacting us, our management team will inform our Board of Directors of the details of such incident as well as the measures taken in response to such incident. There can be no assurance that we will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own any properties. The Company leased space in Lordstown, Ohio from Foxconn under a lease agreement pursuant to which Lordstown EV had leased space for Lordstown EV’s Ohio-based employees (the “Lease Agreement”), and under two leases in Farmington Hills, Michigan and one lease in Irvine, California. The Lease Agreement, one of the Farmington Hills leases, and the Irvine lease were terminated on December 31, 2023, as part of the Chapter 11 Cases. The other lease in Farmington Hills was cancelled by its terms on October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legal proceedings, see Note 9 - Commitments and Contingencies of the 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Class A common stock began trading exclusively on the over-the-counter market on July 7, 2023 under the symbol “RIDEQ.” On March 14, 2024, upon the Company’s emergence from Chapter 11 bankruptcy proceedings, the ticker symbol changed to “NRDE”. Any over-the-counter market quotations reflect inter-dealer prices, without retail mark-up, mark-down or commission and may not necessarily represent actual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24, 2025, the shares of Class A common stock issued and outstanding were held of record by approximately 52 holders, which number does not include beneficial owners holding our Class A common stock through nominee names.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to date and are prohibited from paying cash dividends with respect to the Class A common stock until we have paid in full any dividends that have accrued with respect to the Preferred Stock. We may retain future earnings, if any, for future operations and expansion and have no current plans to pay cash dividends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 or securities that we issue.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2024, each of the Company’s directors was granted 52,747 restricted stock units that vest in quarterly increments through January 30, 2027 (the “RSU Awards”). Each restricted stock unit represents a contingent right to receive one share of the Company’s Class A common stock. The issuance of the RSU Awards was exempt from registration pursuant to Section 4(a)(2) of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period covered by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&amp;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the accompanying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the Chapter 11 Cases, our emergence from bankruptcy and our liquidity, capital resources and financial condition.</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27, 2023, Lordstown Motors Corp. and its subsidiaries commenced voluntary proceedings under chapter 11 (the “Chapter 11 Cases”) of the U.S. Bankruptcy Code in the U.S. Bankruptcy Court for the District of Delaware (the “Bankruptcy Court”). On September 1, 2023, we filed with the Bankruptcy Court a plan of reorganization and related disclosure statement (as amended from time to time, the “Proposed Plan”). On November 1, 2023, the Bankruptcy Court entered the Disclosure Statement Order and, thereafter, we solicited votes from their creditors and shareholders for approval of the Proposed Plan. On January 31, 2024, we filed the as-approved Proposed Plan with the Bankruptcy Court.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spacing w:after="0" w:line="18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The deadline to assert rejection damage claims and administrative expense claims has passed.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emergence: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an opportunity to create value, including through use of the NOLs.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and the Company’s charter and by-laws. Some former employees continue to provide services to the Company as consultants. Our Chief Executive Officer, who is the sole executive officer, was elected by the new Board of Directors in accordance with the Plan, as of the date we emerged from bankruptcy.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operations during the year ended December 31, 2024 have consisted of actions and related expenditures associated with completing the Chapter 11 Cases and emerging from bankruptcy, resolving substantial litigation, claims reconciliation, financial reporting and regulatory compliance. Our assets consist of cash, cash equivalents, short-term investments, and restricted short-term investments. Additional potential assets, such as the Foxconn Litigation claims, claims the Company may have against other parties, and NOLs, are not reflected in the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our emergence from bankruptcy on March 14, 2024, our results for the year ended December 31, 2024, reflect the accounting assumptions and treatment caused by the Chapter 11 Cases and the Plan and may not be representative of our operations and results going forward. See Part I - Item 1A. Risk Factors for further discussion of the risks associated with our emergence from bankruptcy, our liquidity, capital resources and financial condition, and the use of estimates and resulting uncertainty in establishing our presented financial results, among other risks.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2024 to December 31, 2023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7"/>
          </w:tcPr>
          <w:p>
            <w:pPr>
              <w:jc w:val="right"/>
              <w:ind w:right="1660"/>
              <w:spacing w:after="0"/>
              <w:rPr>
                <w:sz w:val="20"/>
                <w:szCs w:val="20"/>
                <w:color w:val="auto"/>
              </w:rPr>
            </w:pPr>
            <w:r>
              <w:rPr>
                <w:rFonts w:ascii="Times New Roman" w:cs="Times New Roman" w:eastAsia="Times New Roman" w:hAnsi="Times New Roman"/>
                <w:sz w:val="18"/>
                <w:szCs w:val="18"/>
                <w:color w:val="auto"/>
              </w:rPr>
              <w:t>(in thousands)</w:t>
            </w:r>
          </w:p>
        </w:tc>
      </w:tr>
      <w:tr>
        <w:trPr>
          <w:trHeight w:val="410"/>
        </w:trPr>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91,550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12,903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54,413</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33,343</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items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31,206</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property, plant, &amp; equipment and intangibles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140,726</w:t>
            </w:r>
          </w:p>
        </w:tc>
        <w:tc>
          <w:tcPr>
            <w:tcW w:w="80" w:type="dxa"/>
            <w:vAlign w:val="bottom"/>
          </w:tcPr>
          <w:p>
            <w:pPr>
              <w:spacing w:after="0"/>
              <w:rPr>
                <w:sz w:val="19"/>
                <w:szCs w:val="19"/>
                <w:color w:val="auto"/>
              </w:rPr>
            </w:pPr>
          </w:p>
        </w:tc>
      </w:tr>
      <w:tr>
        <w:trPr>
          <w:trHeight w:val="210"/>
        </w:trPr>
        <w:tc>
          <w:tcPr>
            <w:tcW w:w="6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 net</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(348,898)</w:t>
            </w:r>
          </w:p>
        </w:tc>
        <w:tc>
          <w:tcPr>
            <w:tcW w:w="100" w:type="dxa"/>
            <w:vAlign w:val="bottom"/>
            <w:gridSpan w:val="2"/>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sale of assets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80" w:type="dxa"/>
            <w:vAlign w:val="bottom"/>
            <w:shd w:val="clear" w:color="auto" w:fill="CCEEFF"/>
          </w:tcPr>
          <w:p>
            <w:pPr>
              <w:spacing w:after="0"/>
              <w:rPr>
                <w:sz w:val="19"/>
                <w:szCs w:val="19"/>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(343,066)</w:t>
            </w:r>
          </w:p>
        </w:tc>
        <w:tc>
          <w:tcPr>
            <w:tcW w:w="100" w:type="dxa"/>
            <w:vAlign w:val="bottom"/>
            <w:gridSpan w:val="2"/>
          </w:tcPr>
          <w:p>
            <w:pPr>
              <w:spacing w:after="0"/>
              <w:rPr>
                <w:sz w:val="18"/>
                <w:szCs w:val="18"/>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(343,066)</w:t>
            </w:r>
          </w:p>
        </w:tc>
        <w:tc>
          <w:tcPr>
            <w:tcW w:w="100" w:type="dxa"/>
            <w:vAlign w:val="bottom"/>
            <w:gridSpan w:val="2"/>
          </w:tcPr>
          <w:p>
            <w:pPr>
              <w:spacing w:after="0"/>
              <w:rPr>
                <w:sz w:val="18"/>
                <w:szCs w:val="18"/>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9"/>
                <w:szCs w:val="19"/>
                <w:color w:val="auto"/>
              </w:rPr>
            </w:pPr>
          </w:p>
        </w:tc>
      </w:tr>
      <w:tr>
        <w:trPr>
          <w:trHeight w:val="223"/>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8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(345,560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filing for Chapter 11 bankruptcy protection in June 2023 and the significant events that have transpired since then, the period-over-period comparisons of our results of operations are not indicative of consistent underlying business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Cost of Sales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emergence from bankruptcy as a shell company, there were no sales or cost of sales for the year ended December 31, 2024. The Company completed homologation and testing and received required certifications enabling sales to begin in the fourth quarter of 2022. As a result of the Chapter 11 Cases, production of the Endurance ended in June 2023. A total of 35 vehicles were sold in the first nine months of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totaled $91.6 million for the year ended December 31, 2023, consisting of $7.6 million in costs associated with producing the Endurance, including direct materials net of an adjustment to inventory to reflect its NRV, product warranty accruals and other costs related to selling and delivering the vehicles. The Company recorded $54.3 million in manufacturing depreciation, a $25.8 million charge to reduce the carrying value of inventory to NRV, and a $4.1 million reserve for potential claims from suppliers regarding costs incurred or otherwise that may be owed as a result of the bankruptcy claim reconciliation process.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and Note 4 - Property, Plant and Equipment and Assets Held for Sale regarding depreciation and inventory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totaled $12.9 million for the year ended December 31, 2024 compared to $54.4 million for the year ended December 31, 2023. With the Chapter 11 Cases commencing in June 2023, the composition of the Company’s SG&amp;A expense is not comparable on a year-over-year basis.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for the year ended December 31, 2024 consisted primarily of $9.3 million in personnel and professional fees, inclusive of $3.4 million in accelerated stock compensation expense, insurance premium amortization of $3.1 million, as well as bad debt expense of $0.5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for the year ended December 31, 2023 consisted primarily of $23.6 million in personnel and professional fees, $8.1 million in non-reorganization related legal fees and expenses, net litigation settlement related expense of $11.8 million, insurance premium amortization of $5.9 million and sales, marketing and overhead costs of $5.0 million. As part of the bankruptcy proceedings, the Debtors received authorization from the Bankruptcy Court to repurchase all vehicles that were in the possession of our customers. We have repurchased all but two of the vehicles that we sold. The vehicles were sold to an automobile recycling company in 2023. The buyer agreed to dismantle the vehicles and sell them for parts or scrap. The repurchase of the vehicles and related reversal of the accrued warranty accrual was recognized in SG&amp;A, as a net bankruptcy claim settlement credit of approximately $0.5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actions taken in connection with the Chapter 11 Cases, there were no research and development (“R&amp;D”) expenses for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R&amp;D costs consisted primarily of $24.4 million in personnel costs, $3.2 million in outside engineering and consulting services, and $4.5 million in prototype components and other engineering costs incurred prior to our filing for Chapter 11 bankruptcy protection.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and litigation benefit,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settlement and litigation benefit, net totaling $6.0 million represents adjustments to accrued liabilities subject to compromise from claims as a result of the final settlement of claims. Given that claims began to be settled in 2024, no legal settlement and litigation benefit, net was recorded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Items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Reorganization items represent the expenses directly and incrementally resulting from the Chapter 11 Cases filed on June 27, 2023. For the year ended December 31, 2024, reorganization items consisted of $3.1 million in legal fees and $0.9 million in consulting fees. The reorganization items include costs incurred by us as well as those incurred by the official Unsecured Creditors Committee and official Equity Committee, for which we are responsible.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reorganization items consisted of $16.2 million in legal fees, $7.3 million in consulting fees and $7.7 million in potential bankruptcy claims and settlements.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plant, and equipment, prepaid expenses, and other intangibles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property, plant and equipment and other intangibles were reviewed for potential impairment for recoverability. In prior periods,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the Company valued its property, plant and equipment based on its estimate of residual and salvage values, resulting in an impairment charge of $134.7 million for the year ended December 31, 2023. See Note 4 - Property, Plant and Equipment and Assets Held For Sale for additional details regarding our impairment. Additionally, for the year ended December 31, 2023, the Company recognized an impairment of $6.0 million related to other 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impairment charges were incurred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cash and cash equivalents of approximately $23.1 million, short-term investments of approximately $6.4 million, excluding restricted short-term investments of approximately $23.4 million, an accumulated deficit of $1.2 billion at December 31, 2024, and a net loss of $8.1 million for the year ended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and ability to continue as a going concern is dependent upon, among other things: (i) the resolution of significant contingent and other claims, liabilities (see Note 9 - Commitments and Contingencies) and (ii) the outcome of our efforts to realize value, if any, from the Company’s retained causes of action, including the Foxconn Litigation, and other remaining assets.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professional fees and other costs in connection with preparation for and prosecution of the Chapter 11 Cases and expect to continue to incur significant professional fees and costs. In addition, we are subject to significant contingent unliquidated liabilities, the full scope of which is uncertain at this time (see Note 9 - Commitments and Contingencies). Furthermore, under the Plan, we are conducting a process to reconcile the claims asserted that has resulted in approximately $23.4 million of the Company’s short-term investments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December 31, 2024, $22.6 million was included in short-term investments, which represents the initial Claims Reserve of $45 million, less $22.4 million which was released from the Claims Reserve related to the claims reconciliation process including $13.8 million of payments to creditors in connection with the Plan and $8.6 million released from the Claims Reserve as a result of claim settlements that were less than the Claims Reserve.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spacing w:after="0" w:line="18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assets consist of cash and cash equivalents, short-term investments, the Foxconn Litigation claims, claims the Company may have against other parties and NOLs.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Risk Factors under Part I - Item 1A above for further discussion of the risks associated with our limited capital resources and loss exposures, among other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cash flow data for the period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102,904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decreased by $102.1 million for the year ended December 31, 2024 compared to 2023. The decrease of cash used in operating activities, was principally due to the cessation of operations as a result of the Chapter 11 Cases. The Company’s net loss, as adjusted to reconcile cash used by operating activities was $343.1 million for the year ended December 31, 2023, compared to $8.1 million for same period of 2024. The net loss, as adjusted to reconcile cash used by operating activities for the year ended December 31, 2023 included non-cash impairment charges of $140.7 million, $24.1 million related to the write down of inventory and prepaid inventory, $0.9 million for the loss on disposal of fixed assets, $7.4 million of stock-based compensation, and $54.4 million in depreciation of property, plant and equipment and intangible assets, partially offset by $2.2 million of other non-cash charges. The $35.1 million of cash used in operating activities for the year ended December 31, 2024 was comprised of the $8.1 million net loss for the period, a $34.9 million increase in accounts payable and accrued expenses, and $0.3 million realized gain on debt securities available for sale, partially offset by stock-based compensation of $3.5 million and a decrease in prepaid expenses of $4.7 million.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for investing activities was $28.8 million for the year ended December 31, 2024 compared to cash provided by investing activities of $102.9 million for the year ended December 31, 2023. The increase of cash used in investing activities included $38.8 million in the purchase of short-term investments, offset by $10.0 million in maturities of short-term investments for the year ended December 31, 2024. Investing activities for the year ended December 31, 2023, included $134.2 million in maturities of short-term investments, offset by $32.1 million in purchases of short-term investments and $10.2 million in purchases of property, plant,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financing activities were limited to tax withholding payments related to net-settled restricted stock compensation associated with the Company’s 2020 Plan. The Company did not engage in any financing activities during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 obligations, assets or liabilities, which would be considered off-balance sheet arrangements as of December 31, 2024.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Subject to Compromise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9 - Commitments and Contingencies for further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Summary of Significant Accounting Policies to the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we had cash, cash equivalents, short-term investments, and restricted short-term investments of approximately $52.8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r>
      <w:tr>
        <w:trPr>
          <w:trHeight w:val="410"/>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00" w:type="dxa"/>
            <w:vAlign w:val="bottom"/>
            <w:gridSpan w:val="4"/>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Nu Ride Inc.</w:t>
            </w:r>
          </w:p>
        </w:tc>
        <w:tc>
          <w:tcPr>
            <w:tcW w:w="90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20" w:type="dxa"/>
            <w:vAlign w:val="bottom"/>
            <w:gridSpan w:val="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f/k/a Lordstown Motors Corp.</w:t>
            </w:r>
          </w:p>
        </w:tc>
        <w:tc>
          <w:tcPr>
            <w:tcW w:w="9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0" w:type="dxa"/>
            <w:vAlign w:val="bottom"/>
            <w:gridSpan w:val="6"/>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00" w:type="dxa"/>
            <w:vAlign w:val="bottom"/>
          </w:tcPr>
          <w:p>
            <w:pPr>
              <w:spacing w:after="0"/>
              <w:rPr>
                <w:sz w:val="24"/>
                <w:szCs w:val="24"/>
                <w:color w:val="auto"/>
              </w:rPr>
            </w:pPr>
          </w:p>
        </w:tc>
      </w:tr>
      <w:tr>
        <w:trPr>
          <w:trHeight w:val="439"/>
        </w:trPr>
        <w:tc>
          <w:tcPr>
            <w:tcW w:w="1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0340" w:type="dxa"/>
            <w:vAlign w:val="bottom"/>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243)</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31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6"/>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185*)</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103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00" w:type="dxa"/>
            <w:vAlign w:val="bottom"/>
            <w:shd w:val="clear" w:color="auto" w:fill="CCEEFF"/>
          </w:tcPr>
          <w:p>
            <w:pPr>
              <w:spacing w:after="0"/>
              <w:rPr>
                <w:sz w:val="18"/>
                <w:szCs w:val="18"/>
                <w:color w:val="auto"/>
              </w:rPr>
            </w:pPr>
          </w:p>
        </w:tc>
      </w:tr>
      <w:tr>
        <w:trPr>
          <w:trHeight w:val="175"/>
        </w:trPr>
        <w:tc>
          <w:tcPr>
            <w:tcW w:w="180" w:type="dxa"/>
            <w:vAlign w:val="bottom"/>
          </w:tcPr>
          <w:p>
            <w:pPr>
              <w:spacing w:after="0"/>
              <w:rPr>
                <w:sz w:val="15"/>
                <w:szCs w:val="15"/>
                <w:color w:val="auto"/>
              </w:rPr>
            </w:pPr>
          </w:p>
        </w:tc>
        <w:tc>
          <w:tcPr>
            <w:tcW w:w="101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82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2024 and 2023</w:t>
            </w:r>
          </w:p>
        </w:tc>
        <w:tc>
          <w:tcPr>
            <w:tcW w:w="18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180" w:type="dxa"/>
            <w:vAlign w:val="bottom"/>
          </w:tcPr>
          <w:p>
            <w:pPr>
              <w:spacing w:after="0"/>
              <w:rPr>
                <w:sz w:val="15"/>
                <w:szCs w:val="15"/>
                <w:color w:val="auto"/>
              </w:rPr>
            </w:pPr>
          </w:p>
        </w:tc>
        <w:tc>
          <w:tcPr>
            <w:tcW w:w="101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and 2023</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80" w:type="dxa"/>
            <w:vAlign w:val="bottom"/>
            <w:tcBorders>
              <w:top w:val="single" w:sz="8" w:color="CCEEFF"/>
            </w:tcBorders>
          </w:tcPr>
          <w:p>
            <w:pPr>
              <w:spacing w:after="0"/>
              <w:rPr>
                <w:sz w:val="15"/>
                <w:szCs w:val="15"/>
                <w:color w:val="auto"/>
              </w:rPr>
            </w:pPr>
          </w:p>
        </w:tc>
        <w:tc>
          <w:tcPr>
            <w:tcW w:w="31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00" w:type="dxa"/>
            <w:vAlign w:val="bottom"/>
            <w:tcBorders>
              <w:top w:val="single" w:sz="8" w:color="0000EE"/>
            </w:tcBorders>
            <w:gridSpan w:val="3"/>
          </w:tcPr>
          <w:p>
            <w:pPr>
              <w:spacing w:after="0"/>
              <w:rPr>
                <w:sz w:val="15"/>
                <w:szCs w:val="15"/>
                <w:color w:val="auto"/>
              </w:rPr>
            </w:pPr>
          </w:p>
        </w:tc>
        <w:tc>
          <w:tcPr>
            <w:tcW w:w="370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453"/>
        </w:trPr>
        <w:tc>
          <w:tcPr>
            <w:tcW w:w="6640" w:type="dxa"/>
            <w:vAlign w:val="bottom"/>
            <w:tcBorders>
              <w:bottom w:val="single" w:sz="8" w:color="auto"/>
            </w:tcBorders>
            <w:gridSpan w:val="5"/>
          </w:tcPr>
          <w:p>
            <w:pPr>
              <w:jc w:val="center"/>
              <w:ind w:left="4532"/>
              <w:spacing w:after="0"/>
              <w:rPr>
                <w:sz w:val="20"/>
                <w:szCs w:val="20"/>
                <w:color w:val="auto"/>
              </w:rPr>
            </w:pPr>
            <w:r>
              <w:rPr>
                <w:rFonts w:ascii="Times New Roman" w:cs="Times New Roman" w:eastAsia="Times New Roman" w:hAnsi="Times New Roman"/>
                <w:sz w:val="18"/>
                <w:szCs w:val="18"/>
                <w:color w:val="auto"/>
                <w:w w:val="99"/>
              </w:rPr>
              <w:t>26</w:t>
            </w: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Ride,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Nu Ride, Inc. (the “Company”) as of December 31, 2024, the related consolidated statements of operations and comprehensive loss, changes in stockholders’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Ride,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Nu Ride Inc. and subsidiaries (the Company) as of December 31, 2023, the related consolidated statements of operations and comprehensive loss,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2023, and the results of its operations and its cash flows for the period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changed its method of accounting for Segment Reporting as of January 1, 2024 due to the adoption of ASU 2023-07, Segment Reporting (Topic 280): Improvements to Reportable Segment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2020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 except as it relates to the adoption of Topic 280 as described in Note 2, as to which the date is March 28,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investments, restricted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9" w:lineRule="exact"/>
        <w:rPr>
          <w:sz w:val="20"/>
          <w:szCs w:val="20"/>
          <w:color w:val="auto"/>
        </w:rPr>
      </w:pPr>
    </w:p>
    <w:p>
      <w:pPr>
        <w:ind w:left="360" w:right="880" w:hanging="179"/>
        <w:spacing w:after="0" w:line="281" w:lineRule="auto"/>
        <w:rPr>
          <w:sz w:val="20"/>
          <w:szCs w:val="20"/>
          <w:color w:val="auto"/>
        </w:rPr>
      </w:pPr>
      <w:r>
        <w:rPr>
          <w:rFonts w:ascii="Times New Roman" w:cs="Times New Roman" w:eastAsia="Times New Roman" w:hAnsi="Times New Roman"/>
          <w:sz w:val="17"/>
          <w:szCs w:val="17"/>
          <w:color w:val="auto"/>
        </w:rPr>
        <w:t>Other current assets Total current assets</w:t>
      </w:r>
    </w:p>
    <w:p>
      <w:pPr>
        <w:spacing w:after="0" w:line="1" w:lineRule="exact"/>
        <w:rPr>
          <w:sz w:val="20"/>
          <w:szCs w:val="20"/>
          <w:color w:val="auto"/>
        </w:rPr>
      </w:pPr>
    </w:p>
    <w:p>
      <w:pPr>
        <w:ind w:left="360" w:right="940" w:hanging="359"/>
        <w:spacing w:after="0" w:line="276" w:lineRule="auto"/>
        <w:rPr>
          <w:sz w:val="20"/>
          <w:szCs w:val="20"/>
          <w:color w:val="auto"/>
        </w:rPr>
      </w:pPr>
      <w:r>
        <w:rPr>
          <w:rFonts w:ascii="Times New Roman" w:cs="Times New Roman" w:eastAsia="Times New Roman" w:hAnsi="Times New Roman"/>
          <w:sz w:val="18"/>
          <w:szCs w:val="18"/>
          <w:color w:val="auto"/>
        </w:rPr>
        <w:t>Other noncurrent assets Total assets</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23,095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87,096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53,183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92,139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53,183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-1447800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-1165225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-890905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-616585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-325120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40" w:space="400"/>
            <w:col w:w="8200"/>
          </w:cols>
          <w:pgMar w:left="320" w:top="68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legal and professional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12,815</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9,884</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30,467</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12,000,000 shares authorized;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300,000 shares issued and outstanding as of December 31, 2024 and December 31, 2023</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35,455</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32,755</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450,000,000 shares authorized; 16,211,365 and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15,953,212 shares issued, 16,096,296 and 15,953,212 shares outstanding as of December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 and December 31, 2023, respectively</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1,184,505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1,183,804</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(1,178,415)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(1,170,279)</w:t>
            </w: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53,183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91,550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54,413</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items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31,206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plant, &amp; equipment and intangibles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140,726</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 net</w:t>
            </w:r>
          </w:p>
        </w:tc>
        <w:tc>
          <w:tcPr>
            <w:tcW w:w="1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(348,898)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assets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debt securities available for sale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(345,560)</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15,945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2580" w:type="dxa"/>
            <w:vAlign w:val="bottom"/>
          </w:tcPr>
          <w:p>
            <w:pPr>
              <w:spacing w:after="0"/>
              <w:rPr>
                <w:sz w:val="21"/>
                <w:szCs w:val="21"/>
                <w:color w:val="auto"/>
              </w:rPr>
            </w:pPr>
          </w:p>
        </w:tc>
        <w:tc>
          <w:tcPr>
            <w:tcW w:w="18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580" w:type="dxa"/>
            <w:vAlign w:val="bottom"/>
          </w:tcPr>
          <w:p>
            <w:pPr>
              <w:spacing w:after="0"/>
              <w:rPr>
                <w:sz w:val="19"/>
                <w:szCs w:val="19"/>
                <w:color w:val="auto"/>
              </w:rPr>
            </w:pP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gridSpan w:val="2"/>
          </w:tcPr>
          <w:p>
            <w:pPr>
              <w:spacing w:after="0"/>
              <w:rPr>
                <w:sz w:val="19"/>
                <w:szCs w:val="19"/>
                <w:color w:val="auto"/>
              </w:rPr>
            </w:pPr>
          </w:p>
        </w:tc>
        <w:tc>
          <w:tcPr>
            <w:tcW w:w="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$ 30,261</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$ 1,178,960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(827,213)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vesting</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7,403</w:t>
            </w:r>
          </w:p>
        </w:tc>
        <w:tc>
          <w:tcPr>
            <w:tcW w:w="80" w:type="dxa"/>
            <w:vAlign w:val="bottom"/>
            <w:shd w:val="clear" w:color="auto" w:fill="CCEEFF"/>
          </w:tcPr>
          <w:p>
            <w:pPr>
              <w:spacing w:after="0"/>
              <w:rPr>
                <w:sz w:val="18"/>
                <w:szCs w:val="18"/>
                <w:color w:val="auto"/>
              </w:rPr>
            </w:pPr>
          </w:p>
        </w:tc>
      </w:tr>
      <w:tr>
        <w:trPr>
          <w:trHeight w:val="198"/>
        </w:trPr>
        <w:tc>
          <w:tcPr>
            <w:tcW w:w="2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Accrual of Series 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(2,494)</w:t>
            </w:r>
          </w:p>
        </w:tc>
        <w:tc>
          <w:tcPr>
            <w:tcW w:w="160" w:type="dxa"/>
            <w:vAlign w:val="bottom"/>
          </w:tcPr>
          <w:p>
            <w:pPr>
              <w:spacing w:after="0"/>
              <w:rPr>
                <w:sz w:val="20"/>
                <w:szCs w:val="20"/>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r>
      <w:tr>
        <w:trPr>
          <w:trHeight w:val="22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(343,066)</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(343,066)</w:t>
            </w: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32,755</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1,183,804</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(1,170,279)</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gridSpan w:val="2"/>
          </w:tcPr>
          <w:p>
            <w:pPr>
              <w:spacing w:after="0"/>
              <w:rPr>
                <w:sz w:val="18"/>
                <w:szCs w:val="18"/>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vesting</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3,507</w:t>
            </w:r>
          </w:p>
        </w:tc>
        <w:tc>
          <w:tcPr>
            <w:tcW w:w="160" w:type="dxa"/>
            <w:vAlign w:val="bottom"/>
          </w:tcPr>
          <w:p>
            <w:pPr>
              <w:spacing w:after="0"/>
              <w:rPr>
                <w:sz w:val="18"/>
                <w:szCs w:val="18"/>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tcPr>
          <w:p>
            <w:pPr>
              <w:spacing w:after="0"/>
              <w:rPr>
                <w:sz w:val="18"/>
                <w:szCs w:val="18"/>
                <w:color w:val="auto"/>
              </w:rPr>
            </w:pPr>
          </w:p>
        </w:tc>
      </w:tr>
      <w:tr>
        <w:trPr>
          <w:trHeight w:val="198"/>
        </w:trPr>
        <w:tc>
          <w:tcPr>
            <w:tcW w:w="2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Accrual of Series A</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r>
      <w:tr>
        <w:trPr>
          <w:trHeight w:val="198"/>
        </w:trPr>
        <w:tc>
          <w:tcPr>
            <w:tcW w:w="2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 on available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sale debt securities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(8,136)</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(8,136)</w:t>
            </w: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$ 35,455</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$ 1,184,505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(1,178,415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666</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(343,066)</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7,403</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property plant and equipment and intangible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140,726</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54,407</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 down of inventory and prepaid inventory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24,105</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changes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insurance and 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15,742</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and professional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 and liabilities subject to compromise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10"/>
        </w:trPr>
        <w:tc>
          <w:tcPr>
            <w:tcW w:w="66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(32,147)</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134,203</w:t>
            </w: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11,000</w:t>
            </w:r>
          </w:p>
        </w:tc>
      </w:tr>
      <w:tr>
        <w:trPr>
          <w:trHeight w:val="210"/>
        </w:trPr>
        <w:tc>
          <w:tcPr>
            <w:tcW w:w="6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 payments related to net settled restricted stock compensation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(64,001)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(34,262)</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121,358</w:t>
            </w:r>
          </w:p>
        </w:tc>
      </w:tr>
      <w:tr>
        <w:trPr>
          <w:trHeight w:val="263"/>
        </w:trPr>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87,096</w:t>
            </w:r>
          </w:p>
        </w:tc>
        <w:tc>
          <w:tcPr>
            <w:tcW w:w="100" w:type="dxa"/>
            <w:vAlign w:val="bottom"/>
            <w:tcBorders>
              <w:bottom w:val="single" w:sz="8" w:color="CCEEFF"/>
            </w:tcBorders>
          </w:tcPr>
          <w:p>
            <w:pPr>
              <w:spacing w:after="0"/>
              <w:rPr>
                <w:sz w:val="22"/>
                <w:szCs w:val="22"/>
                <w:color w:val="auto"/>
              </w:rPr>
            </w:pPr>
          </w:p>
        </w:tc>
      </w:tr>
      <w:tr>
        <w:trPr>
          <w:trHeight w:val="197"/>
        </w:trPr>
        <w:tc>
          <w:tcPr>
            <w:tcW w:w="6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reorganization items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30,620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assumed certain specified liabilities of the Company for a total purchase price of $10.2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emergence from bankruptcy,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the Company may explore potential business opportunities, including strategic alternatives or business combinations. No assurances can be made that the Company will be successful in prosecuting any claim or cause of action or that any strategic alternative or business combination will be identified and/or would result in profitable operations or the ability to preserve any value from the NOLs. The Company anticipates that the prosecution of claims and causes of action and the evaluation and pursuit of potential strategic alternatives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all shares of the Company’s Class A common stock are presented after giving effect to the 1:15 reverse stock split of the outstanding Class A common stock, which became effective on May 24,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Certain Assets to LandX</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29, 2023, the Company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and assumed certain specified liabilities for a total purchase price of $10.2 million in cash. Upon consummation of the sale, the Company’s investment banker became entitled to a transaction fee of $2.0 million after crediting certain other fees. The transaction fee was paid in January 2024, with no further amounts payable.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Emergence From Bankruptcy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5, 2024, the Bankruptcy Court entered a confirmation order confirming the Plan.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2023, the Company commenced an adversary proceeding against Foxconn (the “Foxconn Litigation”) in the Bankruptcy Court seeking relief for fraudulent and tortious conduct as well as breaches of the Investment Agreement (as defined below) and other agreements, the parties’ joint venture agreement, the Foxconn APA (as defined below), and the CMA (as defined below) that the Company believes were committed by Foxconn. As set forth in the complaint relating to the adversary proceeding, the Company believes Foxconn’s actions have caused substantial harm to the Company’s operations and prospects and caused significant damages.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 Commitments and Contingencies - Foxconn Litigation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The consolidated financial statements include the accounts and operations of the Company and its wholly owned subsidiary. All intercompany accounts and transactions are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cash and cash equivalents of approximately $23.1 million, short-term investments of approximately $6.4 million, excluding restricted short-term investments of approximately $23.4 million, an accumulated deficit of $1.2 billion at December 31, 2024, and a net loss of $8.1 million for the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 The Company intends to explore potential business opportunities, including strategic alternatives or business combinations, including those that would preserve the value of the Company’s NOLs.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both its cash and cash equivalents and unrestricted short-term investments for paying existing accrued expenses and legal and consulting fees expected to be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Financial Statement Preparation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Upon emergence from bankruptcy, the Company assessed the requirements of fresh start accounting as required in Accounting Standards Codification 852: </w:t>
      </w:r>
      <w:r>
        <w:rPr>
          <w:rFonts w:ascii="Times New Roman" w:cs="Times New Roman" w:eastAsia="Times New Roman" w:hAnsi="Times New Roman"/>
          <w:sz w:val="18"/>
          <w:szCs w:val="18"/>
          <w:i w:val="1"/>
          <w:iCs w:val="1"/>
          <w:color w:val="auto"/>
        </w:rPr>
        <w:t xml:space="preserve">Reorganizations </w:t>
      </w:r>
      <w:r>
        <w:rPr>
          <w:rFonts w:ascii="Times New Roman" w:cs="Times New Roman" w:eastAsia="Times New Roman" w:hAnsi="Times New Roman"/>
          <w:sz w:val="18"/>
          <w:szCs w:val="18"/>
          <w:color w:val="auto"/>
        </w:rPr>
        <w:t>(“ASC 852”). Based on the Company’s assessment, management concluded that the Company does not qualify for fresh start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 and (e) filing SEC required reports and satisfying other regulatory requirements.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loss as well as total selling, general, and administrative expenses. The CODM utilizes these metrics in order to assess the Company’s cash burn. Total net loss as well as selling, general, and administrative expenses are used to monitor budget versus actual results.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segment expenses are consistent with those presented on the consolidated statements of operations and comprehensive loss. The measure of segment assets is reported on the consolidated balance sheets as total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Short-term Investments, and Restricted Short-term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for further information.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Restricted short-term investments balances represent the cash reserves as required by the Plan that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$45 million reserve for allowed and disputed claims of general unsecured creditors (the “Claims Reserve”), including interest (although there can be no assurance the Company will be able to pay such claims in full, with interest). As of December 31, 2024, $22.6 million was included in restricted short-term investments, which represents the initial Claims Reserve of $45 million, less $22.4 million which was released from the Claims Reserve related to the claims reconciliation process.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accompanying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9 - Commitments and Contingencies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and Inventory Valuation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the Company’s inventory was specific to the production of the Endurance. The Company ceased production of the Endurance in June 2023. All of our Endurance inventory was sold pursuant to closing the LandX Asset Purchase Agreement in the fourth quarter of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inventory was stated at the lower of cost or net realizable value (“NRV”). In addition to the NRV analysis, the Company recognized an excess inventory reserve to adjust for inventory quantities that were in excess of anticipated Endurance production, which totaled $24.1 million for the year ended December 31, 2023. NRV and excess inventory charges are recorded within Cost of Sales in the Company’s Consolidated Statement of Operations. No such charges were recognized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were stated at cost less accumulated depreciation and impairment charges. Depreciation was computed using the straight-line method over the estimated useful lives and residual values of the related assets. Maintenance and repair expenditures were expensed as incurred, while major improvements that increase functionality of the asset are capitalized and depreciated ratably to expense over the identified useful life.</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Substantially all our property, plant and equipment were sold pursuant to closing the LandX Asset Purchase Agreement in the fourth quarter of 2023.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Long-Lived and Intangible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Long-lived assets, including intangible assets, were reviewed for potential impairment whenever events or changes in circumstances indicate that the carrying amount of an asset or asset group may not be recoverable. Asset impairment calculations required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residual values, functional obsolescence, asset condition and discount rates. When performing impairment tests, we estimated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assets to be held and used, including identifiable intangible assets and long-lived assets subject to amortization, we initiated our review whenever events or changes in circumstances indicate that the carrying amount of these assets may not be recoverable. The recoverability of a long-lived asset subject to amortization is measured by comparison of its carrying amount to the expected future undiscounted cash flows that the asset is expected to generate. Any impairment recognized was measured by the amount by which the carrying amount of the asset exceeded its fair value. Significant management judgment is required in this process.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an impairment charge of $140.7 million for the year ended December 31, 2023. No such charge was recognized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accounted for the warrants it has issued in accordance with the guidance contained in Accounting Standards Codification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815-40-15-7D and 7F under which the warrants did not meet the criteria for equity treatment and were recorded as liabilities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fair value at each reporting period. Any change in fair value was recognized in the statement of operations. As a result of the Chapter 11 Cases, the fair value of the Company’s warrants was deemed to be zero and adjusted accordingly during the year ended December 31, 2023. The fair value of the Company’s warrants is currently deemed to be zero as of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revenue was recognized when control of a promised good or service was transferred to a customer in an amount that reflects the consideration the Company expects to receive in exchange for the good or service. Our performance obligations were satisfied at a point in time. The Company recognized revenue when the customer confirmed acceptance of vehicle possession. Costs related to shipping and handling activities are a part of fulfillment costs and are therefore recognized under cost of sales. The Company’s sales are final and do not have a right of return clause. There were limited instances of sales incentives offered to fleet management companies. The incentives offered were of an immaterial amount per vehicle, and there were no sales incentives recognized during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offer financing options therefore there is no impact on the collectability of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Chapter 11 Cases, the Debtors received authorization from the Bankruptcy Court to repurchase all vehicles that were in the possession of our customers. The Company has repurchased all but two of the vehicles that we sold. The repurchase of the vehicles was recognized in SG&amp;A during the year ended December 31, 2023 as a bankruptcy claim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generate any revenue from operations during the year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costs related to product warranties were accrued at the time products were sold and are charged to cost of sales which included our best estimate of the projected costs to repair or replace items under warranties and recalls if identified. As a result of the Chapter 11 Cases, the Debtors received authorization from the Bankruptcy Court to repurchase all vehicles that were in the possession of our customers. The Company has repurchased all but two of the vehicles that we sold. The balance of the Company’s outstanding warranty accrual as of the date of purchase was recognized in SG&amp;A, as an offset to the bankruptcy claim settlement expense, during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product warranties existed for the Company during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expensed research and development costs as they were incurred. Research and development costs consisted primarily of personnel costs for engineering, testing and manufacturing costs, along with expenditures for prototype manufacturing, testing, validation, certification, contract and other professional services and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research and development costs during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stock-based compensation in accordance with ASC Topic 718,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7 - Stock 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Items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Reorganization items of $4.0 million for the year ended December 31, 2024 represent the expenses directly and incrementally resulting from the Chapter 11 Cases and are separately reported as Reorganization items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in the presentation of the prior period balance sheet related to prepaid expenses, prepaid insurance, and other current assets as well as to the prior period statement of cash flows related to accrued legal and professional and accrued expenses and other liabilities to conform with the December 31, 2024 presentation.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Adopted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The Company adopted ASU 2023-07 beginning January 1, 2024 and determined there was no material impact on its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Company is currently evaluating the effect of this new guidance on the Company’s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ASU requires public business entities to provide disclosure of additional information about certain identified costs and expenses on both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interim and annual basis. In January 2025, the FASB issued ASU 2025-01,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Clarifying the Effective Date. </w:t>
      </w:r>
      <w:r>
        <w:rPr>
          <w:rFonts w:ascii="Times New Roman" w:cs="Times New Roman" w:eastAsia="Times New Roman" w:hAnsi="Times New Roman"/>
          <w:sz w:val="18"/>
          <w:szCs w:val="18"/>
          <w:color w:val="auto"/>
        </w:rPr>
        <w:t>This ASU provided clarification regarding the effective dates of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the accounting guidance in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no short-term investments. As of December 31, 2024, the Company had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anchor investor purchased warrants (the “Private Placement Warrants”), which will expire on October 23, 2025. In connection with the Foxconn Transactions and the closing of the Asset Purchase Agreement, the Company issued warrants to Foxconn that are exercisable until May 11, 2025 (the “Foxconn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following the Reverse Stock Split, the Company had 0.113 million Foxconn Warrants with an exercise price of $157.50 and 0.153 million Private Placement Warrants with a strike price of $172.50. The fair value of the Foxconn Warrants was $0.3 million at issuance. The Private Placement Warrants and the Foxconn Warrants were classified as a liability with any changes in the fair value recognized immediately in our consolidated statements of operations and comprehensive loss. As a result of the Chapter 11 Cases, the fair value of the Company’s warrants was deemed to be zero and adjusted accordingly during the year ended December 31,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summarizes the valuation of our financial instruments (in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Prices with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Prices with</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observable inputs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34"/>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Prices with</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Quoted prices in active</w:t>
            </w:r>
          </w:p>
        </w:tc>
        <w:tc>
          <w:tcPr>
            <w:tcW w:w="160" w:type="dxa"/>
            <w:vAlign w:val="bottom"/>
          </w:tcPr>
          <w:p>
            <w:pPr>
              <w:spacing w:after="0"/>
              <w:rPr>
                <w:sz w:val="18"/>
                <w:szCs w:val="18"/>
                <w:color w:val="auto"/>
              </w:rPr>
            </w:pPr>
          </w:p>
        </w:tc>
        <w:tc>
          <w:tcPr>
            <w:tcW w:w="18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Prices with observable</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34"/>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markets (Level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inputs (Level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87,096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available-for-sale securities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Aggregate fair</w:t>
            </w:r>
          </w:p>
        </w:tc>
        <w:tc>
          <w:tcPr>
            <w:tcW w:w="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Allowance for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Unrealized</w:t>
            </w:r>
          </w:p>
        </w:tc>
        <w:tc>
          <w:tcPr>
            <w:tcW w:w="224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basis</w:t>
            </w:r>
          </w:p>
        </w:tc>
        <w:tc>
          <w:tcPr>
            <w:tcW w:w="1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8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Gains (Losses)</w:t>
            </w:r>
          </w:p>
        </w:tc>
        <w:tc>
          <w:tcPr>
            <w:tcW w:w="2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Maturity Date Range</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United States government</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February 15, 2025 - May 15,</w:t>
            </w: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29,751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29,741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666</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had assets held for sale that were adjusted to their fair value as the carrying value exceeded the estimated fair value. There was no further impairment loss related to the valuation of assets held for sale for the year ended December 31, 2024. However, for the year ended December 31, 2023, the Company recognized an impairment charge of $140.7 million to adjust the carrying value of its right of use assets. The categorization of the framework used to value the assets is Level 3 given the significant unobservable inputs used to determine fair value. Refer to Note 4 - Property, Plant and Equipment and Assets Held for Sale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 AND ASSETS HELD FOR SALE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as discussed above, the Company valued its property, plant and equipment based on their estimated residual value as of June 30, 2023, which was estimated at zero. As a result, the Company recognized property, plant and equipment impairment and right of use asset impairment charges of $133.5 million and $1.3 million, respectively, during the year ended December 31, 2023. Accordingly, there was no property, plant and equipment or assets held for sale impairment charge recognized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SERIES A CONVERTIBLE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7, 2022, the Company issued 0.3 million shares of Preferred Stock for $100 per share to Foxconn, resulting in gross proceeds of $30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following the parties’ agreement to the EV Program (as defined in the Investment Agreement) budget and the EV Program milestones and satisfaction of those EV Program milestones and other conditions set forth in the Investment Agreement, Foxconn was to purchase in two tranches, a total of 0.7 million additional shares of Preferred Stock at a purchase price of $100 per share for aggregate proceeds of $70 million. The first tranche was to be in an amount equal to 0.3 million shares for an aggregate purchase price of $30 million; the second tranche was to be in an amount equal to 0.4 million shares for an aggregate purchase price of $40 million. The parties agreed to use commercially reasonable efforts to agree upon the EV Program budget and EV Program milestones no later than May 7, 2023.</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(each as defined in the Investment Agreement).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9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Designation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change of control (as defined in the Certificate of Designation, Preferences and Rights of the Series A Convertible Preferred Stock filed by the Company with the Secretary of State of the State of Delaware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Company’s Preferred Stock do not specify an unconditional obligation of the Company to redeem the Preferred Stock on a specific or determinable date, or upon an event certain to occur. The Company notes the existence of the Change of Control Put.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the transaction price associated with the sale of the Preferred Stock to Foxconn was representative of fair value and serves as the basis for initial measurement. 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 the date they are earned. In addition, the holders of the Preferred Stock participate with any dividends payable in respect of any Junior Stock or Parity Stock. The Company accrued $2.7 and $2.5 million in dividends for the years ended December 31, 2024 and 2023, respectively, and had accrued $5.5 and $2.8 million in aggregate dividends as of such date, which represented the estimated fair value to Preferred Stock with a corresponding adjustment to additional-paid-in-capital common stock in the absence of retained earnings.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emergence from bankruptcy, and as of the date of this report, the Preferred Stock remains outstanding and unimpaired. Upon a change of control (as defined in the Certificate of Designation, Preferences and Rights of the Series A Convertible Preferred Stock filed by the Company with the Secretary of State of the State of Delaware), Foxconn can cause the Company to purchase any or all of its Preferred Stock at a purchase price equal to the greater of its $30.0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Consolidated Balance Sheet. As of December 31, 2024 and 2023, the Company did not consider a change of control to be probable, however the Company notes that there is significant uncertainty regarding the outcome of the Foxconn Litigation which may impact the foregoing, and the Company can provide no assurance regarding such determination.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CAPITAL STOCK AND INCOME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authorized shares of capital stock totaling 462 million shares, consisting of (i) 450 million shares of Class A common stock and (ii) 12 million shares of preferred stock, each with a par value of $0.0001.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May 24, 2023 (the “Effective Date”).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filed an Amendment to the Charter on May 22, 2023, which provided that, at the Effective Date, every 15 shares of the issued and outstanding Class A common stock would automatically be combined into one issued and outstanding share of Class A common stock.</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16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shareholders for the years ended December 31, 2024 and 2023, respectively, due to their anti-dilutive effect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Foxconn Preferred Stock</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6"/>
        </w:trPr>
        <w:tc>
          <w:tcPr>
            <w:tcW w:w="6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Foxconn Warrants</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57"/>
        </w:trPr>
        <w:tc>
          <w:tcPr>
            <w:tcW w:w="6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Private Placement Warrants</w:t>
            </w:r>
            <w:r>
              <w:rPr>
                <w:rFonts w:ascii="Times New Roman" w:cs="Times New Roman" w:eastAsia="Times New Roman" w:hAnsi="Times New Roman"/>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Foxconn Warrants are due to expire on May 11, 2025.</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Private Placement Warrants are due to expire on October 23,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three months of an officer’s termination of employment or a director’s termination of board service with the Company will be forfeited.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emergence, the Company and each of its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101,947 shares of Class A common stock to satisfy equity awards that vested during the pendency of the Chapter 11 Cases, and 102,889 shares of Class A common stock related to the accelerated vesting of the NEO awards. The accelerated vesting of the NEO awards resulted in the recognition of $2.6 million of stock compensation expense during the first quarter of 2024. The remaining $0.8 million of stock compensation expense during the first quarter of 2024 related to non-accelerated stock-based compensation for other employees prior to emergence.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Plan, on March 14, 2024, the Board of Directors approved, adopted and ratified an amendment to the Company’s 2020 Equity Incentive Plan, as amended to increase the number of shares of Class A common stock reserved for issuance thereunder to an aggregate of 3,000,000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the Compensation Committee of the Board of Directors of the Company adopted a modified director compensation plan for the five outside directors that constitute the Board of Directors. The director compensation plan includes a three-year grant under the Company’s 2020 Equity Compensation Plan of restricted stock units (“RSUs”) with a fair market value of $8.0 thousand per director per quarter ($96.0 thousand per director in the aggregate), based on the closing price per share of the Company’s common stock on May 13, 2024. The RSUs granted cover service on the Board through the first quarter of 2027 and vest quarterly through January 30, 2027, subject to acceleration on the occurrence of certain events.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$3.5 million and $7.4 million of stock-based compensation expense, respectively, which was included in selling, general, and administrative expense on the consolidated financial statements. As of December 31, 2024, there was $0.4 million of unrecognized stock-based compensation related to non-vested awards that is expected to be recognized over a weighted average period of 2.1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federal income tax with the provision for incomes taxes is as follows at December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CCEEFF"/>
            </w:tcBorders>
          </w:tcPr>
          <w:p>
            <w:pPr>
              <w:spacing w:after="0"/>
              <w:rPr>
                <w:sz w:val="20"/>
                <w:szCs w:val="20"/>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 tax benefits at statutory rates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(1,709)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(72,044)</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736</w:t>
            </w:r>
          </w:p>
        </w:tc>
        <w:tc>
          <w:tcPr>
            <w:tcW w:w="96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(13,165)</w:t>
            </w:r>
          </w:p>
        </w:tc>
        <w:tc>
          <w:tcPr>
            <w:tcW w:w="960" w:type="dxa"/>
            <w:vAlign w:val="bottom"/>
          </w:tcPr>
          <w:p>
            <w:pPr>
              <w:spacing w:after="0"/>
              <w:rPr>
                <w:sz w:val="18"/>
                <w:szCs w:val="18"/>
                <w:color w:val="auto"/>
              </w:rPr>
            </w:pP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difference</w:t>
            </w:r>
          </w:p>
        </w:tc>
        <w:tc>
          <w:tcPr>
            <w:tcW w:w="9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7,383</w:t>
            </w:r>
          </w:p>
        </w:tc>
        <w:tc>
          <w:tcPr>
            <w:tcW w:w="96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Expense/(Benefit)</w:t>
            </w:r>
          </w:p>
        </w:tc>
        <w:tc>
          <w:tcPr>
            <w:tcW w:w="9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(15,936)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2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6,755</w:t>
            </w:r>
          </w:p>
        </w:tc>
        <w:tc>
          <w:tcPr>
            <w:tcW w:w="96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(83.0)%</w:t>
            </w: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96,615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benefit</w:t>
            </w: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Components of the Company’s deferred tax assets are as follows at December 31 (in thousands):</w:t>
            </w: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9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11,059</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12,249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9,914</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268,405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233,493</w:t>
            </w:r>
          </w:p>
        </w:tc>
        <w:tc>
          <w:tcPr>
            <w:tcW w:w="80" w:type="dxa"/>
            <w:vAlign w:val="bottom"/>
            <w:shd w:val="clear" w:color="auto" w:fill="CCEEFF"/>
          </w:tcPr>
          <w:p>
            <w:pPr>
              <w:spacing w:after="0"/>
              <w:rPr>
                <w:sz w:val="19"/>
                <w:szCs w:val="19"/>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282,882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(282,882)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(276,128)</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 of valuation allowance</w:t>
            </w:r>
          </w:p>
        </w:tc>
        <w:tc>
          <w:tcPr>
            <w:tcW w:w="12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respectively, the Company had $1.1 billion and $993.2 million of federal net operating losses that carry forward indefinitely. State and local net operating losses totaled $843.4 million and $880.3 million for 2024 and 2023, respectively. Of the total net operating loss balances at December 31, 2024, the full federal net operating loss as well as state net operating losses totaling $336 million do not expire. The remaining state and local net operating losses carry forward for up to 20 years. No federal, state or local income taxes were paid during 2024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Voluntary Chapter 11 Proceedings, Liabilities Subject to Compromise and Other Potential Claims</w:t>
      </w:r>
    </w:p>
    <w:p>
      <w:pPr>
        <w:spacing w:after="0" w:line="22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June 27, 2023, the Company and its subsidiaries commenced the Chapter 11 Cases in the Bankruptcy Court. See Note 1 - Description of Organization and Business Operations for additional information.</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Since filing the Chapter 11 petitions, until our emergence from bankruptcy on March 14, 2024, the Company operated as debtor-in-possession under the jurisdiction of the Bankruptcy Court and in accordance with the applicable provisions of the Bankruptcy Code.</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spacing w:after="0" w:line="180"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See Note 1 - Description of Organization and Business Operations - Description of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deadline for parties to file proofs of claim arising from the Company’s rejection of an executory contract or unexpired lease, and proofs of claim for administrative expense claims, was April 15,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rejection damages and administrative expense claims were filed, all but one of which has been settled or withdrawn.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emergence from bankruptcy, the Company recorded $60.7 million in restricted cash as required by the Plan of Reorganization for bankruptcy and administrative claim settlements and pre-emergence bankruptcy professional fees. Post emergence the Company settled claims and pre-emergence bankruptcy professional fees totaling $37.3 million, resulting in a restricted short-term investments balance of $23.4 million as of December 31, 2024. In accordance with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the Company recorded a liability totaling $29.9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totaling $20.0 million, resulting in a liabilities subject to compromise balance of $9.9 million as of December 31, 2024. This balance reflects both undisputed and partially disputed amounts the Company may owe.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had accruals of $0 million and $6.5 million, as of December 31, 2024 and 2023, respectively, for certain of its outstanding legal proceedings and potential related obligations within “liabilities subject to compromise” and “accrued and other current liabilities” on its consolidated balance sheets. 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December 31, 2024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Matters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 investigations. The primary policy had a face limit of $5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No damages are sought against the Company. The motion to dismiss is 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Securities Class 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settled the Ohio Securities Class Action, with the lead plaintiff receiving (i) $3 million in cash and (ii) up to an additional $7 million, consisting of</w:t>
      </w:r>
    </w:p>
    <w:p>
      <w:pPr>
        <w:spacing w:after="0" w:line="27" w:lineRule="exact"/>
        <w:rPr>
          <w:sz w:val="20"/>
          <w:szCs w:val="20"/>
          <w:color w:val="auto"/>
        </w:rPr>
      </w:pPr>
    </w:p>
    <w:p>
      <w:pPr>
        <w:jc w:val="both"/>
        <w:ind w:firstLine="8"/>
        <w:spacing w:after="0" w:line="255"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all net litigation proceeds received by the Company on Retained Causes of Action (if any); and (b) the lesser of (x) 16% of any distribution made by the Company on account of Foxconn’s preferred stock liquidation preference, and (y) $5 million, on behalf of the Ohio Settlement Class (as defined in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DiamondPeak Delaware Class Action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Two putative class action lawsuits were filed against former DiamondPeak directors and DiamondPeak Sponsor LLC on December 8 and 13, 2021 in the Delaware Court of Chancery (</w:t>
      </w:r>
      <w:r>
        <w:rPr>
          <w:rFonts w:ascii="Times New Roman" w:cs="Times New Roman" w:eastAsia="Times New Roman" w:hAnsi="Times New Roman"/>
          <w:sz w:val="18"/>
          <w:szCs w:val="18"/>
          <w:i w:val="1"/>
          <w:iCs w:val="1"/>
          <w:color w:val="auto"/>
        </w:rPr>
        <w:t>Hebert v. Hamamoto, et al.</w:t>
      </w:r>
      <w:r>
        <w:rPr>
          <w:rFonts w:ascii="Times New Roman" w:cs="Times New Roman" w:eastAsia="Times New Roman" w:hAnsi="Times New Roman"/>
          <w:sz w:val="18"/>
          <w:szCs w:val="18"/>
          <w:color w:val="auto"/>
        </w:rPr>
        <w:t xml:space="preserve"> (C.A. No. 2021-1066); and </w:t>
      </w:r>
      <w:r>
        <w:rPr>
          <w:rFonts w:ascii="Times New Roman" w:cs="Times New Roman" w:eastAsia="Times New Roman" w:hAnsi="Times New Roman"/>
          <w:sz w:val="18"/>
          <w:szCs w:val="18"/>
          <w:i w:val="1"/>
          <w:iCs w:val="1"/>
          <w:color w:val="auto"/>
        </w:rPr>
        <w:t>Amin v Hamamoto, et al.</w:t>
      </w:r>
      <w:r>
        <w:rPr>
          <w:rFonts w:ascii="Times New Roman" w:cs="Times New Roman" w:eastAsia="Times New Roman" w:hAnsi="Times New Roman"/>
          <w:sz w:val="18"/>
          <w:szCs w:val="18"/>
          <w:color w:val="auto"/>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Times New Roman" w:cs="Times New Roman" w:eastAsia="Times New Roman" w:hAnsi="Times New Roman"/>
          <w:sz w:val="18"/>
          <w:szCs w:val="18"/>
          <w:i w:val="1"/>
          <w:iCs w:val="1"/>
          <w:color w:val="auto"/>
        </w:rPr>
        <w:t>Lordstown Motors Corp. v. Amin</w:t>
      </w:r>
      <w:r>
        <w:rPr>
          <w:rFonts w:ascii="Times New Roman" w:cs="Times New Roman" w:eastAsia="Times New Roman" w:hAnsi="Times New Roman"/>
          <w:sz w:val="18"/>
          <w:szCs w:val="18"/>
          <w:color w:val="auto"/>
        </w:rPr>
        <w:t>, Adv. Proc. No. 23-50428 (Bankr. D. Del.) and (ii) a motion 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8, 2024, the Company and the former DiamondPeak directors entered into a settlement agreement pursuant to which, among other things, such former directors’ claims against the Company were settled.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Claim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received two 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9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Foxconn Transactions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5 - Series A Convertible Preferred Stock for additional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District Court proceedings, the Company and Foxconn engaged in a mediation effort. On January 15, 2025, the Company informed the District Court that the mediation did not result in a resolution.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27, 2025, the Company moved the District Court to allow the appeal to be heard directly by the Court of Appeals for the Third Circuit. That motion is 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vigorously pursuing the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Post-Petition Securities Action</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NHTSA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has repurchased all but two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Investment Agreement, Foxconn made additional equity investments in the Company, whereby it became a related party under the Company’s Related Party Transaction Policy as a 5% or more beneficial owner of the Company’s Class A common stock. For the year ended December 31, 2023, the Company paid Foxconn approximately $0.3 million, primarily related to payments under the CMA and other manufacturing expenses. For the year ended December 31, 2024, the Company made no payments, and had no amounts payable, to Foxconn.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 Pursuant to the Engagement Agreement, M3 Partners’ fees are calculated on an hourly basis. The Company incurred approximately $1.5 million in fees payable to M3 Partners under the Engagement Agreement for the year ended December 31, 2024, which is included in selling, general, and administrative expenses within the consolidated statements of operations and comprehensive loss. For the year ended December 31, 2023, Mr. Gallagher was not a related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December 31, 2024.</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upon his evaluation, our Chief Executive Officer and Chief Financial Officer concluded that the Company’s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 (iii) 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of the CEO and Board of Directors, the Company conducted an evaluation of the effectiveness of the Company’s internal control over financial reporting based on the framework in “Internal Control-Integrated Framework (2013 framework)” issued by the Committee of Sponsoring organizations of the Treadway Commission in 2013. Based on this assessment, management has concluded that its internal control over financial reporting was effective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of the Exchange Act) during the quarter ended December 31, 2024 that have materially affected, or are reasonably likely to materially affect, our internal control over financial reporting.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executive officers adopted or terminated any Rule 10b5-1 trading arrangements or non-Rule 10b5-1 trading arrangements (in each case, as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principal executive officer, principal financial officer and principal accounting officer or controller, or persons performing similar functions. The Code of Business Conduct and Ethics is available on our website at www.nurideinc.com under the heading “Governance.” Any amendments to the Code of Business Conduct and Ethics or any grant of a waiver from the provisions of the Code of Business Conduct and Ethics requiring disclosure under applicable Securities and Exchange Commission rules will be disclosed on the Company’s website.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Accountant’s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and subsidiaries are included in Item 8 of this Report: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Balance Sheets as of December 31, 2024 and 2023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Statements of Operations and Comprehensive Loss for the years ended December 31, 2024 and 2023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Statements of Stockholders’ Equity for the years ended December 31, 2024 and 2023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Statements of Cash Flows for the years ended December 31, 2024 and 2023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left="740" w:hanging="3"/>
        <w:spacing w:after="0" w:line="282" w:lineRule="auto"/>
        <w:tabs>
          <w:tab w:leader="none" w:pos="10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Exhibits.</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20" w:type="dxa"/>
            <w:vAlign w:val="bottom"/>
            <w:gridSpan w:val="19"/>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26"/>
          </w:tcPr>
          <w:p>
            <w:pPr>
              <w:spacing w:after="0" w:line="169"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Third Modified First Amended Joint Chapter 11 Plan of Lordstown Motors Corp. and Its Affiliated Debtors (incorporated by reference to</w:t>
              </w:r>
            </w:hyperlink>
          </w:p>
        </w:tc>
        <w:tc>
          <w:tcPr>
            <w:tcW w:w="20" w:type="dxa"/>
            <w:vAlign w:val="bottom"/>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Exhibit 2.1 to the Company’s Current Report on Form 8-K filed with the SEC on March 7, 2024)</w:t>
              </w:r>
            </w:hyperlink>
          </w:p>
        </w:tc>
        <w:tc>
          <w:tcPr>
            <w:tcW w:w="31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Asset Purchase Agreement, dated September 29, 2023, among Lordstown Motors Corp., Lordstown EV Corporation, Lordstown EV Sales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LLC, LAS Capital LLC and Stephen S. Burns (incorporated by reference to the Company’s Current Report on Form 8-K filed with the SEC</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on September 29, 2023)</w:t>
              </w:r>
            </w:hyperlink>
          </w:p>
        </w:tc>
        <w:tc>
          <w:tcPr>
            <w:tcW w:w="8420" w:type="dxa"/>
            <w:vAlign w:val="bottom"/>
            <w:gridSpan w:val="2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Third Amended and Restated Certificate of Incorporation (incorporated by reference to Exhibit 3.1 to the Company’s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8-K filed with the SEC on March 15, 2024).</w:t>
              </w:r>
            </w:hyperlink>
          </w:p>
        </w:tc>
        <w:tc>
          <w:tcPr>
            <w:tcW w:w="6500" w:type="dxa"/>
            <w:vAlign w:val="bottom"/>
            <w:tcBorders>
              <w:top w:val="single" w:sz="8" w:color="0000EE"/>
            </w:tcBorders>
            <w:gridSpan w:val="1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Second Amended and Restated Bylaws (incorporated by reference to Exhibit 3.2 to the Company’s Current Report on Form 8-K filed with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the SEC on March 15, 2024).</w:t>
              </w:r>
            </w:hyperlink>
          </w:p>
        </w:tc>
        <w:tc>
          <w:tcPr>
            <w:tcW w:w="8040" w:type="dxa"/>
            <w:vAlign w:val="bottom"/>
            <w:gridSpan w:val="2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Designation, Preferences and Rights of Series A Convertible Preferred Stock (incorporated by reference to the Company’s</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Current Report on Form 8-K, filed with the SEC on November 22, 2022)</w:t>
              </w:r>
            </w:hyperlink>
          </w:p>
        </w:tc>
        <w:tc>
          <w:tcPr>
            <w:tcW w:w="490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Class A Common Stock</w:t>
            </w:r>
          </w:p>
        </w:tc>
        <w:tc>
          <w:tcPr>
            <w:tcW w:w="7340" w:type="dxa"/>
            <w:vAlign w:val="bottom"/>
            <w:gridSpan w:val="2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Engagement Letter, dated March 15, 2024, between Nu Ride Inc. and M3 Partners LP. (incorporated by reference to Exhibit 10.4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Company’s Quarterly Report on Form 10-Q for the quarter ended March 31, 2024, filed with the SEC on May 14, 2024)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2020 Equity Incentive Plan (incorporated by reference to the Company’s Current Report on Form 8-K, filed with the SEC on May 19,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Restricted Stock Award Agreement for Directors (incorporated by reference to Exhibit 10.2 of the Company’s Quarterly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10-Q for the quarter ended June 30, 2024, filed with the SEC on August 13, 2024)</w:t>
              </w:r>
            </w:hyperlink>
          </w:p>
        </w:tc>
        <w:tc>
          <w:tcPr>
            <w:tcW w:w="380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Indemnification Agreement for Directors and Executive Officers (incorporated by reference to Exhibit 10.1 of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Quarterly Report on Form 10-Q for the quarter ended June 30, 2024, filed with the SEC on August 13, 2024)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Notice of Stock Option Award Granted Under the Lordstown Motors Corp. 2020 Equity Incentive Plan (incorporated by reference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to the Company’s Annual Report on Form 10 K for the fiscal year ended December 31, 2020)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Notice of Restricted Stock Unit Award Granted Under the Lordstown Motors Corp. 2020 Equity Incentive Plan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reference to the Company’s Annual Report on Form 10 K for the fiscal year ended December 31, 2020)</w:t>
              </w:r>
            </w:hyperlink>
          </w:p>
        </w:tc>
        <w:tc>
          <w:tcPr>
            <w:tcW w:w="270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Lordstown Motors Corp. 2020 Equity Incentive Plan Outside Director Restricted Stock Unit Agreement (incorporated by reference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to the Company’s Annual Report on Form 10 K for the fiscal year ended December 31, 2020)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Lordstown Motors Corp. 2020 Equity Incentive Plan Performance Stock Unit Agreement (incorporated by reference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Company’s Annual Report on Form 10 K for the fiscal year ended December 31, 2022)</w:t>
              </w:r>
            </w:hyperlink>
          </w:p>
        </w:tc>
        <w:tc>
          <w:tcPr>
            <w:tcW w:w="3820" w:type="dxa"/>
            <w:vAlign w:val="bottom"/>
            <w:tcBorders>
              <w:top w:val="single" w:sz="8" w:color="0000EE"/>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Asset Purchase Agreement, dated November 10, 2021, between Lordstown Motors Corp. and Foxconn (incorporated by reference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Company’s Current Report on Form 8-K filed with the SEC on November 10, 2021)</w:t>
              </w:r>
            </w:hyperlink>
          </w:p>
        </w:tc>
        <w:tc>
          <w:tcPr>
            <w:tcW w:w="408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Manufacturing Supply Agreement, dated May 11, 2022, between Lordstown EV Corporation and Foxconn EV System LLC (incorporated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by reference to the Company’s Current Report on Form 8-K, filed with the SEC on May 11, 2022)</w:t>
              </w:r>
            </w:hyperlink>
          </w:p>
        </w:tc>
        <w:tc>
          <w:tcPr>
            <w:tcW w:w="308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Investment Agreement, dated November 7, 2022, between Lordstown Motors Corp. and Foxconn Ventures Pte. Ltd.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reference to the Company’s Current Report on Form 8-K, filed with the SEC on November 7, 2022)</w:t>
              </w:r>
            </w:hyperlink>
          </w:p>
        </w:tc>
        <w:tc>
          <w:tcPr>
            <w:tcW w:w="296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Registration Rights Agreement, dated November 22, 2022, between Lordstown Motors Corp. and Foxconn Ventures Pte. Ltd. (incorporated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by reference to the Company’s Current Report on Form 8-K, filed with the SEC on November 22, 2022)</w:t>
              </w:r>
            </w:hyperlink>
          </w:p>
        </w:tc>
        <w:tc>
          <w:tcPr>
            <w:tcW w:w="264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Open Market Sales Agreement, dated November 7, 2022, between Lordstown Motors Corp. and Jefferies LLC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the Company’s Quarterly Report on Form 10 Q, filed with the SEC on November 7, 2022)</w:t>
              </w:r>
            </w:hyperlink>
          </w:p>
        </w:tc>
        <w:tc>
          <w:tcPr>
            <w:tcW w:w="3600" w:type="dxa"/>
            <w:vAlign w:val="bottom"/>
            <w:tcBorders>
              <w:top w:val="single" w:sz="8" w:color="0000EE"/>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Settlement Agreement, dated August 14, 2023, among Lordstown Motors Corp., Lordstown EV Corporation, Lordstown EV Sales LLC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Karma Automotive LLC (incorporated by reference to the Company’s Current Report on Form 8-K filed with the SEC on August 15,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80" w:type="dxa"/>
            <w:vAlign w:val="bottom"/>
            <w:gridSpan w:val="1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Letter to the Securities and Exchange Commission from KPMG LLP, dated April 17, 2024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Current Report on Form 8-K filed with the SEC on April 18, 2024)</w:t>
              </w:r>
            </w:hyperlink>
          </w:p>
        </w:tc>
        <w:tc>
          <w:tcPr>
            <w:tcW w:w="5320" w:type="dxa"/>
            <w:vAlign w:val="bottom"/>
            <w:gridSpan w:val="1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Nu Ride Inc. Insider Trading Policy</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7"/>
                <w:szCs w:val="17"/>
                <w:color w:val="auto"/>
              </w:rPr>
            </w:pPr>
          </w:p>
        </w:tc>
        <w:tc>
          <w:tcPr>
            <w:tcW w:w="25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w:t>
            </w:r>
          </w:p>
        </w:tc>
        <w:tc>
          <w:tcPr>
            <w:tcW w:w="7580" w:type="dxa"/>
            <w:vAlign w:val="bottom"/>
            <w:gridSpan w:val="2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5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39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6220" w:type="dxa"/>
            <w:vAlign w:val="bottom"/>
            <w:gridSpan w:val="1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Rule 13a-14(a)/15d-14(a), as adopted pursuant to</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674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74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Lordstown Motors Corp. Clawback Policy (incorporated by reference to Exhibit 97.1 to the Company’s Annual Report on Form 10-K for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2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the year ended December 31, 2023, filed with the SEC on February 29, 2024)</w:t>
              </w:r>
            </w:hyperlink>
          </w:p>
        </w:tc>
      </w:tr>
      <w:tr>
        <w:trPr>
          <w:trHeight w:val="48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top w:val="single" w:sz="8" w:color="0000EE"/>
              <w:bottom w:val="single" w:sz="8" w:color="auto"/>
            </w:tcBorders>
            <w:gridSpan w:val="9"/>
          </w:tcPr>
          <w:p>
            <w:pPr>
              <w:ind w:left="444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40" w:type="dxa"/>
            <w:vAlign w:val="bottom"/>
            <w:gridSpan w:val="3"/>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Order (I) Confirming Third Modified First Amended Joint Chapter 11 Plan of Lordstown Motors Corp. and Its Affiliated Debtors and (II)</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Granting Related Relief (incorporated by reference to Exhibit 99.1 to the Company’s Current Report on Form 8-K filed with the SEC on</w:t>
              </w:r>
            </w:hyperlink>
          </w:p>
        </w:tc>
      </w:tr>
      <w:tr>
        <w:trPr>
          <w:trHeight w:val="196"/>
        </w:trPr>
        <w:tc>
          <w:tcPr>
            <w:tcW w:w="1100" w:type="dxa"/>
            <w:vAlign w:val="bottom"/>
          </w:tcPr>
          <w:p>
            <w:pPr>
              <w:spacing w:after="0"/>
              <w:rPr>
                <w:sz w:val="17"/>
                <w:szCs w:val="17"/>
                <w:color w:val="auto"/>
              </w:rPr>
            </w:pPr>
          </w:p>
        </w:tc>
        <w:tc>
          <w:tcPr>
            <w:tcW w:w="10140" w:type="dxa"/>
            <w:vAlign w:val="bottom"/>
            <w:gridSpan w:val="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March 7, 2024).</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980" w:type="dxa"/>
            <w:vAlign w:val="bottom"/>
            <w:gridSpan w:val="2"/>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16"/>
        </w:trPr>
        <w:tc>
          <w:tcPr>
            <w:tcW w:w="110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tc>
      </w:tr>
      <w:tr>
        <w:trPr>
          <w:trHeight w:val="234"/>
        </w:trPr>
        <w:tc>
          <w:tcPr>
            <w:tcW w:w="110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bl>
    <w:p>
      <w:pPr>
        <w:spacing w:after="0" w:line="198" w:lineRule="exact"/>
        <w:rPr>
          <w:sz w:val="20"/>
          <w:szCs w:val="20"/>
          <w:color w:val="auto"/>
        </w:rPr>
      </w:pPr>
    </w:p>
    <w:p>
      <w:pPr>
        <w:ind w:left="580" w:right="360" w:hanging="572"/>
        <w:spacing w:after="0" w:line="184" w:lineRule="auto"/>
        <w:tabs>
          <w:tab w:leader="none" w:pos="58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 RIDE INC.</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25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William Gallagher</w:t>
            </w:r>
          </w:p>
        </w:tc>
      </w:tr>
      <w:tr>
        <w:trPr>
          <w:trHeight w:val="191"/>
        </w:trPr>
        <w:tc>
          <w:tcPr>
            <w:tcW w:w="3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William Gallagher</w:t>
            </w:r>
          </w:p>
        </w:tc>
      </w:tr>
      <w:tr>
        <w:trPr>
          <w:trHeight w:val="234"/>
        </w:trPr>
        <w:tc>
          <w:tcPr>
            <w:tcW w:w="3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President, Secretary, and Treasurer</w:t>
            </w:r>
          </w:p>
        </w:tc>
      </w:tr>
      <w:tr>
        <w:trPr>
          <w:trHeight w:val="432"/>
        </w:trPr>
        <w:tc>
          <w:tcPr>
            <w:tcW w:w="3100" w:type="dxa"/>
            <w:vAlign w:val="bottom"/>
          </w:tcPr>
          <w:p>
            <w:pPr>
              <w:spacing w:after="0"/>
              <w:rPr>
                <w:sz w:val="24"/>
                <w:szCs w:val="24"/>
                <w:color w:val="auto"/>
              </w:rPr>
            </w:pPr>
          </w:p>
        </w:tc>
        <w:tc>
          <w:tcPr>
            <w:tcW w:w="81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William Gallagher, his true and lawful attorney-in-fact and agent, with full power of substitution and resubstitution, for him and in his name, place and stead, in any and all capacities, to sign this Annual Report on Form 10-K for the fiscal year ended December 31, 2024,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for all intents and purposes as he might or could do in person, hereby ratifying and confirming all that each of said attorney-in-fact and agents, or his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58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William Gallagher</w:t>
            </w: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 (Principal Executive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0" w:type="dxa"/>
            <w:vAlign w:val="bottom"/>
          </w:tcPr>
          <w:p>
            <w:pPr>
              <w:spacing w:after="0"/>
              <w:rPr>
                <w:sz w:val="1"/>
                <w:szCs w:val="1"/>
                <w:color w:val="auto"/>
              </w:rPr>
            </w:pPr>
          </w:p>
        </w:tc>
      </w:tr>
      <w:tr>
        <w:trPr>
          <w:trHeight w:val="239"/>
        </w:trPr>
        <w:tc>
          <w:tcPr>
            <w:tcW w:w="2700" w:type="dxa"/>
            <w:vAlign w:val="bottom"/>
            <w:tcBorders>
              <w:bottom w:val="single" w:sz="8" w:color="auto"/>
            </w:tcBorders>
            <w:vMerge w:val="continue"/>
          </w:tcPr>
          <w:p>
            <w:pPr>
              <w:spacing w:after="0"/>
              <w:rPr>
                <w:sz w:val="20"/>
                <w:szCs w:val="20"/>
                <w:color w:val="auto"/>
              </w:rPr>
            </w:pP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Officer, Principal Financial Officer and Principal Accounting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Gallagher</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Andrew L. Sole</w:t>
            </w: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 Sole</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Alexander C. Matina</w:t>
            </w: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Alexander C. Matina</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Michael J. Wartell</w:t>
            </w: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Wartell</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Neil Weiner</w:t>
            </w: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Neil Weiner</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Alexandre Zyngier</w:t>
            </w:r>
          </w:p>
        </w:tc>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2025</w:t>
            </w:r>
          </w:p>
        </w:tc>
        <w:tc>
          <w:tcPr>
            <w:tcW w:w="0" w:type="dxa"/>
            <w:vAlign w:val="bottom"/>
          </w:tcPr>
          <w:p>
            <w:pPr>
              <w:spacing w:after="0"/>
              <w:rPr>
                <w:sz w:val="1"/>
                <w:szCs w:val="1"/>
                <w:color w:val="auto"/>
              </w:rPr>
            </w:pPr>
          </w:p>
        </w:tc>
      </w:tr>
      <w:tr>
        <w:trPr>
          <w:trHeight w:val="22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Alexandre Zyngier</w:t>
            </w:r>
          </w:p>
        </w:tc>
        <w:tc>
          <w:tcPr>
            <w:tcW w:w="2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7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ind w:left="284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Nu Ride Inc. (the “Company”) has one class of securities registered under Section 12 of the Securities Exchange Act of 1934, as amended (the “Exchange Act”): our Class A common stock, par value $0.0001 per share (the “Class A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Class A common stock began trading exclusively on the over-the-counter market on July 7, 2023 under the symbol “RIDEQ.” On March 14, 2024, upon the Company’s emergence from Chapter 11 bankruptcy proceedings, the ticker symbol changed to “NRDE”.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A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of our Class A common stock. It is not intended to be a complete summary of the rights and preferences of our securities, and is qualified by reference to our Third Amended and Restated Certificate of Incorporation, as amended (“Charter”) and Amended and Restated Bylaws (“Bylaws”) described herein, which are included as exhibits to the Annual Report on Form 10-K of which this exhibit forms a part, and the applicable provisions of Delaware law. Defined terms used herein and not defined herein shall have the meaning ascribed to such terms in the Company’s Annual Report on Form 10-K of which this exhibit forms a part.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Charter authorizes the issuance of 462,000,000 shares of capital stock, $0.0001 par value per share, consisting of 450,000,000 shares of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common stock and 12,000,000 shares of undesignated preferred stock. The outstanding shares of Class A common stock are duly authorized, validly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fully paid and non-assessable.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Power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Dissolution and Winding Up</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the total number of directors of the Company shall be no less than three and no more than nine as fixed from time to time by the board. Our Charter provides that our board of directors is divided into three classes, each of which generally serves for a term of three years with only one class of directors being elected in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Series A Convertible Preferred Stock has been designated, with such series consisting of such number of shares, with such voting powers and with such designations, preferences and relative, participating, optional or other special rights, and qualifications, limitations or restrictions therefor as are stated and expressed in that certain Certificate of Designation, Preferences, and Rights of Series A Convertible Preferred Stock, par value $0.0001 of Lordstown Motors Corp. filed with the Secretary of State of the State of Delaware on November 18, 2022, which is included as an exhibit to the Annual Report on Form 10-K of which this exhibit forms a part.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Our Charter and the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Charter provides that special meetings of our stockholders may be called only by the board of directors pursuant to a resolution adopted by a majority of the entire board of directors then in office. Subject to the rights, if any, of the holders of any outstanding series of preferred stock, and to the requirements of applicable law, stockholders may not call special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among other requirements.</w:t>
      </w:r>
    </w:p>
    <w:p>
      <w:pPr>
        <w:spacing w:after="0" w:line="16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For a nomination made by a stockholder to be timely, a stockholder’s notice will need to be received by our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meeting and not later than the later of (x)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w:t>
      </w:r>
    </w:p>
    <w:p>
      <w:pPr>
        <w:jc w:val="both"/>
        <w:spacing w:after="0" w:line="220" w:lineRule="auto"/>
        <w:rPr>
          <w:sz w:val="20"/>
          <w:szCs w:val="20"/>
          <w:color w:val="auto"/>
        </w:rPr>
      </w:pPr>
      <w:r>
        <w:rPr>
          <w:rFonts w:ascii="Times New Roman" w:cs="Times New Roman" w:eastAsia="Times New Roman" w:hAnsi="Times New Roman"/>
          <w:sz w:val="18"/>
          <w:szCs w:val="18"/>
          <w:color w:val="auto"/>
        </w:rPr>
        <w:t>meeting or (y)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 Director nominations must also comply with the notice requirements of Rule 14a-19.</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business (other than nominations) brought before an annual meeting by a stockholder to be timely, notice must be received by our secretary at our principal executive offices not later than the close of business on the 140th day nor earlier than the close of business on the 160th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160th day before the meeting and not later than the later of (x) the close of business on the 140th day before the meeting or (y) the close of business on the 10th day following the day on which public announcement of the date of the annual meeting is first made by us.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Selection for Certain Lawsuits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w:t>
      </w:r>
    </w:p>
    <w:p>
      <w:pPr>
        <w:spacing w:after="0" w:line="3" w:lineRule="exact"/>
        <w:rPr>
          <w:sz w:val="20"/>
          <w:szCs w:val="20"/>
          <w:color w:val="auto"/>
        </w:rPr>
      </w:pPr>
    </w:p>
    <w:p>
      <w:pPr>
        <w:ind w:firstLine="8"/>
        <w:spacing w:after="0" w:line="260" w:lineRule="auto"/>
        <w:tabs>
          <w:tab w:leader="none" w:pos="3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 affiliate of an interested stockholder;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“business combination” includes a merger or sale of more than 10% of our assets. However, the above provisions of Section 203 do not apply if:</w:t>
      </w:r>
    </w:p>
    <w:p>
      <w:pPr>
        <w:spacing w:after="0" w:line="236"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the transaction that made the stockholder an interested stockholder,” prior to the date of the transaction;</w:t>
      </w:r>
    </w:p>
    <w:p>
      <w:pPr>
        <w:spacing w:after="0" w:line="27"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jc w:val="both"/>
        <w:ind w:left="1300" w:hanging="320"/>
        <w:spacing w:after="0" w:line="255"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1012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Nu Ride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Insider Trading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both to satisfy its obligation to prevent insider trading and to help the persons subject to this Policy avoid the severe consequences associated with violations of the insider trading laws. The Policy also is intended to prevent even the appearance of improper conduct on the part of anyone employed by or associated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Policy</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Persons Covered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Policy applies to all directors, officers, and employees of the Company, as well as agents, consultants and contractors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who have access to “material nonpublic information,” as well as their Family Members and Controlled Entities.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“Family Members” include a person’s spouse or life-partner, parents, stepparents, children, stepchildren, siblings, mothers- and fathers-in-law, sons- and daughters-in-law, and brothers- and sisters-in- law and anyone residing in the home of the director, officer, or employee of the Company (other than a tenant or employee).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“Controlled Entities” include any legal entities controlled by a person, such as any corporations, partnerships, or trusts.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Securities Covered</w:t>
      </w:r>
      <w:r>
        <w:rPr>
          <w:rFonts w:ascii="Times New Roman" w:cs="Times New Roman" w:eastAsia="Times New Roman" w:hAnsi="Times New Roman"/>
          <w:sz w:val="18"/>
          <w:szCs w:val="18"/>
          <w:color w:val="auto"/>
        </w:rPr>
        <w:t>. Although it is most likely that the “material, nonpublic information” a person subject to this Policy possess will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the Company, the Company may from time-to-time issue other securities that are publicly traded and, therefore, subject to this Policy. In addition, this Policy applies to all transactions in the securities of other entities, including tenants or suppliers of the Company and entities with which the Company may be negotiating major transactions (such as an acquisition, investment or sale of assets). Information that is not material to the Company may nevertheless be material to those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No Trading on “Material, Nonpublic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person subject to this Policy possesses “material, nonpublic information”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its subsidiaries or any other entity, such person may not (a) purchase, sell or otherwise transact in securities of the Company or such other entity, (b) direct any other person to purchase, sell or otherwise transact in such securities or (c) disclose the information to anyone outside the Company.</w:t>
      </w:r>
    </w:p>
    <w:p>
      <w:pPr>
        <w:spacing w:after="0" w:line="173" w:lineRule="exact"/>
        <w:rPr>
          <w:sz w:val="20"/>
          <w:szCs w:val="20"/>
          <w:color w:val="auto"/>
        </w:rPr>
      </w:pPr>
    </w:p>
    <w:p>
      <w:pPr>
        <w:jc w:val="both"/>
        <w:ind w:firstLine="712"/>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Material, Nonpublic Information</w:t>
      </w:r>
      <w:r>
        <w:rPr>
          <w:rFonts w:ascii="Times New Roman" w:cs="Times New Roman" w:eastAsia="Times New Roman" w:hAnsi="Times New Roman"/>
          <w:sz w:val="18"/>
          <w:szCs w:val="18"/>
          <w:color w:val="auto"/>
        </w:rPr>
        <w:t>. “Material, nonpublic information” is information that is not generally available to the public that could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price of a security and which a reasonable investor would regard as important in deciding whether to buy, sell or hold the security. Either positive or negative information may be material. Because trading that receives scrutiny will be evaluated after the fact with the benefit of hindsight, questions concerning the materiality of particular information should be resolved in favor of materiality, and trading should be avoided. Common examples of material information are:</w:t>
      </w:r>
    </w:p>
    <w:p>
      <w:pPr>
        <w:spacing w:after="0" w:line="18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increase or decrease, a change in dividend policy or the declaration of a dividend;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results from a previously completed quarter or year;</w:t>
      </w:r>
    </w:p>
    <w:p>
      <w:pPr>
        <w:spacing w:after="0" w:line="225" w:lineRule="exact"/>
        <w:rPr>
          <w:rFonts w:ascii="Times New Roman" w:cs="Times New Roman" w:eastAsia="Times New Roman" w:hAnsi="Times New Roman"/>
          <w:sz w:val="18"/>
          <w:szCs w:val="18"/>
          <w:color w:val="auto"/>
        </w:rPr>
      </w:pPr>
    </w:p>
    <w:p>
      <w:pPr>
        <w:ind w:left="5580" w:right="2860" w:hanging="4924"/>
        <w:spacing w:after="0" w:line="563" w:lineRule="auto"/>
        <w:tabs>
          <w:tab w:leader="none" w:pos="1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forecasts, estimates or projections of earnings or results of operations for current or future periods;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tender offer, divestiture or disposition of significant assets;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events regarding securities, including the declaration of a stock split or the offering of additional securities (debt or equity);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tenants, or finance sources, or the loss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an auditor report can no longer be relied upon;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liquidity problems;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cybersecurity risks or incidents, including vulnerabilities and breaches.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list is not exhaustive; other types of information may be material at any particular time, depending on the circumstances. Keep in mind that any review of a person’s transactions will be completed after the fact, with the benefit of hindsight. If a person subject to this Policy is unsure whether</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information is material, he or she should consult the General Counsel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its designee before making any decision to disclose such information (other than to persons who need to know it) or to trade in or recommend securities to which that information relates or assume that the information is material.</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Public Information</w:t>
      </w:r>
      <w:r>
        <w:rPr>
          <w:rFonts w:ascii="Times New Roman" w:cs="Times New Roman" w:eastAsia="Times New Roman" w:hAnsi="Times New Roman"/>
          <w:sz w:val="18"/>
          <w:szCs w:val="18"/>
          <w:color w:val="auto"/>
        </w:rPr>
        <w:t>. Information is considered to be available to the public only when it has been released to the public through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channels (for example, by means of a press release, a publicly accessible conference call or a governmental filing)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enough time has elapsed to permit the investment market to absorb and evaluate the information. As a general rule, information is considered absorbed and evaluated after the completion of the second trading day after the information is released.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Improper Disclosure</w:t>
      </w:r>
      <w:r>
        <w:rPr>
          <w:rFonts w:ascii="Times New Roman" w:cs="Times New Roman" w:eastAsia="Times New Roman" w:hAnsi="Times New Roman"/>
          <w:sz w:val="18"/>
          <w:szCs w:val="18"/>
          <w:color w:val="auto"/>
        </w:rPr>
        <w:t>. The Company has authorized only certain individuals to publicly release material, nonpublic information. Unless a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this Policy is explicitly authorized to do so, such person must refrain from discussing material, nonpublic information with anyone outside the Company. If such information is improperly disclosed to outsiders, the Company may be forced to release it publicly. For example, an improper disclosure which results in a news story about a pending acquisition may require public release of plans that could upset the transaction. Therefore, a person subject to this Policy should avoid discussing such information in public and should ensure that documents containing sensitive information about the Company are secure and are not distributed improperly.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“blackout” period is a period during which a person subject to this Policy may not execute transactions in Company securities. Please bear in mind that even if a blackout period is not in effect, at no time may such person trade in Company securities if such person is aware of material, nonpublic information about the Company. For example, if the Company issues a quarterly earnings release and a person subject to this Policy is aware of other material, nonpublic information not disclosed in the earnings release, such person may not trade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ind w:right="20" w:firstLine="8"/>
        <w:spacing w:after="0" w:line="195" w:lineRule="auto"/>
        <w:tabs>
          <w:tab w:leader="none" w:pos="13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hereof, General Counsel means the general counsel of the Company or the principal outside counsel of the Company in consultation with the Chief Executive Officer of the Company.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6" w:name="page67"/>
    <w:bookmarkEnd w:id="66"/>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Event-Specific Blackout Periods</w:t>
      </w:r>
      <w:r>
        <w:rPr>
          <w:rFonts w:ascii="Times New Roman" w:cs="Times New Roman" w:eastAsia="Times New Roman" w:hAnsi="Times New Roman"/>
          <w:sz w:val="18"/>
          <w:szCs w:val="18"/>
          <w:color w:val="auto"/>
        </w:rPr>
        <w:t>. The Company reserves the right to impose trading blackout periods from time to time when, in the judgment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 blackout period is warranted. A blackout period may be imposed for any reason, including the Company’s involvement in a material transaction, the anticipated issuance of interim earnings guidance or other material public announcements. The existence of an event-specific blackout period may not be announced or may be announced only to those who are aware of the transaction or event giving rise to the blackout period. If a person subject to this Policy is made aware of the existence of an event-specific blackout period, such person should not disclose the existence of such blackout period to any other person. Individuals that are subject to event-specific blackout periods will be contacted when these periods are instituted from time to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Pension Fund Blackout Periods</w:t>
      </w:r>
      <w:r>
        <w:rPr>
          <w:rFonts w:ascii="Times New Roman" w:cs="Times New Roman" w:eastAsia="Times New Roman" w:hAnsi="Times New Roman"/>
          <w:sz w:val="18"/>
          <w:szCs w:val="18"/>
          <w:color w:val="auto"/>
        </w:rPr>
        <w:t>. The Sarbanes-Oxley Act of 2002 prohibits all purchases, sales, or transfers of Company securities by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of the Company during a “pension fund blackout period.” A pension fund blackout period exists whenever 50% or more of the participants in a Company benefit plan are unable to conduct transactions in their Company common stock accounts for more than three consecutive business days. These blackout periods typically occur when there is a change in the benefit plan’s trustee, record keeper or investment manager. Individuals that are subject to these blackout periods will be contacted when these periods are instituted from time to time.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Hardship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person subject to this Policy has an unexpected and urgent need to sell Company securities to generate cash such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 appropriate circumstances, be permitted to sell Company securities during a blackout period. Hardship exceptions may be granted only by the General Counsel or its designee and must be requested at least two business days in advance of the proposed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Trading Restrictions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it improper and inappropriate for persons subject to this Policy to engage in short-term or speculative transactions in Company securities or in other transactions in Company securities that may lead to inadvertent violations of the U.S. insider trading laws. Accordingly, transactions in Company securities by such persons are subject to the following guidance.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Short Sales</w:t>
      </w:r>
      <w:r>
        <w:rPr>
          <w:rFonts w:ascii="Times New Roman" w:cs="Times New Roman" w:eastAsia="Times New Roman" w:hAnsi="Times New Roman"/>
          <w:sz w:val="18"/>
          <w:szCs w:val="18"/>
          <w:color w:val="auto"/>
        </w:rPr>
        <w:t>. Persons subject to this Policy may not engage in short sales of Company securities (sales of securities that are not then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 “sale against the box” (a sale with delayed delivery). In addition, Section 16(c) of the Securities Exchange Act of 1934, as amended (the “Exchange Act”) prohibits directors and executive officers from engaging in short sales.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Publicly Traded Options</w:t>
      </w:r>
      <w:r>
        <w:rPr>
          <w:rFonts w:ascii="Times New Roman" w:cs="Times New Roman" w:eastAsia="Times New Roman" w:hAnsi="Times New Roman"/>
          <w:sz w:val="18"/>
          <w:szCs w:val="18"/>
          <w:color w:val="auto"/>
        </w:rPr>
        <w:t>. Persons subject to this Policy may not engage in transactions in publicly traded options on Company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puts, calls and other derivative securities) on an exchange or in any other organized market.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Standing Orders</w:t>
      </w:r>
      <w:r>
        <w:rPr>
          <w:rFonts w:ascii="Times New Roman" w:cs="Times New Roman" w:eastAsia="Times New Roman" w:hAnsi="Times New Roman"/>
          <w:sz w:val="18"/>
          <w:szCs w:val="18"/>
          <w:color w:val="auto"/>
        </w:rPr>
        <w:t>. Standing orders (except under approved Rule 10b5-1 plans, see below) that extend beyond the date the order is placed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used. A standing order placed with a broker to sell or purchase stock at a specified price leaves persons with no control over the timing of the transaction. A standing order transaction executed by the broker when a person subject to this Policy is aware of material, nonpublic information may result in unlawful insider trading even if the standing order was placed at a time when such person did not possess material, nonpublic information.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Margin Accounts and Pledges</w:t>
      </w:r>
      <w:r>
        <w:rPr>
          <w:rFonts w:ascii="Times New Roman" w:cs="Times New Roman" w:eastAsia="Times New Roman" w:hAnsi="Times New Roman"/>
          <w:sz w:val="18"/>
          <w:szCs w:val="18"/>
          <w:color w:val="auto"/>
        </w:rPr>
        <w:t>. A person that holds securities in a margin account or that are pledged as collateral may not have control over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as the securities may be sold at certain times without such person’s consent. In addition, a margin or foreclosure sale that occurs when a person subject to this Policy is aware of material, nonpublic information may, under some circumstances, result in unlawful insider trading. Persons subject to this Policy who desire to place Company securities in a margin account, pledge Company securities as collateral for a loan or modify an existing margin account or pledge arrangement must submit a written request for approval of the proposed transaction or modification to the General Counsel or a designee thereof at least two weeks prior to the proposed transaction. The General Counsel shall have the sole discretion in determining whether to approve a margin or pledge transaction submitted for pre-approval and there is no assurance that approval will be granted.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Hedges and Monetization Transactions</w:t>
      </w:r>
      <w:r>
        <w:rPr>
          <w:rFonts w:ascii="Times New Roman" w:cs="Times New Roman" w:eastAsia="Times New Roman" w:hAnsi="Times New Roman"/>
          <w:sz w:val="18"/>
          <w:szCs w:val="18"/>
          <w:color w:val="auto"/>
        </w:rPr>
        <w:t>. Persons subject to this Policy may not engage in hedging or monetization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 Company securities or through the use of financial instruments designed for such purpose. Such hedging and monetization transactions may permit a person to own Company securities, but without the full risks and rewards of ownership. When that occurs, the person may no longer have the same objectives as the Company’s stockholders generally.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Under Company Benefit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U.S. insider trading laws also restrict the ability of persons subject to this Policy to engage in certain transactions under the Company’s benefit plans, as described below:</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Incentive Plan</w:t>
      </w:r>
      <w:r>
        <w:rPr>
          <w:rFonts w:ascii="Times New Roman" w:cs="Times New Roman" w:eastAsia="Times New Roman" w:hAnsi="Times New Roman"/>
          <w:sz w:val="18"/>
          <w:szCs w:val="18"/>
          <w:color w:val="auto"/>
        </w:rPr>
        <w:t>. Persons subject to this Policy may be granted stock-based compensation awards, including restricted stock units. Such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not, however, sell in the open market any Company stock granted under such compensation plan during any blackout period that applies to such person or while such person possesses material, nonpublic information. This Policy does not apply to the exercise of a tax withholding right pursuant to which a person subject to this Policy elects to have the Company withhold shares of stock to satisfy tax withholding requirements upon the vesting of any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exercise is subject to the pre-clearance procedures set forth below under the caption “Pre-Clearance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Transactions in Company securities under a plan that complies with Rule 10b5-1 under the Exchange Act are not subject to the prohibition on trades during blackout periods or the prohibition on trading while being aware of material, nonpublic information described above.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a Rule 10b5-1 plan must be entered into before the employee is aware of material, nonpublic information and may not be adopted during a blackout period. Once the plan is adopted, the employee must not exercise any influence over the amount of securities to be traded, the price at which they are to be traded or the date of the trade. In addition, the plan must either specify (including by formula) the amount, pricing, and timing of transactions in advance or delegate discretion on those matters to an independent third party. The Company requires that the adoption, modification or early termination of Rule 10b5-1 plans be approved in writing and in advance by the Company’s General Counsel or its designee.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Procedures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persons subject to this Policy may not engage in any transaction involving Company securities without first obtaining pre-clearance of the transaction from the General Counsel or its designee.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request for pre-clearance should be submitted to the General Counsel or its designee at least two business days in advance of the proposed transaction. A request for pre-clearance should contain a description of the proposed transaction, the date of the proposed transaction and the number of securities involved in the transaction. The General Counsel or its designee are under no obligation to approve a transaction submitted for pre-clearance and may determine not to permit the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pre-clearance is granted, such pre-clearance is effective only for two business days and if the transaction is not executed during that period, another request for pre-clearance must be submitted in accordance with the procedures set forth above </w:t>
      </w:r>
      <w:r>
        <w:rPr>
          <w:rFonts w:ascii="Times New Roman" w:cs="Times New Roman" w:eastAsia="Times New Roman" w:hAnsi="Times New Roman"/>
          <w:sz w:val="18"/>
          <w:szCs w:val="18"/>
          <w:color w:val="231F20"/>
        </w:rPr>
        <w:t>unless an exception is granted or the pre-clearance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approval has been revoked by oral or written notice</w:t>
      </w:r>
      <w:r>
        <w:rPr>
          <w:rFonts w:ascii="Times New Roman" w:cs="Times New Roman" w:eastAsia="Times New Roman" w:hAnsi="Times New Roman"/>
          <w:sz w:val="18"/>
          <w:szCs w:val="18"/>
          <w:color w:val="000000"/>
        </w:rPr>
        <w:t>. The General Counsel or its designee may not execute a transaction in Company securities unless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Chief Executive Officer or its designee has approved the transaction(s) in accordance with the procedures set forth above.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Notwithstanding receipt of pre-clearance, if the requesting person becomes aware of material, nonpublic information or becomes subject to a blackout period before the transaction is effected, the transaction may not be completed.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pre-clearance procedure is designed to prevent violations of Section 16(a) and Section 16(b) of the Exchange Act. Section 16(a) of the Exchange Act requires that certain transactions in Company securities must be reported on Form 4 and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within two business days following the date of the transaction. This Policy requires not only pre-clearance of transactions in Company securities, but also advance notification of sufficient details of the transaction to give the Company time to prepare and file the required reports within the applicable deadline. To ensure that the Company has sufficient time to prepare and file the Form 4 with the SEC, all directors and officers who have been designated as “officers” for purposes of Section 16 under the Exchange Act (collectively with the directors, the “</w:t>
      </w:r>
      <w:r>
        <w:rPr>
          <w:rFonts w:ascii="Times New Roman" w:cs="Times New Roman" w:eastAsia="Times New Roman" w:hAnsi="Times New Roman"/>
          <w:sz w:val="18"/>
          <w:szCs w:val="18"/>
          <w:u w:val="single" w:color="auto"/>
          <w:color w:val="auto"/>
        </w:rPr>
        <w:t>Section 16 Reporting Persons</w:t>
      </w:r>
      <w:r>
        <w:rPr>
          <w:rFonts w:ascii="Times New Roman" w:cs="Times New Roman" w:eastAsia="Times New Roman" w:hAnsi="Times New Roman"/>
          <w:sz w:val="18"/>
          <w:szCs w:val="18"/>
          <w:color w:val="auto"/>
        </w:rPr>
        <w:t>”) must report the details of the transaction to us at least by the close of business on the date the transaction occurred. Due to the short, two-business day period in which to file the reports, the Company may have the Form 4 executed and filed with the SEC on your behalf using the power of attorney that you have granted to the Company for this purpose. Please contact the Company immediately if you believe there may be any errors in a filing.</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16(b) provides that Section 16 Reporting Persons are liable to the Company for any “short- swing profits” resulting from a non-exempt purchase and sale, or sale and purchase, of Company securities that occur within a period of less than six months. The SEC may cause the Company to contribute these disgorged profits into a public fund to be used for restitution to the victims of such violations. Compliance with Section 16(a), Section 16(b) and other restricted trading periods is the responsibility of each Section 16 Reporting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persons subject to this Policy are aware of material, nonpublic information when such person’s employment or service relationship terminates, such person may not trade in Company securities until that information has been publicly released.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Consequences of Insider Trading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Individuals who trade on material nonpublic information (or tip information to others) can be subject to an array of civil and criminal penalties.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are taken very seriously by the SEC, the federal agency responsible for enforcing the law in this area. Potential sanctions include:</w:t>
      </w:r>
    </w:p>
    <w:p>
      <w:pPr>
        <w:spacing w:after="0" w:line="207"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gained or losses avoided and interest thereon;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and imprisonment;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bar from acting as an officer or director of a publicly traded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penalties can apply even if the individual is not a director or officer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potentially severe civil and criminal penalties for violation of the insider trading laws, violation of this Policy may result in disciplinary action by the Company, up to and including termination of employment. A conviction or finding of liability for insider trading can also result in individuals being banned generally from employment in the securities or financial industries or other employment, and even a mere allegation of insider trading can result in severe harm to professional and personal reputation.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transaction that may be necessary or seem justifiable for independent reasons (including a need to raise money for a personal financial emergency) is neither an exception to this Policy nor a safeguard against prosecution for violation of insider trading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company (as well as possibly any supervisory person) that fails to take appropriate steps to prevent illegal trading, a civil penalty and criminal fine may be imposed as a result of an employee’s violation. There are also likely to be shareholder lawsuits and adverse publicity arising from such illegal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approved by the Board on March 26,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Subsidiaries of Nu Ride Inc.</w:t>
            </w:r>
          </w:p>
        </w:tc>
      </w:tr>
      <w:tr>
        <w:trPr>
          <w:trHeight w:val="445"/>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Lordstown EV Corporation</w:t>
            </w:r>
          </w:p>
        </w:tc>
        <w:tc>
          <w:tcPr>
            <w:tcW w:w="2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Lordstown EV Sales LLC</w:t>
            </w:r>
          </w:p>
        </w:tc>
        <w:tc>
          <w:tcPr>
            <w:tcW w:w="21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3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0" w:name="page71"/>
    <w:bookmarkEnd w:id="70"/>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Gallagher,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 Ride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Gallagher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Nu Ride Inc. (the “Company”) for the year ended December 31, 2024, as filed with the Securities and Exchange Commission on the date hereof (the “Report”), I, William Gallagher, Chief Executive Officer, President,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580" w:firstLine="8"/>
        <w:spacing w:after="0" w:line="499"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28, 2025</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Gallagher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Roman"/>
      <w:start w:val="3"/>
    </w:lvl>
  </w:abstractNum>
  <w:abstractNum w:abstractNumId="15">
    <w:nsid w:val="62BBD95A"/>
    <w:multiLevelType w:val="hybridMultilevel"/>
    <w:lvl w:ilvl="0">
      <w:lvlJc w:val="left"/>
      <w:lvlText w:val=" "/>
      <w:numFmt w:val="bullet"/>
      <w:start w:val="1"/>
    </w:lvl>
    <w:lvl w:ilvl="1">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72" Type="http://schemas.openxmlformats.org/officeDocument/2006/relationships/hyperlink" Target="https://www.sec.gov/Archives/edgar/data/1759546/000110465924031706/tm248190d1_ex2-1.htm" TargetMode="External"/><Relationship Id="rId73" Type="http://schemas.openxmlformats.org/officeDocument/2006/relationships/hyperlink" Target="https://www.sec.gov/Archives/edgar/data/1759546/000110465923105414/tm2327218d1_ex2-1.htm" TargetMode="External"/><Relationship Id="rId74" Type="http://schemas.openxmlformats.org/officeDocument/2006/relationships/hyperlink" Target="https://www.sec.gov/Archives/edgar/data/1759546/000110465924034627/tm248893d1_ex3-1.htm" TargetMode="External"/><Relationship Id="rId75" Type="http://schemas.openxmlformats.org/officeDocument/2006/relationships/hyperlink" Target="https://www.sec.gov/Archives/edgar/data/1759546/000110465924034627/tm248893d1_ex3-2.htm" TargetMode="External"/><Relationship Id="rId76" Type="http://schemas.openxmlformats.org/officeDocument/2006/relationships/hyperlink" Target="https://www.sec.gov/Archives/edgar/data/1759546/000110465922121019/tm2231108d1_ex3-1.htm" TargetMode="External"/><Relationship Id="rId77" Type="http://schemas.openxmlformats.org/officeDocument/2006/relationships/hyperlink" Target="https://www.sec.gov/Archives/edgar/data/1759546/000155837024008150/tmb-20240331xex10d4.htm" TargetMode="External"/><Relationship Id="rId78" Type="http://schemas.openxmlformats.org/officeDocument/2006/relationships/hyperlink" Target="https://www.sec.gov/Archives/edgar/data/1759546/000110465922062952/tm2216027d2_ex10-1.htm" TargetMode="External"/><Relationship Id="rId79" Type="http://schemas.openxmlformats.org/officeDocument/2006/relationships/hyperlink" Target="https://www.sec.gov/Archives/edgar/data/1759546/000155837024012064/tmb-20240630xex10d2.htm" TargetMode="External"/><Relationship Id="rId80" Type="http://schemas.openxmlformats.org/officeDocument/2006/relationships/hyperlink" Target="https://www.sec.gov/Archives/edgar/data/1759546/000155837024012064/tmb-20240630xex10d1.htm" TargetMode="External"/><Relationship Id="rId81" Type="http://schemas.openxmlformats.org/officeDocument/2006/relationships/hyperlink" Target="https://www.sec.gov/Archives/edgar/data/1759546/000155837021003449/ride-20201231xex10d5.htm" TargetMode="External"/><Relationship Id="rId82" Type="http://schemas.openxmlformats.org/officeDocument/2006/relationships/hyperlink" Target="https://www.sec.gov/Archives/edgar/data/1759546/000155837021003449/ride-20201231xex10d6.htm" TargetMode="External"/><Relationship Id="rId83" Type="http://schemas.openxmlformats.org/officeDocument/2006/relationships/hyperlink" Target="https://www.sec.gov/Archives/edgar/data/1759546/000155837021003449/ride-20201231xex10d7.htm" TargetMode="External"/><Relationship Id="rId84" Type="http://schemas.openxmlformats.org/officeDocument/2006/relationships/hyperlink" Target="https://www.sec.gov/Archives/edgar/data/1759546/000155837023002862/ride-20221231xex10d8.htm" TargetMode="External"/><Relationship Id="rId85" Type="http://schemas.openxmlformats.org/officeDocument/2006/relationships/hyperlink" Target="https://www.sec.gov/Archives/edgar/data/1759546/000110465921137046/tm2132527d2_ex10-1.htm" TargetMode="External"/><Relationship Id="rId86" Type="http://schemas.openxmlformats.org/officeDocument/2006/relationships/hyperlink" Target="https://www.sec.gov/Archives/edgar/data/1759546/000110465922058868/tm2215185d1_ex10-1.htm" TargetMode="External"/><Relationship Id="rId87" Type="http://schemas.openxmlformats.org/officeDocument/2006/relationships/hyperlink" Target="https://www.sec.gov/Archives/edgar/data/1759546/000110465922115456/tm2229871d1_ex10-1.htm" TargetMode="External"/><Relationship Id="rId88" Type="http://schemas.openxmlformats.org/officeDocument/2006/relationships/hyperlink" Target="https://www.sec.gov/Archives/edgar/data/1759546/000110465922121019/tm2231108d1_ex10-1.htm" TargetMode="External"/><Relationship Id="rId89" Type="http://schemas.openxmlformats.org/officeDocument/2006/relationships/hyperlink" Target="https://www.sec.gov/Archives/edgar/data/1759546/000155837022016658/ride-20220930xex10d3.htm" TargetMode="External"/><Relationship Id="rId90" Type="http://schemas.openxmlformats.org/officeDocument/2006/relationships/hyperlink" Target="https://www.sec.gov/Archives/edgar/data/1759546/000110465923091748/tm2323666d1_ex10-1.htm" TargetMode="External"/><Relationship Id="rId91" Type="http://schemas.openxmlformats.org/officeDocument/2006/relationships/hyperlink" Target="https://www.sec.gov/Archives/edgar/data/1759546/000119312524099841/d812581dex161.htm" TargetMode="External"/><Relationship Id="rId92" Type="http://schemas.openxmlformats.org/officeDocument/2006/relationships/hyperlink" Target="https://www.sec.gov/Archives/edgar/data/1759546/000155837024002081/ride-20231231xex97d1.htm" TargetMode="External"/><Relationship Id="rId93" Type="http://schemas.openxmlformats.org/officeDocument/2006/relationships/hyperlink" Target="https://www.sec.gov/Archives/edgar/data/1759546/000110465924031706/tm248190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2025-03-28T15:53:39Z</dcterms:created>
  <dcterms:modified xsi:type="dcterms:W3CDTF">2025-03-28T15:53:39Z</dcterms:modified>
</cp:coreProperties>
</file>