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660" w:right="940" w:hanging="2712"/>
        <w:spacing w:after="0" w:line="476" w:lineRule="auto"/>
        <w:tabs>
          <w:tab w:leader="none" w:pos="11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right"/>
        <w:ind w:right="4400"/>
        <w:spacing w:after="0"/>
        <w:tabs>
          <w:tab w:leader="none" w:pos="4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right"/>
        <w:ind w:right="4400"/>
        <w:spacing w:after="0"/>
        <w:rPr>
          <w:sz w:val="20"/>
          <w:szCs w:val="20"/>
          <w:color w:val="auto"/>
        </w:rPr>
      </w:pPr>
      <w:r>
        <w:rPr>
          <w:rFonts w:ascii="Arial" w:cs="Arial" w:eastAsia="Arial" w:hAnsi="Arial"/>
          <w:sz w:val="18"/>
          <w:szCs w:val="18"/>
          <w:b w:val="1"/>
          <w:bCs w:val="1"/>
          <w:color w:val="auto"/>
        </w:rPr>
        <w:t>Commission File No. 001-38821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83-2533239</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2300 Hallock Young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Lordstown, Ohio 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(2343) 285-4001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2"/>
        </w:trPr>
        <w:tc>
          <w:tcPr>
            <w:tcW w:w="45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7"/>
              </w:rPr>
              <w:t>Title of each class</w:t>
            </w:r>
          </w:p>
        </w:tc>
        <w:tc>
          <w:tcPr>
            <w:tcW w:w="30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80" w:type="dxa"/>
            <w:vAlign w:val="bottom"/>
            <w:tcBorders>
              <w:top w:val="single" w:sz="8" w:color="auto"/>
            </w:tcBorders>
            <w:shd w:val="clear" w:color="auto" w:fill="CCEEFF"/>
          </w:tcPr>
          <w:p>
            <w:pPr>
              <w:jc w:val="center"/>
              <w:ind w:right="570"/>
              <w:spacing w:after="0" w:line="201" w:lineRule="exact"/>
              <w:rPr>
                <w:sz w:val="20"/>
                <w:szCs w:val="20"/>
                <w:color w:val="auto"/>
              </w:rPr>
            </w:pPr>
            <w:r>
              <w:rPr>
                <w:rFonts w:ascii="Arial" w:cs="Arial" w:eastAsia="Arial" w:hAnsi="Arial"/>
                <w:sz w:val="18"/>
                <w:szCs w:val="18"/>
                <w:color w:val="auto"/>
                <w:w w:val="97"/>
              </w:rPr>
              <w:t>RIDE</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560" w:type="dxa"/>
            <w:vAlign w:val="bottom"/>
            <w:gridSpan w:val="3"/>
            <w:shd w:val="clear" w:color="auto" w:fill="CCEEFF"/>
          </w:tcPr>
          <w:p>
            <w:pPr>
              <w:jc w:val="center"/>
              <w:ind w:right="940"/>
              <w:spacing w:after="0"/>
              <w:rPr>
                <w:sz w:val="20"/>
                <w:szCs w:val="20"/>
                <w:color w:val="auto"/>
              </w:rPr>
            </w:pPr>
            <w:r>
              <w:rPr>
                <w:rFonts w:ascii="Arial" w:cs="Arial" w:eastAsia="Arial" w:hAnsi="Arial"/>
                <w:sz w:val="18"/>
                <w:szCs w:val="18"/>
                <w:color w:val="auto"/>
                <w:w w:val="84"/>
              </w:rPr>
              <w:t>share</w:t>
            </w:r>
          </w:p>
        </w:tc>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30"/>
        </w:trPr>
        <w:tc>
          <w:tcPr>
            <w:tcW w:w="4560" w:type="dxa"/>
            <w:vAlign w:val="bottom"/>
            <w:gridSpan w:val="3"/>
          </w:tcPr>
          <w:p>
            <w:pPr>
              <w:jc w:val="center"/>
              <w:ind w:right="940"/>
              <w:spacing w:after="0"/>
              <w:rPr>
                <w:sz w:val="20"/>
                <w:szCs w:val="20"/>
                <w:color w:val="auto"/>
              </w:rPr>
            </w:pPr>
            <w:r>
              <w:rPr>
                <w:rFonts w:ascii="Arial" w:cs="Arial" w:eastAsia="Arial" w:hAnsi="Arial"/>
                <w:sz w:val="18"/>
                <w:szCs w:val="18"/>
                <w:color w:val="auto"/>
                <w:w w:val="89"/>
              </w:rPr>
              <w:t>Warrants to purchase Class A common stock</w:t>
            </w:r>
          </w:p>
        </w:tc>
        <w:tc>
          <w:tcPr>
            <w:tcW w:w="308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RIDEW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1440" w:gutter="0" w:footer="0" w:header="0"/>
        </w:sectPr>
      </w:pPr>
    </w:p>
    <w:p>
      <w:pPr>
        <w:spacing w:after="0" w:line="15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Large accelerated filer</w:t>
      </w:r>
    </w:p>
    <w:p>
      <w:pPr>
        <w:spacing w:after="0" w:line="6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w:t>
      </w:r>
    </w:p>
    <w:p>
      <w:pPr>
        <w:spacing w:after="0" w:line="2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w:t>
      </w:r>
    </w:p>
    <w:p>
      <w:pPr>
        <w:spacing w:after="0" w:line="200" w:lineRule="exact"/>
        <w:rPr>
          <w:sz w:val="24"/>
          <w:szCs w:val="24"/>
          <w:color w:val="auto"/>
        </w:rPr>
      </w:pPr>
    </w:p>
    <w:p>
      <w:pPr>
        <w:sectPr>
          <w:pgSz w:w="11900" w:h="16838" w:orient="portrait"/>
          <w:cols w:equalWidth="0" w:num="2">
            <w:col w:w="4900" w:space="720"/>
            <w:col w:w="5620"/>
          </w:cols>
          <w:pgMar w:left="320" w:top="513" w:right="339" w:bottom="1440" w:gutter="0" w:footer="0" w:header="0"/>
          <w:type w:val="continuous"/>
        </w:sectPr>
      </w:pPr>
    </w:p>
    <w:p>
      <w:pPr>
        <w:spacing w:after="0" w:line="21"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16, 2020, there were 164,948,923 shares of Class A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32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93"/>
              </w:rPr>
              <w:t>Quarterly Report on Form 10-Q</w:t>
            </w:r>
          </w:p>
        </w:tc>
        <w:tc>
          <w:tcPr>
            <w:tcW w:w="9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32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r>
      <w:tr>
        <w:trPr>
          <w:trHeight w:val="43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432"/>
        </w:trPr>
        <w:tc>
          <w:tcPr>
            <w:tcW w:w="10340" w:type="dxa"/>
            <w:vAlign w:val="bottom"/>
            <w:gridSpan w:val="8"/>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1 – FINANCIAL INFORMATION</w:t>
              </w:r>
            </w:hyperlink>
          </w:p>
        </w:tc>
        <w:tc>
          <w:tcPr>
            <w:tcW w:w="9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September 30, 2020 (unaudited) and December 31, 2019</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5"/>
        </w:trPr>
        <w:tc>
          <w:tcPr>
            <w:tcW w:w="780" w:type="dxa"/>
            <w:vAlign w:val="bottom"/>
            <w:shd w:val="clear" w:color="auto" w:fill="CCEEFF"/>
          </w:tcPr>
          <w:p>
            <w:pPr>
              <w:spacing w:after="0"/>
              <w:rPr>
                <w:sz w:val="15"/>
                <w:szCs w:val="15"/>
                <w:color w:val="auto"/>
              </w:rPr>
            </w:pPr>
          </w:p>
        </w:tc>
        <w:tc>
          <w:tcPr>
            <w:tcW w:w="9560" w:type="dxa"/>
            <w:vAlign w:val="bottom"/>
            <w:gridSpan w:val="7"/>
            <w:shd w:val="clear" w:color="auto" w:fill="CCEEFF"/>
          </w:tcPr>
          <w:p>
            <w:pPr>
              <w:ind w:left="140"/>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Operations for the Three and Nine Months Ended September 30, 2020 and 2019</w:t>
              </w:r>
            </w:hyperlink>
          </w:p>
        </w:tc>
        <w:tc>
          <w:tcPr>
            <w:tcW w:w="900" w:type="dxa"/>
            <w:vAlign w:val="bottom"/>
            <w:shd w:val="clear" w:color="auto" w:fill="CCEEFF"/>
          </w:tcPr>
          <w:p>
            <w:pPr>
              <w:spacing w:after="0"/>
              <w:rPr>
                <w:sz w:val="15"/>
                <w:szCs w:val="15"/>
                <w:color w:val="auto"/>
              </w:rPr>
            </w:pPr>
          </w:p>
        </w:tc>
      </w:tr>
      <w:tr>
        <w:trPr>
          <w:trHeight w:val="217"/>
        </w:trPr>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40" w:type="dxa"/>
            <w:vAlign w:val="bottom"/>
            <w:tcBorders>
              <w:top w:val="single" w:sz="8" w:color="0000EE"/>
            </w:tcBorders>
            <w:gridSpan w:val="4"/>
            <w:shd w:val="clear" w:color="auto" w:fill="CCEEFF"/>
          </w:tcPr>
          <w:p>
            <w:pPr>
              <w:ind w:left="16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78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80" w:type="dxa"/>
            <w:vAlign w:val="bottom"/>
            <w:shd w:val="clear" w:color="auto" w:fill="CCEEFF"/>
          </w:tcPr>
          <w:p>
            <w:pPr>
              <w:spacing w:after="0"/>
              <w:rPr>
                <w:sz w:val="15"/>
                <w:szCs w:val="15"/>
                <w:color w:val="auto"/>
              </w:rPr>
            </w:pPr>
          </w:p>
        </w:tc>
        <w:tc>
          <w:tcPr>
            <w:tcW w:w="9560" w:type="dxa"/>
            <w:vAlign w:val="bottom"/>
            <w:gridSpan w:val="7"/>
            <w:shd w:val="clear" w:color="auto" w:fill="CCEEFF"/>
          </w:tcPr>
          <w:p>
            <w:pPr>
              <w:ind w:left="140"/>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Changes in Stockholders’ Equity for the Three and Nine Months Ended September 30,</w:t>
              </w:r>
            </w:hyperlink>
          </w:p>
        </w:tc>
        <w:tc>
          <w:tcPr>
            <w:tcW w:w="900" w:type="dxa"/>
            <w:vAlign w:val="bottom"/>
            <w:shd w:val="clear" w:color="auto" w:fill="CCEEFF"/>
          </w:tcPr>
          <w:p>
            <w:pPr>
              <w:spacing w:after="0"/>
              <w:rPr>
                <w:sz w:val="15"/>
                <w:szCs w:val="15"/>
                <w:color w:val="auto"/>
              </w:rPr>
            </w:pPr>
          </w:p>
        </w:tc>
      </w:tr>
      <w:tr>
        <w:trPr>
          <w:trHeight w:val="217"/>
        </w:trPr>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100" w:type="dxa"/>
            <w:vAlign w:val="bottom"/>
            <w:tcBorders>
              <w:top w:val="single" w:sz="8" w:color="0000EE"/>
            </w:tcBorders>
            <w:gridSpan w:val="5"/>
            <w:shd w:val="clear" w:color="auto" w:fill="CCEEFF"/>
          </w:tcPr>
          <w:p>
            <w:pPr>
              <w:ind w:left="16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and 2019 (unaudited)</w:t>
              </w:r>
            </w:hyperlink>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w w:val="95"/>
              </w:rPr>
            </w:pPr>
            <w:hyperlink w:anchor="page7">
              <w:r>
                <w:rPr>
                  <w:rFonts w:ascii="Arial" w:cs="Arial" w:eastAsia="Arial" w:hAnsi="Arial"/>
                  <w:sz w:val="18"/>
                  <w:szCs w:val="18"/>
                  <w:u w:val="single" w:color="auto"/>
                  <w:color w:val="0000EE"/>
                  <w:w w:val="95"/>
                </w:rPr>
                <w:t>Condensed Consolidated Statements of Cash Flows for the Nine Months Ended September 30, 2020 and 2019 (unaudited)</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 (unaudited)</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w:t>
              </w:r>
            </w:hyperlink>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3.</w:t>
              </w:r>
            </w:hyperlink>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Quantitative and Qualitative Disclosures about Market Risk</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4.</w:t>
              </w:r>
            </w:hyperlink>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Control and Procedures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8"/>
            <w:shd w:val="clear" w:color="auto" w:fill="CCEEFF"/>
          </w:tcPr>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PART II – OTHER INFORMATION</w:t>
              </w:r>
            </w:hyperlink>
          </w:p>
        </w:tc>
        <w:tc>
          <w:tcPr>
            <w:tcW w:w="90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w:t>
              </w:r>
            </w:hyperlink>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Legal Proceedings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color w:val="0000EE"/>
              </w:rPr>
            </w:pPr>
            <w:hyperlink w:anchor="page20">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w:t>
              </w:r>
            </w:hyperlink>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Unregistered Sales of Equity Securities and Use of Proceeds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w:t>
              </w:r>
            </w:hyperlink>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Defaults Upon Senior Securities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4.</w:t>
              </w:r>
            </w:hyperlink>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Mine Safety Disclosures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5.</w:t>
              </w:r>
            </w:hyperlink>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Other Information</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6.</w:t>
              </w:r>
            </w:hyperlink>
          </w:p>
        </w:tc>
        <w:tc>
          <w:tcPr>
            <w:tcW w:w="956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Exhibits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8"/>
            <w:shd w:val="clear" w:color="auto" w:fill="CCEEFF"/>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SIGNATURES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1,070,048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174,949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52,949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52,979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97,125</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296,803</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1,220,122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284,008,310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283,581,860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284,305,113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284,801,982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liability -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Deferred underwriting fee payable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2,203,182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289,767</w:t>
            </w:r>
          </w:p>
        </w:tc>
        <w:tc>
          <w:tcPr>
            <w:tcW w:w="20" w:type="dxa"/>
            <w:vAlign w:val="bottom"/>
          </w:tcPr>
          <w:p>
            <w:pPr>
              <w:spacing w:after="0"/>
              <w:rPr>
                <w:sz w:val="19"/>
                <w:szCs w:val="19"/>
                <w:color w:val="auto"/>
              </w:rPr>
            </w:pPr>
          </w:p>
        </w:tc>
      </w:tr>
      <w:tr>
        <w:trPr>
          <w:trHeight w:val="237"/>
        </w:trPr>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9,800,000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9,800,000</w:t>
            </w:r>
          </w:p>
        </w:tc>
        <w:tc>
          <w:tcPr>
            <w:tcW w:w="20" w:type="dxa"/>
            <w:vAlign w:val="bottom"/>
          </w:tcPr>
          <w:p>
            <w:pPr>
              <w:spacing w:after="0"/>
              <w:rPr>
                <w:sz w:val="20"/>
                <w:szCs w:val="20"/>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12,003,182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10,089,767</w:t>
            </w:r>
          </w:p>
        </w:tc>
        <w:tc>
          <w:tcPr>
            <w:tcW w:w="20" w:type="dxa"/>
            <w:vAlign w:val="bottom"/>
            <w:tcBorders>
              <w:bottom w:val="single" w:sz="8" w:color="auto"/>
            </w:tcBorders>
          </w:tcPr>
          <w:p>
            <w:pPr>
              <w:spacing w:after="0"/>
              <w:rPr>
                <w:sz w:val="19"/>
                <w:szCs w:val="19"/>
                <w:color w:val="auto"/>
              </w:rPr>
            </w:pPr>
          </w:p>
        </w:tc>
      </w:tr>
    </w:tbl>
    <w:p>
      <w:pPr>
        <w:spacing w:after="0" w:line="451"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Common stock subject to possible redemption, 26,730,193 and 26,971,221 shares at $10.00 per share at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September 30, 2020 and December 31, 2019, respectively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267,301,930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269,712,210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0"/>
              </w:rPr>
              <w:t>Class A common stock, $0.0001 par value; 100,000,000 shares authorized; 1,269,807 and 1,028,779 shares issued and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outstanding (excluding 26,730,193 and 26,971,221 shares subject to possible redemption) at September 30, 2020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and December 31, 2019, respectively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B common stock, $0.0001 par value; 10,000,000 shares authorized; 7,000,000 shares issued and outstanding at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2020 and December 31, 2019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4,394,907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1,984,651</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604,267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3,014,551</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5,000,005</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1"/>
              </w:rPr>
              <w:t>$  284,305,113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1"/>
              </w:rPr>
              <w:t>$  284,801,982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36"/>
        </w:trPr>
        <w:tc>
          <w:tcPr>
            <w:tcW w:w="59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2,631,901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3,278,784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391,832</w:t>
            </w: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5"/>
              </w:rPr>
              <w:t>(2,631,901)</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(149,771)</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3"/>
              </w:rPr>
              <w:t>(3,278,784)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(391,832)</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26,301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1,411,990</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1,059,500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3,420,486</w:t>
            </w: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ind w:right="1080"/>
        <w:spacing w:after="0" w:line="263" w:lineRule="auto"/>
        <w:rPr>
          <w:sz w:val="20"/>
          <w:szCs w:val="20"/>
          <w:color w:val="auto"/>
        </w:rPr>
      </w:pPr>
      <w:r>
        <w:rPr>
          <w:rFonts w:ascii="Arial" w:cs="Arial" w:eastAsia="Arial" w:hAnsi="Arial"/>
          <w:sz w:val="18"/>
          <w:szCs w:val="18"/>
          <w:color w:val="auto"/>
        </w:rPr>
        <w:t>(Loss) income before (provision)/benefit for income taxes Benefit (provision) for income taxes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(loss)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(2,605,600)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1,262,219</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(2,219,284)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3,028,654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4,977</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(286,029)</w:t>
            </w:r>
          </w:p>
        </w:tc>
        <w:tc>
          <w:tcPr>
            <w:tcW w:w="22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(191,000)</w:t>
            </w: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(686,813)</w:t>
            </w:r>
          </w:p>
        </w:tc>
        <w:tc>
          <w:tcPr>
            <w:tcW w:w="0" w:type="dxa"/>
            <w:vAlign w:val="bottom"/>
          </w:tcPr>
          <w:p>
            <w:pPr>
              <w:spacing w:after="0"/>
              <w:rPr>
                <w:sz w:val="1"/>
                <w:szCs w:val="1"/>
                <w:color w:val="auto"/>
              </w:rPr>
            </w:pPr>
          </w:p>
        </w:tc>
      </w:tr>
      <w:tr>
        <w:trPr>
          <w:trHeight w:val="27"/>
        </w:trPr>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(2,600,623</w:t>
            </w:r>
          </w:p>
        </w:tc>
        <w:tc>
          <w:tcPr>
            <w:tcW w:w="260" w:type="dxa"/>
            <w:vAlign w:val="bottom"/>
            <w:vMerge w:val="continue"/>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976,190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9"/>
              </w:rPr>
              <w:t>(2,410,284</w:t>
            </w:r>
          </w:p>
        </w:tc>
        <w:tc>
          <w:tcPr>
            <w:tcW w:w="22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2,341,841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04" w:right="3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shares outstanding of Class A redeemable common stock,</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28,000,000</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28,000,000</w:t>
            </w: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28,000,000</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27,800,000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net income per share, Class 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6"/>
              </w:rPr>
              <w:t>Weighted average shares outstanding of Class A redeemable common stock,</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33,816,441</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28,000,000</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33,487,561</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w w:val="99"/>
              </w:rPr>
              <w:t>28,000,000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Diluted net income per share, Class A</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w w:val="92"/>
              </w:rPr>
              <w:t>Weighted average shares outstanding of Class B non-redeemable common stock</w:t>
            </w:r>
          </w:p>
        </w:tc>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7,000,000</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7,000,000</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7,000,000</w:t>
            </w:r>
          </w:p>
        </w:tc>
        <w:tc>
          <w:tcPr>
            <w:tcW w:w="200" w:type="dxa"/>
            <w:vAlign w:val="bottom"/>
          </w:tcPr>
          <w:p>
            <w:pPr>
              <w:spacing w:after="0"/>
              <w:rPr>
                <w:sz w:val="24"/>
                <w:szCs w:val="24"/>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Class B</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Class A</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Class B</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1940" w:type="dxa"/>
            <w:vAlign w:val="bottom"/>
          </w:tcPr>
          <w:p>
            <w:pPr>
              <w:spacing w:after="0"/>
              <w:rPr>
                <w:sz w:val="22"/>
                <w:szCs w:val="22"/>
                <w:color w:val="auto"/>
              </w:rPr>
            </w:pPr>
          </w:p>
        </w:tc>
        <w:tc>
          <w:tcPr>
            <w:tcW w:w="2760" w:type="dxa"/>
            <w:vAlign w:val="bottom"/>
            <w:gridSpan w:val="6"/>
          </w:tcPr>
          <w:p>
            <w:pPr>
              <w:jc w:val="right"/>
              <w:ind w:right="1120"/>
              <w:spacing w:after="0"/>
              <w:rPr>
                <w:sz w:val="20"/>
                <w:szCs w:val="20"/>
                <w:color w:val="auto"/>
              </w:rPr>
            </w:pPr>
            <w:r>
              <w:rPr>
                <w:rFonts w:ascii="Arial" w:cs="Arial" w:eastAsia="Arial" w:hAnsi="Arial"/>
                <w:sz w:val="18"/>
                <w:szCs w:val="18"/>
                <w:b w:val="1"/>
                <w:bCs w:val="1"/>
                <w:color w:val="auto"/>
              </w:rPr>
              <w:t>Common Stock</w:t>
            </w:r>
          </w:p>
        </w:tc>
        <w:tc>
          <w:tcPr>
            <w:tcW w:w="268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22"/>
                <w:szCs w:val="2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12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84"/>
        </w:trPr>
        <w:tc>
          <w:tcPr>
            <w:tcW w:w="19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 January 1,</w:t>
            </w: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2020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1,028,779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7,000,000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1,984,651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3,014,551</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common stock subject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to possible redemption</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(57,358)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(573,574)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(573,580)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573,582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573,582</w:t>
            </w:r>
          </w:p>
        </w:tc>
        <w:tc>
          <w:tcPr>
            <w:tcW w:w="0" w:type="dxa"/>
            <w:vAlign w:val="bottom"/>
          </w:tcPr>
          <w:p>
            <w:pPr>
              <w:spacing w:after="0"/>
              <w:rPr>
                <w:sz w:val="1"/>
                <w:szCs w:val="1"/>
                <w:color w:val="auto"/>
              </w:rPr>
            </w:pPr>
          </w:p>
        </w:tc>
      </w:tr>
      <w:tr>
        <w:trPr>
          <w:trHeight w:val="171"/>
        </w:trPr>
        <w:tc>
          <w:tcPr>
            <w:tcW w:w="194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Balance – March 31,</w:t>
            </w:r>
          </w:p>
        </w:tc>
        <w:tc>
          <w:tcPr>
            <w:tcW w:w="11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60"/>
              <w:spacing w:after="0"/>
              <w:rPr>
                <w:sz w:val="20"/>
                <w:szCs w:val="20"/>
                <w:color w:val="auto"/>
              </w:rPr>
            </w:pPr>
            <w:r>
              <w:rPr>
                <w:rFonts w:ascii="Arial" w:cs="Arial" w:eastAsia="Arial" w:hAnsi="Arial"/>
                <w:sz w:val="18"/>
                <w:szCs w:val="18"/>
                <w:b w:val="1"/>
                <w:bCs w:val="1"/>
                <w:color w:val="auto"/>
              </w:rPr>
              <w:t>2020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971,421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7,000,000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1,411,077</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3,588,133</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5,000,007</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Change in value of</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60"/>
              <w:spacing w:after="0"/>
              <w:rPr>
                <w:sz w:val="20"/>
                <w:szCs w:val="20"/>
                <w:color w:val="auto"/>
              </w:rPr>
            </w:pPr>
            <w:r>
              <w:rPr>
                <w:rFonts w:ascii="Arial" w:cs="Arial" w:eastAsia="Arial" w:hAnsi="Arial"/>
                <w:sz w:val="18"/>
                <w:szCs w:val="18"/>
                <w:color w:val="auto"/>
                <w:w w:val="98"/>
              </w:rPr>
              <w:t>common stock subject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60"/>
              <w:spacing w:after="0"/>
              <w:rPr>
                <w:sz w:val="20"/>
                <w:szCs w:val="20"/>
                <w:color w:val="auto"/>
              </w:rPr>
            </w:pPr>
            <w:r>
              <w:rPr>
                <w:rFonts w:ascii="Arial" w:cs="Arial" w:eastAsia="Arial" w:hAnsi="Arial"/>
                <w:sz w:val="18"/>
                <w:szCs w:val="18"/>
                <w:color w:val="auto"/>
                <w:w w:val="97"/>
              </w:rPr>
              <w:t>to possible redemption</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38,324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383,236</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383,240</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4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(383,243)</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(383,243)</w:t>
            </w:r>
          </w:p>
        </w:tc>
        <w:tc>
          <w:tcPr>
            <w:tcW w:w="0" w:type="dxa"/>
            <w:vAlign w:val="bottom"/>
          </w:tcPr>
          <w:p>
            <w:pPr>
              <w:spacing w:after="0"/>
              <w:rPr>
                <w:sz w:val="1"/>
                <w:szCs w:val="1"/>
                <w:color w:val="auto"/>
              </w:rPr>
            </w:pPr>
          </w:p>
        </w:tc>
      </w:tr>
      <w:tr>
        <w:trPr>
          <w:trHeight w:val="184"/>
        </w:trPr>
        <w:tc>
          <w:tcPr>
            <w:tcW w:w="19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 June 30,</w:t>
            </w: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2020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1,009,745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7,000,000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1,794,313</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3,204,890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5,000,004</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common stock subject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to possible redemption</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260,062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2,600,594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2,600,620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(2,600,623)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(2,600,623)</w:t>
            </w:r>
          </w:p>
        </w:tc>
        <w:tc>
          <w:tcPr>
            <w:tcW w:w="0" w:type="dxa"/>
            <w:vAlign w:val="bottom"/>
          </w:tcPr>
          <w:p>
            <w:pPr>
              <w:spacing w:after="0"/>
              <w:rPr>
                <w:sz w:val="1"/>
                <w:szCs w:val="1"/>
                <w:color w:val="auto"/>
              </w:rPr>
            </w:pPr>
          </w:p>
        </w:tc>
      </w:tr>
      <w:tr>
        <w:trPr>
          <w:trHeight w:val="171"/>
        </w:trPr>
        <w:tc>
          <w:tcPr>
            <w:tcW w:w="194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Balance –</w:t>
            </w:r>
          </w:p>
        </w:tc>
        <w:tc>
          <w:tcPr>
            <w:tcW w:w="11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940" w:type="dxa"/>
            <w:vAlign w:val="bottom"/>
          </w:tcPr>
          <w:p>
            <w:pPr>
              <w:ind w:left="200"/>
              <w:spacing w:after="0"/>
              <w:rPr>
                <w:sz w:val="20"/>
                <w:szCs w:val="20"/>
                <w:color w:val="auto"/>
              </w:rPr>
            </w:pPr>
            <w:r>
              <w:rPr>
                <w:rFonts w:ascii="Arial" w:cs="Arial" w:eastAsia="Arial" w:hAnsi="Arial"/>
                <w:sz w:val="18"/>
                <w:szCs w:val="18"/>
                <w:b w:val="1"/>
                <w:bCs w:val="1"/>
                <w:color w:val="auto"/>
              </w:rPr>
              <w:t>September 30, 2020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1,269,807</w:t>
            </w:r>
          </w:p>
        </w:tc>
        <w:tc>
          <w:tcPr>
            <w:tcW w:w="8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7,000,000</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4,394,907</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604,267</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5,000,001</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40" w:type="dxa"/>
            <w:vAlign w:val="bottom"/>
            <w:gridSpan w:val="12"/>
          </w:tcPr>
          <w:p>
            <w:pPr>
              <w:jc w:val="right"/>
              <w:ind w:right="620"/>
              <w:spacing w:after="0"/>
              <w:rPr>
                <w:sz w:val="20"/>
                <w:szCs w:val="20"/>
                <w:color w:val="auto"/>
              </w:rPr>
            </w:pPr>
            <w:r>
              <w:rPr>
                <w:rFonts w:ascii="Arial" w:cs="Arial" w:eastAsia="Arial" w:hAnsi="Arial"/>
                <w:sz w:val="18"/>
                <w:szCs w:val="18"/>
                <w:b w:val="1"/>
                <w:bCs w:val="1"/>
                <w:color w:val="auto"/>
                <w:w w:val="98"/>
              </w:rPr>
              <w:t>THREE AND NINE MONTHS ENDED SEPTEMBER 30, 2019</w:t>
            </w:r>
          </w:p>
        </w:tc>
        <w:tc>
          <w:tcPr>
            <w:tcW w:w="1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Class A</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Class B</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Deficit)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1940" w:type="dxa"/>
            <w:vAlign w:val="bottom"/>
          </w:tcPr>
          <w:p>
            <w:pPr>
              <w:spacing w:after="0"/>
              <w:rPr>
                <w:sz w:val="22"/>
                <w:szCs w:val="22"/>
                <w:color w:val="auto"/>
              </w:rPr>
            </w:pPr>
          </w:p>
        </w:tc>
        <w:tc>
          <w:tcPr>
            <w:tcW w:w="2760" w:type="dxa"/>
            <w:vAlign w:val="bottom"/>
            <w:gridSpan w:val="6"/>
          </w:tcPr>
          <w:p>
            <w:pPr>
              <w:jc w:val="right"/>
              <w:ind w:right="1060"/>
              <w:spacing w:after="0"/>
              <w:rPr>
                <w:sz w:val="20"/>
                <w:szCs w:val="20"/>
                <w:color w:val="auto"/>
              </w:rPr>
            </w:pPr>
            <w:r>
              <w:rPr>
                <w:rFonts w:ascii="Arial" w:cs="Arial" w:eastAsia="Arial" w:hAnsi="Arial"/>
                <w:sz w:val="18"/>
                <w:szCs w:val="18"/>
                <w:b w:val="1"/>
                <w:bCs w:val="1"/>
                <w:color w:val="auto"/>
              </w:rPr>
              <w:t>Common Stock</w:t>
            </w:r>
          </w:p>
        </w:tc>
        <w:tc>
          <w:tcPr>
            <w:tcW w:w="268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40" w:type="dxa"/>
            <w:vAlign w:val="bottom"/>
          </w:tcPr>
          <w:p>
            <w:pPr>
              <w:spacing w:after="0"/>
              <w:rPr>
                <w:sz w:val="22"/>
                <w:szCs w:val="22"/>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12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88"/>
        </w:trPr>
        <w:tc>
          <w:tcPr>
            <w:tcW w:w="19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Balance – January 1,</w:t>
            </w: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940" w:type="dxa"/>
            <w:vAlign w:val="bottom"/>
            <w:shd w:val="clear" w:color="auto" w:fill="CCEEFF"/>
          </w:tcPr>
          <w:p>
            <w:pPr>
              <w:ind w:left="140"/>
              <w:spacing w:after="0" w:line="271" w:lineRule="exact"/>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29"/>
                <w:szCs w:val="29"/>
                <w:b w:val="1"/>
                <w:bCs w:val="1"/>
                <w:color w:val="auto"/>
                <w:vertAlign w:val="superscript"/>
              </w:rPr>
              <w:t>(1)</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7,187,500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24,281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(1,650)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23,350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28,000,000</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net of</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underwriting discounts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offering costs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28,000,000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264,067,038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264,069,838</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5,066,667</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Private Placement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7,600,000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7,600,000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of 812,500</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of Class B</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by</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Sponsor</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(812,500)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Class B</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to</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Anchor Investor</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812,500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of 187,500</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of Class B</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by</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Sponsor</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(187,500)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subject</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to possible redemption</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(26,695,890)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(266,956,230)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(266,958,900)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19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904"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262,896</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262,896</w:t>
            </w:r>
          </w:p>
        </w:tc>
        <w:tc>
          <w:tcPr>
            <w:tcW w:w="100" w:type="dxa"/>
            <w:vAlign w:val="bottom"/>
            <w:shd w:val="clear" w:color="auto" w:fill="CCEEFF"/>
          </w:tcPr>
          <w:p>
            <w:pPr>
              <w:spacing w:after="0"/>
              <w:rPr>
                <w:sz w:val="21"/>
                <w:szCs w:val="21"/>
                <w:color w:val="auto"/>
              </w:rPr>
            </w:pPr>
          </w:p>
        </w:tc>
      </w:tr>
      <w:tr>
        <w:trPr>
          <w:trHeight w:val="171"/>
        </w:trPr>
        <w:tc>
          <w:tcPr>
            <w:tcW w:w="194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Balance – March 31,</w:t>
            </w: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34"/>
        </w:trPr>
        <w:tc>
          <w:tcPr>
            <w:tcW w:w="1940" w:type="dxa"/>
            <w:vAlign w:val="bottom"/>
          </w:tcPr>
          <w:p>
            <w:pPr>
              <w:ind w:left="160"/>
              <w:spacing w:after="0"/>
              <w:rPr>
                <w:sz w:val="20"/>
                <w:szCs w:val="20"/>
                <w:color w:val="auto"/>
              </w:rPr>
            </w:pPr>
            <w:r>
              <w:rPr>
                <w:rFonts w:ascii="Arial" w:cs="Arial" w:eastAsia="Arial" w:hAnsi="Arial"/>
                <w:sz w:val="18"/>
                <w:szCs w:val="18"/>
                <w:b w:val="1"/>
                <w:bCs w:val="1"/>
                <w:color w:val="auto"/>
              </w:rPr>
              <w:t>2019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1,304,110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7,000,000</w:t>
            </w:r>
          </w:p>
        </w:tc>
        <w:tc>
          <w:tcPr>
            <w:tcW w:w="4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4,737,934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261,246</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5,000,010</w:t>
            </w:r>
          </w:p>
        </w:tc>
        <w:tc>
          <w:tcPr>
            <w:tcW w:w="100" w:type="dxa"/>
            <w:vAlign w:val="bottom"/>
          </w:tcPr>
          <w:p>
            <w:pPr>
              <w:spacing w:after="0"/>
              <w:rPr>
                <w:sz w:val="20"/>
                <w:szCs w:val="20"/>
                <w:color w:val="auto"/>
              </w:rPr>
            </w:pPr>
          </w:p>
        </w:tc>
      </w:tr>
      <w:tr>
        <w:trPr>
          <w:trHeight w:val="216"/>
        </w:trPr>
        <w:tc>
          <w:tcPr>
            <w:tcW w:w="1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Change in value of</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160"/>
              <w:spacing w:after="0"/>
              <w:rPr>
                <w:sz w:val="20"/>
                <w:szCs w:val="20"/>
                <w:color w:val="auto"/>
              </w:rPr>
            </w:pPr>
            <w:r>
              <w:rPr>
                <w:rFonts w:ascii="Arial" w:cs="Arial" w:eastAsia="Arial" w:hAnsi="Arial"/>
                <w:sz w:val="18"/>
                <w:szCs w:val="18"/>
                <w:color w:val="auto"/>
                <w:w w:val="98"/>
              </w:rPr>
              <w:t>common stock subject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40" w:type="dxa"/>
            <w:vAlign w:val="bottom"/>
          </w:tcPr>
          <w:p>
            <w:pPr>
              <w:ind w:left="160"/>
              <w:spacing w:after="0"/>
              <w:rPr>
                <w:sz w:val="20"/>
                <w:szCs w:val="20"/>
                <w:color w:val="auto"/>
              </w:rPr>
            </w:pPr>
            <w:r>
              <w:rPr>
                <w:rFonts w:ascii="Arial" w:cs="Arial" w:eastAsia="Arial" w:hAnsi="Arial"/>
                <w:sz w:val="18"/>
                <w:szCs w:val="18"/>
                <w:color w:val="auto"/>
                <w:w w:val="97"/>
              </w:rPr>
              <w:t>to possible redemption</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(110,276)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(1,102,749)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(1,102,760)</w:t>
            </w:r>
          </w:p>
        </w:tc>
      </w:tr>
      <w:tr>
        <w:trPr>
          <w:trHeight w:val="216"/>
        </w:trPr>
        <w:tc>
          <w:tcPr>
            <w:tcW w:w="1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1,102,755</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1,102,755</w:t>
            </w:r>
          </w:p>
        </w:tc>
        <w:tc>
          <w:tcPr>
            <w:tcW w:w="100" w:type="dxa"/>
            <w:vAlign w:val="bottom"/>
          </w:tcPr>
          <w:p>
            <w:pPr>
              <w:spacing w:after="0"/>
              <w:rPr>
                <w:sz w:val="20"/>
                <w:szCs w:val="20"/>
                <w:color w:val="auto"/>
              </w:rPr>
            </w:pPr>
          </w:p>
        </w:tc>
      </w:tr>
      <w:tr>
        <w:trPr>
          <w:trHeight w:val="184"/>
        </w:trPr>
        <w:tc>
          <w:tcPr>
            <w:tcW w:w="19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w:t>
            </w: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June 30, 2019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1,193,834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119</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7,000,000</w:t>
            </w:r>
          </w:p>
        </w:tc>
        <w:tc>
          <w:tcPr>
            <w:tcW w:w="4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3,635,185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1,364,001</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100" w:type="dxa"/>
            <w:vAlign w:val="bottom"/>
            <w:shd w:val="clear" w:color="auto" w:fill="CCEEFF"/>
          </w:tcPr>
          <w:p>
            <w:pPr>
              <w:spacing w:after="0"/>
              <w:rPr>
                <w:sz w:val="20"/>
                <w:szCs w:val="20"/>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common stock subject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to possible redemption</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(97,619)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(976,181)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(976,190)</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976,190</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976,190</w:t>
            </w:r>
          </w:p>
        </w:tc>
        <w:tc>
          <w:tcPr>
            <w:tcW w:w="100" w:type="dxa"/>
            <w:vAlign w:val="bottom"/>
            <w:shd w:val="clear" w:color="auto" w:fill="CCEEFF"/>
          </w:tcPr>
          <w:p>
            <w:pPr>
              <w:spacing w:after="0"/>
              <w:rPr>
                <w:sz w:val="21"/>
                <w:szCs w:val="21"/>
                <w:color w:val="auto"/>
              </w:rPr>
            </w:pPr>
          </w:p>
        </w:tc>
      </w:tr>
      <w:tr>
        <w:trPr>
          <w:trHeight w:val="171"/>
        </w:trPr>
        <w:tc>
          <w:tcPr>
            <w:tcW w:w="194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Balance – September</w:t>
            </w: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82"/>
        </w:trPr>
        <w:tc>
          <w:tcPr>
            <w:tcW w:w="1940" w:type="dxa"/>
            <w:vAlign w:val="bottom"/>
          </w:tcPr>
          <w:p>
            <w:pPr>
              <w:ind w:left="160"/>
              <w:spacing w:after="0"/>
              <w:rPr>
                <w:sz w:val="20"/>
                <w:szCs w:val="20"/>
                <w:color w:val="auto"/>
              </w:rPr>
            </w:pPr>
            <w:r>
              <w:rPr>
                <w:rFonts w:ascii="Arial" w:cs="Arial" w:eastAsia="Arial" w:hAnsi="Arial"/>
                <w:sz w:val="18"/>
                <w:szCs w:val="18"/>
                <w:b w:val="1"/>
                <w:bCs w:val="1"/>
                <w:color w:val="auto"/>
              </w:rPr>
              <w:t>30, 2019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1,096,215</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7,000,000</w:t>
            </w:r>
          </w:p>
        </w:tc>
        <w:tc>
          <w:tcPr>
            <w:tcW w:w="460" w:type="dxa"/>
            <w:vAlign w:val="bottom"/>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700</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2,659,004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2,340,191</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5,000,005</w:t>
            </w:r>
          </w:p>
        </w:tc>
        <w:tc>
          <w:tcPr>
            <w:tcW w:w="100" w:type="dxa"/>
            <w:vAlign w:val="bottom"/>
          </w:tcPr>
          <w:p>
            <w:pPr>
              <w:spacing w:after="0"/>
              <w:rPr>
                <w:sz w:val="24"/>
                <w:szCs w:val="24"/>
                <w:color w:val="auto"/>
              </w:rPr>
            </w:pPr>
          </w:p>
        </w:tc>
      </w:tr>
      <w:tr>
        <w:trPr>
          <w:trHeight w:val="21"/>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right="20" w:hanging="452"/>
        <w:spacing w:after="0" w:line="263"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number included up to 937,500 shares subject to forfeiture if the over-allotment option was not exercised in full or in part by the underwriters. On March 18, 2019, the underwriters elected to partially exercise their over-allotment option and, as a result, 187,500 shares were forfeited (see Note 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   (2,410,284)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2,341,841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the Trust Account</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(1,059,500)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(3,420,486)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income taxes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(122,000)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(37,187)</w:t>
            </w:r>
          </w:p>
        </w:tc>
      </w:tr>
      <w:tr>
        <w:trPr>
          <w:trHeight w:val="216"/>
        </w:trPr>
        <w:tc>
          <w:tcPr>
            <w:tcW w:w="8680" w:type="dxa"/>
            <w:vAlign w:val="bottom"/>
          </w:tcPr>
          <w:p>
            <w:pPr>
              <w:ind w:left="400"/>
              <w:spacing w:after="0"/>
              <w:rPr>
                <w:sz w:val="20"/>
                <w:szCs w:val="20"/>
                <w:color w:val="auto"/>
              </w:rPr>
            </w:pPr>
            <w:r>
              <w:rPr>
                <w:rFonts w:ascii="Arial" w:cs="Arial" w:eastAsia="Arial" w:hAnsi="Arial"/>
                <w:sz w:val="18"/>
                <w:szCs w:val="18"/>
                <w:color w:val="auto"/>
              </w:rPr>
              <w:t>Prepaid expenses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44,146</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(131,687)</w:t>
            </w:r>
          </w:p>
        </w:tc>
      </w:tr>
      <w:tr>
        <w:trPr>
          <w:trHeight w:val="249"/>
        </w:trPr>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1,913,415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232,678</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(1,634,223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(1,014,841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invested in Trust Account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Cash withdrawn from Trust Account to pay franchise taxes and income taxes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(280,000,000)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633,050</w:t>
      </w:r>
      <w:r>
        <w:rPr>
          <w:rFonts w:ascii="Arial" w:cs="Arial" w:eastAsia="Arial" w:hAnsi="Arial"/>
          <w:sz w:val="16"/>
          <w:szCs w:val="16"/>
          <w:color w:val="auto"/>
        </w:rPr>
        <w:t>724,000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633,050</w:t>
      </w:r>
      <w:r>
        <w:rPr>
          <w:rFonts w:ascii="Arial" w:cs="Arial" w:eastAsia="Arial" w:hAnsi="Arial"/>
          <w:sz w:val="16"/>
          <w:szCs w:val="16"/>
          <w:b w:val="1"/>
          <w:bCs w:val="1"/>
          <w:color w:val="auto"/>
        </w:rPr>
        <w:t>(279,276,000)</w:t>
      </w:r>
    </w:p>
    <w:p>
      <w:pPr>
        <w:spacing w:after="0" w:line="200" w:lineRule="exact"/>
        <w:rPr>
          <w:sz w:val="20"/>
          <w:szCs w:val="20"/>
          <w:color w:val="auto"/>
        </w:rPr>
      </w:pPr>
    </w:p>
    <w:p>
      <w:pPr>
        <w:sectPr>
          <w:pgSz w:w="11900" w:h="16838" w:orient="portrait"/>
          <w:cols w:equalWidth="0" w:num="2">
            <w:col w:w="8500" w:space="720"/>
            <w:col w:w="2020"/>
          </w:cols>
          <w:pgMar w:left="320" w:top="904"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issuance of Class B common stock</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fee paid</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274,400,000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 of Private Placement Warrants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(223,470)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(487,662)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line="203" w:lineRule="exact"/>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3"/>
              </w:rPr>
              <w:t>281,477,664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(1,001,173)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1,186,823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1,070,048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 End of period</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68,875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1,206,823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(2,410,280</w:t>
            </w:r>
            <w:r>
              <w:rPr>
                <w:rFonts w:ascii="Arial" w:cs="Arial" w:eastAsia="Arial" w:hAnsi="Arial"/>
                <w:sz w:val="29"/>
                <w:szCs w:val="29"/>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269,037,850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Deferred underwriting fee payable</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Lordstown Motors Corp., formerly known as DiamondPeak Holdings Corp. (the “Company”) was incorporated in Delaware on November 13, 2018. The Company was formed for the purpose of effecting a merger, capital stock exchange, asset acquisition, stock purchase, reorganization or similar business combination with one or more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23, 2020 (the “Closing Date”), the Company consummated the transactions contemplated by the agreement and plan of merger (the “Merger Agreement”), dated August 1, 2020, among the Company,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Upon consummation of the Merger, the Company was renamed Lordstown Motors Corp. and Legacy LMC became a wholly owned subsidiary of the Company.</w:t>
      </w:r>
    </w:p>
    <w:p>
      <w:pPr>
        <w:spacing w:after="0" w:line="1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$0.0001 per share, of Legacy LMC (“Legacy LMC Common Stock”) was converted into 55.8817 shares (the “Exchange Ratio”) of Class A common stock, par value $0.0001 per share, of the Company (“Class A Common Stock”), resulting in an aggregate of 75,918,063 shares of Class A Common Stock to be issued to Legacy LMC 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 (A) the exercise price per share of Legacy LMC Common Stock of such Legacy LMC Option immediately prior to the Effective Time divided by (B) the Exchange Ratio.</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of the Merger (the “Closing”), each outstanding share of the Company’s Class B common stock, par value $0.0001 per share, was automatically converted into one share of Class A Common Stock.</w:t>
      </w:r>
    </w:p>
    <w:p>
      <w:pPr>
        <w:spacing w:after="0" w:line="18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Stockholders holding 970 shares of the Company’s Class A Common Stock exercised their right to redeem such shares for a pro rata portion of the funds in the Company’s trust account (“Trust Account”). As a result, approximately $9,835 (or approximately $10.14 per share) was paid to such holders.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Closing, the Company (a) issued and sold an aggregate of 50,000,000 shares of Class A Common Stock for $10.00 per share at an aggregate purchase price of $500,000,000 pursuant to previously announced subscription agreements (the “Subscription Agreements”) with certain investors (the “PIPE Investors”), (b) issued an aggregate of 4,031,830 shares of Class A Common Stock to holders of $40,000,000 in aggregate principal amount, plus accrued interest, upon automatic conversion of Legacy LMC convertible promissory notes into Class A Common Stock at a conversion price of $10.00 per share (the “Note Conversions”), and (c) issued warrants to purchase 1,649,489 shares of Class A Common Stock at a purchase price of $10.00 per share to Brown Gibbons Lang &amp; Company (“BGL”).</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Merger, together with the foregoing transactions, are collectively referred to as the “Business Combination.” See the Form 8-K filed by the Company with the SEC on October 29, 2020 for more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Prior to the Business Combination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the Business Combination, the Company’s only subsidiary was DPL Merger Sub Corp.</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activity through September 30, 2020 related to the Company’s formation, the initial public offering (“Initial Public Offering”), which is described below, identifying a target company for a business combination and consummating the acquisition of Legacy LMC.</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February 27, 2019. On March 4, 2019, the Company consummated the Initial Public Offering of 25,000,000 units (“Units” and, with respect to the shares of Class A common stock included in the Units sold, the “Public Shares”) at $10.00 per Unit, generating gross proceeds of $250,000,000, which is described in Note 3.</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4,666,667 warrants (the “Private Placement Warrants”) at a price of $1.50 per Private Placement Warrant in a private placement to the Company’s sponsor, DiamondPeak Sponsor LLC, a Delaware limited liability company (the “Sponsor”) and certain funds and accounts managed by subsidiaries of BlackRock, Inc. (collectively, the “Anchor Investor”; and together with the Sponsor, the “initial stockholders”), generating gross proceeds of $7,000,000, which is described in Note 4.</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closing of the Initial Public Offering on March 4, 2019, an amount of $250,000,000 ($10.00 per Unit) from the net proceeds of the sale of the Units in the Initial Public Offering and the sale of the Private Placement Warrants was placed in a trust account (“Trust Account”) to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completion of a Business Combination or (ii) the distribution of the Trust Account, as described below.</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18, 2019, in connection with the underwriters’ election to partially exercise their over-allotment option, the Company sold an additional 3,000,000 Units at $10.00 per Unit and sold an additional 400,000 Private Placement Warrants at $1.50 per Private Placement Warrant, generating total gross proceeds of $30,600,000. Following such closing, an additional $30,000,000 of net proceeds ($10.00 per Unit) was deposited in the Trust Account, resulting in $280,000,000 ($10.00 per Unit) in aggregate deposited into the Trust Account.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Transaction costs amounted to $15,930,162, consisting of $5,600,000 of underwriting fees, $9,800,000 of deferred underwriting fees and $530,162 of other offering costs. In addition, as of September 30, 2020, cash of $68,875 was held outside of the Trust Account and is available for working capital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Annual Report on Form 10-K for the year ended December 31, 2019 as filed with the SEC on March 25, 2020, which contains the audited financial statements and notes thereto. The financial information as of December 31, 2019 is derived from the audited financial statements presented in the Company’s Annual Report on Form 10-K for the year ended December 31, 2019. The interim results for the three and nine months ended September 30, 2020 are not necessarily indicative of the results to be expected for the year ending December 31, 2020 or for any future interim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subsidiary.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 Held in Trust Account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2020 and December 31, 2019, substantially all of the assets held in the Trust Account were held in money market funds, which primarily invest in U.S. Treasury Bills.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September 30, 2020 and December 31, 2019, common stock subject to possible redemption is presented as temporary equity, outside of the stockholders’ equity section of the Company’s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Offering costs consist of legal, accounting, underwriting fees and other costs incurred through the balance sheet date that are directly related to the Initial Public Offering. Offering costs amounting to $15,930,162 were charged to stockholders’ equity upon the completion of the Initial Public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ASC Topic 740, “Income Taxes.” Deferred tax assets and liabilities are recognized for the estimated future tax consequences attributable to differences between the financial statements carrying amounts of existing assets and liabilities within the condensed consolidated financial statements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and December 31, 2019, the Company had a deferred tax asset of approximately $745,000 and $88,000, respectively, which had a full valuation allowance recorded against it of approximately $745,000 and $88,000, respectively.</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currently taxable income primarily consists of interest income earned on the funds in the Trust Account. The Company’s general and administrative costs (net of applicable franchise taxes) are generally considered start-up costs and are not currently deductible. During the three and nine months ended September 30, 2020, the Company recorded income tax benefit (expense) of approximately $5,000 and ($191,000), respectively, primarily related to interest income earned on the Trust Account. During the three and nine months ended September 30, 2019, the Company recorded income tax benefit (expense) of approximately ($286,000) and ($687,000), respectively, primarily related to interest income earned on the Trust Account. The Company’s effective tax rates for the three and nine months ended September 30, 2020 were approximately 0.2% and (8.6%), and for each of the three and nine months ended September 30, 2019 were approximately 22.7%, which differs from the expected income tax rate due to the start-up costs (discussed above) which are not currently deductible.</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income (loss) per common share is computed by dividing net income (loss) by the weighted average number of common shares outstanding for the period. Diluted net income per share reflects the potential dilution that could occur if warrants were to be exercised or converted or otherwise resulted in the issuance of Common Stock that then shared in the earnings of the entity.</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the three and nine months ended September 30, 2020, the Company had potentially dilutive securities in the form of 14,400,000 warrants, including 9,333,333 warrants issued as part of the Public Units and 5,066,667 Private Placement Warrants issued in the Private Placement. Of the total Public and Private Placement warrants outstanding for the three and nine months ended September 30, 2020, 3,769,915 and 2,046,526 and 3,556,752 and 1,930,809, respectively represent incremental shares of common stock, based on their assumed exercise, to be included in the weighted average number of shares of Class A common stock outstanding under the treasury stock method for the calculation of diluted income per share of Class A common stock.</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uses the “treasury stock method” to calculate potential dilutive shares, as if they were redeemed for common stock at the beginning of the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79"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condensed consolidated statements of operations include a presentation of income (loss) per share for common shares subject to possible redemption in a manner similar to the two-class method of income (loss) per share. Net income per common share, basic and diluted, for Class A redeemable common stock is calculated by dividing the interest income earned on the Trust Account of $26,301 and $1,059,500 for the three and nine months ended September 30, 2020, respectively, net of applicable franchise and income taxes of $26,301 and $341,000 for the three and nine months ended September 30, 2020, respectively, by the weighted average number of Class A redeemable common stock outstanding for the three and nine months ended September 30, 2020. Net income per common share, basic and diluted, for Class A redeemable common stock is calculated by dividing the interest income earned on the Trust Account of $1,411,990 and $3,420,486 for the three and nine months ended September 30, 2019, respectively, net of applicable franchise and income taxes of $336,029 and $836,813 for the three and nine months ended September 30, 2019, respectively, by the weighted average number of Class A redeemable common stock outstanding for the three and nine months ended September 30, 2019. Net income (loss) per common share, basic and diluted, for Class B non-redeemable common stock is calculated by dividing net income (loss), adjusted for income attributable to Class A redeemable common stock of $0 and $718,500 for the three and nine months ended September 30, 2020 and $1,075,961 and $2,583,673 for the three and nine months ended September 30, 2019, respectively, by the weighted average number of shares of Class B non-redeemable common stock outstanding of 7,000,000 shares for each of the three and nine months ended September 30, 2020 and 2019. Class B non-redeemable common stock includes the Founder Shares as these shares do not have any redemption features and do not participate in the income earned on the Trust Account.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At September 30, 2020 and December 31, 2019, the Company has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28,000,000 Units, inclusive of 3,000,000 Units sold to the underwriters on March 18, 2019 upon the underwriters’ election to partially exercise their over-allotment option at a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Simultaneously with the closing of the Initial Public Offering, the Sponsor and the Anchor Investor purchased an aggregate of 4,666,667 Private Placement Warrants at a price of $1.50 per Private Placement Warrant, for an aggregate purchase price of $7,000,000. On March 18, 2019, in connection with the underwriters’ election to partially exercise their over-allotment option, the Company sold an additional 400,000 Private Placement Warrants to the Sponsor, at a price of $1.50 per Private Placement Warrant, generating gross proceeds of $600,000. Each Private Placement Warrant is exercisable to purchase one share of Class A common stock at a price of $11.50 per share. A portion of the proceeds from the Private Placement Warrants were added to the proceeds from the Initial Public Offering and the exercise of the over-allotment option held in the Trust Account. If the Company does not complete a Business Combination within the Combination Period,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Placement Warrants.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November 13, 2018, the Sponsor purchased 7,187,500 shares (the “Founder Shares”) of the Company’s Class B common stock for an aggregate price of $25,000. In February 2019, the Sponsor forfeited 812,500 Founder Shares and the Anchor Investor purchased 812,500 Founder Shares for an aggregate purchase price of approximately $3,000, or approximately $0.003 per share. The Founder Shares will automatically convert into Class A common stock upon consummation of a Business Combination on a one-for-one basis, subject to certain adjustments, as described in Note 7.</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Founder Shares included an aggregate of up to 937,500 shares subject to forfeiture to the extent that the underwriters’ over-allotment option was not exercised in full or in part, so that the initial stockholders would own, on an as-converted basis, 20% of the Company’s issued and outstanding shares after the Initial Public Offering (assuming the initial stockholders did not purchase any Public Shares in the Initial Public Offering). As a result of the underwriters’ election to partially exercise their over-allotment option, 187,500 Founder Shares were forfeited and 750,000 Founder Shares are no longer subject to forfeiture.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Founder Shares automatically converted into common stock upon the consummation of the Business Combination on a one-for-one basis.</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initial stockholders have agreed, subject to limited exceptions, not to transfer, assign or sell any of their Founder Shares until the earlier to occur of: (A) one year after the completion of a Business Combination or (B) subsequent to a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13, 2018, Company issued the Sponsor a promissory note, pursuant to which the Sponsor agreed to loan the Company up to an aggregate of $300,000 to cover expenses related to the Initial Public Offering (the “Promissory Note”). The Promissory Note was non-interest bearing and payable on the earlier of March 31, 2019 or the completion of the Initial Public Offering. The borrowings outstanding under the Promissory Note of $223,470 were repaid upon the consummation of the Initial Public Offering on March 4,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of the post Business Combination entity at a price of $1.50 per warrant. The warrants would be identical to the Private Placement Warrants. There are no outstanding Working Capital Loan balances as of September 30, 2020 and December 31,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entered into an agreement, commencing on the February 27, 2019 through the earlier of the Company’s consummation of a Business Combination and its liquidation, to pay the Sponsor a total of $10,000 per month for office space, utilities, secretarial and administrative support. For each of the three months ended September 30, 2020 and 2019, the Company incurred $30,000 in fees for these services. For the nine months ended September 30, 2020 and 2019, the Company incurred $90,000 and $70,000 in fees for these services, of which $40,000 of such fees were included in accounts payable and accrued expenses in the condensed balance sheet as of September 30, 2019. As of September 30, 2020 and December 31, 2019, $30,000 and $0 of such fees were included in accounts payable and accrued expenses in the accompanying condensed consolidated balance sheets. As of October 23, 2020, the Company completed the Business Combination and at that time ceased paying administrative support fees.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evaluated the impact of the COVID-19 pandemic on the industry and has concluded that while it is reasonably possible that the coronavirus had a negative effect on the Company’s financial position, results of its operations and/or search for a target company, the specific impact is not material as the Company completed its Business Combination on October 23, 2020. The condensed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Pursuant to a registration rights agreement entered into on February 27, 2019, the holders of the Founder Shares, Private Placement Warrants and warrants that may be issued upon conversion of Working Capital Loans (and any shares of Class A common stock issuable upon the exercise of the Private Placement Warrants and warrants that may be issued upon conversion of working capital loans and upon conversion of the Founder Shares) are entitled to registration rights requiring the Company to register such securities for resale (in the case of the Founder Shares, only after conversion to Class A common stock).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granted the underwriters a 45-day option from the date of Initial Public Offering to purchase up to 3,750,000 additional Units to cover over-allotments, if any, at the Initial Public Offering price less the underwriting discounts and commissions. On March 18, 2019, the underwriters elected to partially exercise their over-allotment option to purchase 3,000,000 Units at a purchase price of $10.00 per Unit.</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connection with the closing of the Initial Public Offering and the over-allotment option, the underwriters were paid a cash underwriting discount of $0.20 per Unit, or $5,600,000. In addition, the underwriters were entitled to a deferred fee of $0.35 per Unit, or $9,800,000 in the aggregate. The deferred fee was paid in cash upon the closing of the Business Combination from the amounts held in the Trust Account, subject to the terms of the underwriting agreement. A portion of the deferred fees were paid to third parties who did not participate in the Initial Public Offering (but who are members of FINRA) that assisted the Company in consummating the Business Combination. The election to make such payments to third parties was solely at the discretion of the Company’s management team, and such third parties were selected by the management team in their sole and absolute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—The Company is authorized to issue 1,000,000 shares of preferred stock with a par value of $0.0001 per share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September 30, 2020 and December 31, 2019, there were no shares of preferred stock issued or outstanding.</w:t>
      </w:r>
    </w:p>
    <w:p>
      <w:pPr>
        <w:spacing w:after="0" w:line="17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Class A Common Stock </w:t>
      </w:r>
      <w:r>
        <w:rPr>
          <w:rFonts w:ascii="Arial" w:cs="Arial" w:eastAsia="Arial" w:hAnsi="Arial"/>
          <w:sz w:val="18"/>
          <w:szCs w:val="18"/>
          <w:color w:val="auto"/>
        </w:rPr>
        <w:t>—The Company is authorized to issue 100,000,000 shares of Class A common stock with a par value of $0.0001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Class A common stock are entitled to one vote for each share. At September 30, 2020 and December 31, 2019, there were 1,269,807 and 1,028,779 shares of Class A common stock issued and outstanding, excluding 26,730,193 and 26,971,221 shares of Class A common stock subject to possible redemption, respectively.</w:t>
      </w:r>
    </w:p>
    <w:p>
      <w:pPr>
        <w:spacing w:after="0" w:line="18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Class B Common Stock </w:t>
      </w:r>
      <w:r>
        <w:rPr>
          <w:rFonts w:ascii="Arial" w:cs="Arial" w:eastAsia="Arial" w:hAnsi="Arial"/>
          <w:sz w:val="18"/>
          <w:szCs w:val="18"/>
          <w:color w:val="auto"/>
        </w:rPr>
        <w:t>—The Company is authorized to issue 10,000,000 shares of Class B common stock with a par value of $0.0001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Class B common stock are entitled to one vote for each share. At September 30, 2020 and December 31, 2019, there were 7,000,000 shares of Class B common stock issued and outstanding.</w:t>
      </w:r>
    </w:p>
    <w:p>
      <w:pPr>
        <w:spacing w:after="0" w:line="1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shares of Class B common stock automatically converted into shares of Class A common stock at the time of the Business Combination on a one-for-one basis.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any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and within 60 business days following a Business Combination to have declared effective, a registration statement for the registration, under the Securities Act, of the shares of Class A common stock issuable upon exercise of the warrants. The Company will use its reasonable best efforts to maintain the effectiveness of such registration statement, and a current prospectus relating thereto, until the expiration of the warrants in accordance with the provisions of the warrant agreement.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be required to use its best efforts to register or qualify the shares under applicable blue sky laws to the extent an exemption is not available.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Redemptions of Warrants for Cash </w:t>
      </w:r>
      <w:r>
        <w:rPr>
          <w:rFonts w:ascii="Arial" w:cs="Arial" w:eastAsia="Arial" w:hAnsi="Arial"/>
          <w:sz w:val="18"/>
          <w:szCs w:val="18"/>
          <w:color w:val="auto"/>
        </w:rPr>
        <w:t>— Once the warrants become exercisable, 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Class A common stock equals or exceeds $18.00 per share for any 20 trading days within a 30-trading day period ending three business days before the Company sends the notice of redemption to each warrant holder.</w:t>
      </w:r>
    </w:p>
    <w:p>
      <w:pPr>
        <w:spacing w:after="0" w:line="1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Redemption of Warrants for Shares of Class A Common Stock </w:t>
      </w:r>
      <w:r>
        <w:rPr>
          <w:rFonts w:ascii="Arial" w:cs="Arial" w:eastAsia="Arial" w:hAnsi="Arial"/>
          <w:sz w:val="18"/>
          <w:szCs w:val="18"/>
          <w:color w:val="auto"/>
        </w:rPr>
        <w:t>— Commencing ninety days after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equal to a number of shares of Class A common stock to be determined, based on the redemption date and the fair market value of the Company’s Class A common stock;</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on the trading day prior to the date on which the Company sends the notice of redemption to the warrant holders;</w:t>
      </w:r>
    </w:p>
    <w:p>
      <w:pPr>
        <w:spacing w:after="0" w:line="212"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Private Placement Warrants are also concurrently exchanged at the same price (equal to a number of shares of the Company’s Class A common stock) as the Company’s outstanding Public Warrants, as described above; and</w:t>
      </w:r>
    </w:p>
    <w:p>
      <w:pPr>
        <w:spacing w:after="0" w:line="1"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and only if, there is an effective registration statement covering the shares of Class A common stock issuable upon exercise of the warrants and a current prospectus relating thereto is available throughout the 30-day period after the written notice of redemption is given.</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971"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TO DIAMONDPEAK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if the Company issues additional shares of common stock or equity-linked securities for capital raising purposes in connection with the closing of a Business Combination at a newly issued price of less than $9.20 per share of common stock (with such issue price or effective issue price to be determined in good faith by the Company’s board of directors, and in the case of any such issuance to our initial stockholders or their respective affiliates, without taking into account any Founder Shares held by them, as applicable, prior to such issuance), the exercise price of the warrants will be adjusted (to the nearest cent) to be equal to 115% of the newly issued price.</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salable until 30 days after the completion of a Business Combination, subject to certain limited exceptions. Additionally, the Placement Warrants will be exercisable on a cashless basis and be non-redeemable for cash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260" w:hanging="904"/>
        <w:spacing w:after="0" w:line="308" w:lineRule="auto"/>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1260" w:right="20" w:hanging="904"/>
        <w:spacing w:after="0" w:line="277" w:lineRule="auto"/>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at September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indicates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420"/>
              <w:spacing w:after="0"/>
              <w:rPr>
                <w:sz w:val="20"/>
                <w:szCs w:val="20"/>
                <w:color w:val="auto"/>
              </w:rPr>
            </w:pPr>
            <w:r>
              <w:rPr>
                <w:rFonts w:ascii="Arial" w:cs="Arial" w:eastAsia="Arial" w:hAnsi="Arial"/>
                <w:sz w:val="18"/>
                <w:szCs w:val="18"/>
                <w:b w:val="1"/>
                <w:bCs w:val="1"/>
                <w:color w:val="auto"/>
              </w:rPr>
              <w:t>Level</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  284,008,310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  283,581,860</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23, 2020, in connection with the Business Combination, the Company liquidated the Trust Account to fund the Business Combination and related expenses. See Note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described in Note 1, the Company completed the Business Combination on October 23, 2020.</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consolidated financial statements were issued. Based upon this review, except as indicated below, the Company did not identify any subsequent events that would have required adjustment or disclosure in the condensed consolidated financial statements.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30, 2020, the Company, along with Mr. Burns, Mr. LaFleur, Mr. Post and Mr. Schmidt, as the executive officers, and certain of Company employees, were named as defendants in a lawsuit filed by Karma Automotive LLC (“Karma”) in the United States District Court for the Central District of California (“District Court”). The lawsuit asserts claims against us and the executive officers under (i) federal law for violation of the Computer Fraud and Abuse Act and the Defend Trade Secrets Act, (ii) California law for misappropriation of trade secrets and unfair competition and (iii) common law for breach of contract and tortious interference with contract. These claims are made in connection with consideration by the Company of a venture with Karma regarding Karma’s development of an infotainment system for the Endurance and assert that the Company unlawfully poached key Karma employees and misappropriated Karma’s trade secrets and other confidential information. Karma is seeking injunctive relief and various types of damages. On November 6, 2020, the District Court denied Karma’s request for a temporary restraining order.</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continuing to evaluate the matters asserted in the lawsuit but intend to vigorously defend against these claims and believe have strong defenses to the claims and the damages demanded. At this time, however, we cannot predict the outcome of this matter or estimate the possible loss or range of possible loss, if any. The proceedings are subject to uncertainties inherent in the litigation process.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88"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The following discussion and analysis of the Company’s financial condition and results of operations should be read in conjunction with the unaudited condensed consolidated financial statements and the notes thereto contained elsewhere in this report. Certain information contained in the discussion and analysis set forth below includes forward-looking statements that involve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statements other than statements of historical fact included in this Quarterly Report on Form 10-Q including, without limitation, statements under this “Management’s Discussion and Analysis of Financial Condition and Results of Operations” regarding the Company’s financial position, business strategy and the plans and objectives of management for future operations, are forward-looking statements. When used in this Quarterly Report on Form 10-Q, words such as “anticipate,” “believe,” “estimate,” “expect,” “intend” and similar expressions, as they relate to us or the Company’s management,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our filings with the SEC. All subsequent written or oral forward-looking statements attributable to us or persons acting on the Company’s behalf are qualified in their entirety by this paragraph.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a former blank check company incorporated on November 13, 2018 under the name DiamondPeak Holdings Corp. as a Delaware corporation and formed for the purpose of effecting a merger, capital stock exchange, asset acquisition, stock purchase, reorganization or similar business combination with one or more businesses. We completed our Initial Public Offering on March 4, 2019 and completed the Business Combination on October 23,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23, 2020 (the “Closing Date”), the Company consummated the previously announced Business Combination with Legacy LMC, and Merger Sub, pursuant to which Merger Sub merged with and into Legacy LMC with Legacy LMC surviving the merger (the “Merger”). Upon the Business Combination, the Company was renamed Lordstown Motors Corp. and Legacy LMC became a wholly owned subsidiary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entire activity from inception up to March 4, 2019 was in preparation for our Initial Public Offering. From the consummation of our Initial Public Offering through September 30, 2020, our activity was limited to the evaluation of business combination candidates and the proposed Business Combination. We did not generate any operating revenues until the closing and completion of the Business Combination. We incurred expenses as a result of being a public company (for legal, financial reporting, accounting and auditing compliance), as well as for due diligence expenses.</w:t>
      </w:r>
    </w:p>
    <w:p>
      <w:pPr>
        <w:spacing w:after="0" w:line="1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three months ended September 30, 2020, we had a net loss of $2,600,623, which consisted of general and administrative expenses of $2,631,901, offset by interest earned on marketable securities held in the Trust Account of $26,301 and an income tax benefit of $4,977.</w:t>
      </w:r>
    </w:p>
    <w:p>
      <w:pPr>
        <w:spacing w:after="0" w:line="14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For the nine months ended September 30, 2020, we had a net loss of $2,410,284, which consisted of general and administrative expenses of $3,278,784 and a provision for income taxes of $191,000, offset by interest earned on marketable securities held in the Trust Account of $1,059,500.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324"/>
        <w:spacing w:after="0" w:line="308" w:lineRule="auto"/>
        <w:rPr>
          <w:sz w:val="20"/>
          <w:szCs w:val="20"/>
          <w:color w:val="auto"/>
        </w:rPr>
      </w:pPr>
      <w:r>
        <w:rPr>
          <w:rFonts w:ascii="Arial" w:cs="Arial" w:eastAsia="Arial" w:hAnsi="Arial"/>
          <w:sz w:val="17"/>
          <w:szCs w:val="17"/>
          <w:color w:val="auto"/>
        </w:rPr>
        <w:t>For the three months ended September 30, 2019, we had net income of $976,190, which consisted of interest earned on marketable securities held in the Trust Account of $1,411,990, offset by general and administrative expenses of $149,771 and a provision for income taxes of $286,029.</w:t>
      </w:r>
    </w:p>
    <w:p>
      <w:pPr>
        <w:spacing w:after="0" w:line="1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nine months ended September 30, 2019, we had net income of $2,341,841, which consisted of interest earned on marketable securities held in the Trust Account of $3,420,486, offset by general and administrative expenses of $391,832 and a provision for income taxes of $686,813.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2020, we had cash held in the Trust Account of $284,008,310 (including approximately $4,008,000 of interest income). Interest income on the balance in the Trust Account may be used by us to pay taxes and up to $100,000 of dissolution expenses. Through September 30, 2020, we withdrew $1,599,050 of funds from the interest earned on the Trust Account to pay our franchise and income tax obligations, of which $633,050 was withdrawn during the nine months ended September 30, 2020.</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nine months ended September 30, 2020, net cash used in operating activities was $1,634,223. Net loss of $2,410,284 was impacted by interest earned on marketable securities of $1,059,500. Changes in operating assets and liabilities provided $1,835,561 of cash from operating activities.</w:t>
      </w:r>
    </w:p>
    <w:p>
      <w:pPr>
        <w:spacing w:after="0" w:line="12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nine months ended September 30, 2019, net cash used in operating activities was $1,014,841. Net income of $2,341,841 was offset by interest earned on marketable securities of $3,420,486. Changes in operating assets and liabilities provided $63,804 of cash from operating activities</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used substantially all of the funds held in the Trust Account, including any amounts representing interest earned on the Trust Account (less deferred underwriting fees) to complete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September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did not have any long-term debt, capital lease obligations, operating lease obligations or long-term liabilities, other than an agreement to pay the Sponsor a monthly fee of $10,000 for office space, utilities and secretarial and administrative support to the Company. We began incurring these fees on March 1, 2019 and continued to incur these fees monthly until the completion of the Business Combination.</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we agreed to pay the underwriters a deferred fee of three and one-half percent (3.5%) of the gross proceeds of the Initial Public Offering, or $9,800,000.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not identified any 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Following the consummation of our Initial Public Offering, we invested the funds held in the Trust Account in money market funds meeting certain conditions under Rule 2a-7 under the Investment Company Act, which invest solely in United States Treasuries. Due to the short-term nature of the money market fund’s investments, we do not believe that there will be an associated material exposure to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2020. Based upon their evaluation, our Chief Executive Officer and Chief Financial Officer concluded that our disclosure controls and procedures (as defined in Rules 13a-15 (e) and 15d-15 (e) under the Exchange Act)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that has occurred during the fiscal quarter of 2020 covered by this Quarterly Report on Form 10-Q that has materially affected, or is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30, 2020, we, along with Mr. Burns, Mr. LaFleur, Mr. Post and Mr. Schmidt, as our executive officers, and certain of our other employees, were named as defendants in a lawsuit filed by Karma Automotive LLC (“Karma”) in the United States District Court for the Central District of California (“District Court”). The lawsuit asserts claims against us and the executive officers under (i) federal law for violation of the Computer Fraud and Abuse Act and the Defend Trade Secrets Act, (ii) California law for misappropriation of trade secrets and unfair competition and (iii) common law for breach of contract and tortious interference with contract. These claims are made in connection with consideration by us of a venture with Karma regarding Karma’s development of an infotainment system for the Endurance and assert that we unlawfully poached key Karma employees and misappropriated Karma’s trade secrets and other confidential information. Karma is seeking injunctive relief and various types of damages. On November 6, 2020, the District Court denied Karma’s request for a temporary restraining order.</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continuing to evaluate the matters asserted in the lawsuit but intend to vigorously defend against these claims and believe we have strong defenses to the claims and the damages demanded. At this time, however, we cannot predict the outcome of this matter or estimate the possible loss or range of possible loss, if any. The proceedings are subject to uncertainties inherent in the litigation process.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Factors that could cause our actual results to differ materially from those in this report are any of the risks described in (i) our Annual Report on Form 10-K filed with the SEC on March 25, 2020, (ii) our Definitive Proxy Statement on Schedule 14A relating to the Business Combination, initially filed with the SEC on August 3, 2020 and as amended through October 9, 2020, or (iii) our Quarterly Report on Form 10-Q filed with the SEC on August 13, 2020.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November 11, 2020, the Company’s board of directors appointed Rich Schmidt as President.</w:t>
      </w:r>
    </w:p>
    <w:p>
      <w:pPr>
        <w:spacing w:after="0" w:line="144"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Mr. Schmidt (53) had served as the Company’s Chief Production Officer since October 2020. Mr. Schmidt served as Chief Production Officer of our subsidiary, Lordstown EV Corporation (f/k/a Lordstown Motors Corp.), from October 2019 until October 2020. Mr. Schmidt has over 30 years of automotive industry expertise, including experiences at Toyota and Nissan as a Manager in the company’s Plant, Body and Plastics Engineering divisions; Hyundai as Senior Manager of Paint; Volkswagen as Senior Manager of Paint Engineering; and Tesla Motors as Director of Manufacturing, where he oversaw the company’s Paint, Plastics, and Coatings divisions, as well as general assembly, body, high pressure die cast and special projects. Mr. Schmidt has served as a Senior Automotive Consultant for the North American Fiat Chrysler Automotive Plants from July 2017 to July 2019. In that role, Mr. Schmidt provided training to manufacturing teams and worked to improve the Fiat Chrysler Automotive Plants’ quality, productivity and cost.</w:t>
      </w:r>
    </w:p>
    <w:p>
      <w:pPr>
        <w:spacing w:after="0" w:line="8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Also effective November 11, 2020, John Lafleur will serve as the Company’s Director of Service and will no longer serve as the Company’s Chief Operating Officer.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Section 302 of the Sarbanes-Oxley Act of 2002</w:t>
              </w:r>
            </w:hyperlink>
          </w:p>
        </w:tc>
        <w:tc>
          <w:tcPr>
            <w:tcW w:w="668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Act of 2002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101.INS*</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101.SCH*</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101.LAB*</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6" w:lineRule="exact"/>
        <w:rPr>
          <w:sz w:val="20"/>
          <w:szCs w:val="20"/>
          <w:color w:val="auto"/>
        </w:rPr>
      </w:pPr>
    </w:p>
    <w:p>
      <w:pPr>
        <w:ind w:right="9800" w:firstLine="8"/>
        <w:spacing w:after="0" w:line="342" w:lineRule="auto"/>
        <w:tabs>
          <w:tab w:leader="none" w:pos="3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269"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LORDSTOWN MOTORS CORP.</w:t>
      </w:r>
    </w:p>
    <w:p>
      <w:pPr>
        <w:spacing w:after="0" w:line="229"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5"/>
          <w:szCs w:val="15"/>
          <w:color w:val="auto"/>
        </w:rPr>
        <w:t>/s/ Stephen 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Stephen S. Burns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6"/>
          <w:szCs w:val="16"/>
          <w:color w:val="auto"/>
        </w:rPr>
        <w:t>/s/ Julio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Julio Rodriguez</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S. Burns,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2"/>
          <w:numId w:val="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2"/>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2"/>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680" w:right="20" w:hanging="335"/>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Stephen S. Burns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Julio Rodriguez,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2"/>
          <w:numId w:val="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2"/>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2"/>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680" w:right="20" w:hanging="335"/>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Julio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Julio Rodriguez</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Lordstown Motors Corp. (the “Company”) on Form 10-Q for the quarterly period ended September 30, 2020, as filed with the Securities and Exchange Commission (the “Report”), I, Stephen S. Burns, Chief Executive Officer of the Company, certify, pursuant to 18 U.S.C. §1350, as added by §906 of the Sarbanes-Oxley Act of 2002, that:</w:t>
      </w:r>
    </w:p>
    <w:p>
      <w:pPr>
        <w:spacing w:after="0" w:line="184" w:lineRule="exact"/>
        <w:rPr>
          <w:sz w:val="20"/>
          <w:szCs w:val="20"/>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Stephen S. Burns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Lordstown Motors Corp. (the “Company”) on Form 10-Q for the quarterly period ended September 30, 2020, as filed with the Securities and Exchange Commission (the “Report”), I, Julio Rodriguez, Chief Financial Officer of the Company, certify, pursuant to 18 U.S.C. §1350, as added by §906 of the Sarbanes-Oxley Act of 2002, that:</w:t>
      </w:r>
    </w:p>
    <w:p>
      <w:pPr>
        <w:spacing w:after="0" w:line="184" w:lineRule="exact"/>
        <w:rPr>
          <w:sz w:val="20"/>
          <w:szCs w:val="20"/>
          <w:color w:val="auto"/>
        </w:rPr>
      </w:pPr>
    </w:p>
    <w:p>
      <w:pPr>
        <w:ind w:left="680" w:hanging="335"/>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Julio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Julio Rodriguez</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emdash "/>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2020-11-16T16:21:22Z</dcterms:created>
  <dcterms:modified xsi:type="dcterms:W3CDTF">2020-11-16T16:21:22Z</dcterms:modified>
</cp:coreProperties>
</file>