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40" w:right="1760" w:hanging="332"/>
        <w:spacing w:after="0" w:line="286" w:lineRule="auto"/>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right="1740" w:hanging="332"/>
        <w:spacing w:after="0" w:line="286" w:lineRule="auto"/>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001-38821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83-2533239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740"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1700 Broadway, 19th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40"/>
          </w:cols>
          <w:pgMar w:left="320" w:top="740"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202-2200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type w:val="continuous"/>
        </w:sectPr>
      </w:pPr>
    </w:p>
    <w:p>
      <w:pPr>
        <w:spacing w:after="0" w:line="135" w:lineRule="exact"/>
        <w:rPr>
          <w:sz w:val="24"/>
          <w:szCs w:val="24"/>
          <w:color w:val="auto"/>
        </w:rPr>
      </w:pPr>
    </w:p>
    <w:p>
      <w:pPr>
        <w:ind w:right="940"/>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4"/>
          <w:szCs w:val="24"/>
          <w:color w:val="auto"/>
        </w:rPr>
      </w:pPr>
    </w:p>
    <w:p>
      <w:pPr>
        <w:sectPr>
          <w:pgSz w:w="11900" w:h="16838" w:orient="portrait"/>
          <w:cols w:equalWidth="0" w:num="3">
            <w:col w:w="3120" w:space="720"/>
            <w:col w:w="3080" w:space="720"/>
            <w:col w:w="3600"/>
          </w:cols>
          <w:pgMar w:left="320" w:top="740" w:right="339" w:bottom="1440" w:gutter="0" w:footer="0" w:header="0"/>
          <w:type w:val="continuous"/>
        </w:sect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13, 2025, there were 16,096,296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gridSpan w:val="9"/>
          </w:tcPr>
          <w:p>
            <w:pPr>
              <w:ind w:left="1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9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PART I</w:t>
            </w:r>
          </w:p>
        </w:tc>
        <w:tc>
          <w:tcPr>
            <w:tcW w:w="9620" w:type="dxa"/>
            <w:vAlign w:val="bottom"/>
            <w:gridSpan w:val="2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FINANCIAL INFORMATION</w:t>
            </w:r>
          </w:p>
        </w:tc>
        <w:tc>
          <w:tcPr>
            <w:tcW w:w="640" w:type="dxa"/>
            <w:vAlign w:val="bottom"/>
            <w:shd w:val="clear" w:color="auto" w:fill="CCEEFF"/>
          </w:tcPr>
          <w:p>
            <w:pPr>
              <w:spacing w:after="0"/>
              <w:rPr>
                <w:sz w:val="16"/>
                <w:szCs w:val="16"/>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2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98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and nine months ended September 30,</w:t>
            </w:r>
          </w:p>
        </w:tc>
        <w:tc>
          <w:tcPr>
            <w:tcW w:w="38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and nine months ended September 30, 2025</w:t>
            </w:r>
          </w:p>
        </w:tc>
        <w:tc>
          <w:tcPr>
            <w:tcW w:w="64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93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2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8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2025 and 2024</w:t>
            </w:r>
          </w:p>
        </w:tc>
        <w:tc>
          <w:tcPr>
            <w:tcW w:w="178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98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2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2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432"/>
        </w:trPr>
        <w:tc>
          <w:tcPr>
            <w:tcW w:w="9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5"/>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10-K for the year ended December 31, 2024.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in this report to the “Company,” “Lordstown,” “Debtors,” “we,” “us,” “our” and similar terms refer to Nu Ride Inc. (f/k/a Lordstown Motors Corp.; f/k/a DiamondPeak Holdings Corp.)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880" w:type="dxa"/>
            <w:vAlign w:val="bottom"/>
          </w:tcPr>
          <w:p>
            <w:pPr>
              <w:jc w:val="center"/>
              <w:ind w:left="4290"/>
              <w:spacing w:after="0"/>
              <w:rPr>
                <w:sz w:val="20"/>
                <w:szCs w:val="20"/>
                <w:color w:val="auto"/>
              </w:rPr>
            </w:pPr>
            <w:r>
              <w:rPr>
                <w:rFonts w:ascii="Times New Roman" w:cs="Times New Roman" w:eastAsia="Times New Roman" w:hAnsi="Times New Roman"/>
                <w:sz w:val="18"/>
                <w:szCs w:val="18"/>
                <w:b w:val="1"/>
                <w:bCs w:val="1"/>
                <w:color w:val="auto"/>
              </w:rPr>
              <w:t>Nu Ride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8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f/k/a Lordstown Motors Corp.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80" w:type="dxa"/>
            <w:vAlign w:val="bottom"/>
            <w:gridSpan w:val="3"/>
          </w:tcPr>
          <w:p>
            <w:pPr>
              <w:jc w:val="center"/>
              <w:ind w:left="39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180" w:type="dxa"/>
            <w:vAlign w:val="bottom"/>
            <w:gridSpan w:val="3"/>
          </w:tcPr>
          <w:p>
            <w:pPr>
              <w:jc w:val="center"/>
              <w:ind w:left="39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 share data)</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8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880" w:type="dxa"/>
            <w:vAlign w:val="bottom"/>
            <w:tcBorders>
              <w:top w:val="single" w:sz="8" w:color="CCEEFF"/>
            </w:tcBorders>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23,095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6,371</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 restricted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23,370</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100" w:type="dxa"/>
            <w:vAlign w:val="bottom"/>
            <w:tcBorders>
              <w:bottom w:val="single" w:sz="8" w:color="CCEEFF"/>
            </w:tcBorders>
          </w:tcPr>
          <w:p>
            <w:pPr>
              <w:spacing w:after="0"/>
              <w:rPr>
                <w:sz w:val="18"/>
                <w:szCs w:val="18"/>
                <w:color w:val="auto"/>
              </w:rPr>
            </w:pPr>
          </w:p>
        </w:tc>
      </w:tr>
      <w:tr>
        <w:trPr>
          <w:trHeight w:val="223"/>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48,619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legal and professional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0"/>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9,884</w:t>
            </w:r>
          </w:p>
        </w:tc>
      </w:tr>
      <w:tr>
        <w:trPr>
          <w:trHeight w:val="210"/>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12,000,000 shares authorized;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300,000 shares issued and outstanding as of September 30, 2025 and December 31, 2024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35,455</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450,000,000 shares authorized; 16,096,296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September 30, 2025 and December 31, 2024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1,182,658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1,184,505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(1,177,929)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(1,178,415)</w:t>
            </w:r>
          </w:p>
        </w:tc>
      </w:tr>
      <w:tr>
        <w:trPr>
          <w:trHeight w:val="210"/>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Borders>
              <w:bottom w:val="single" w:sz="8" w:color="CCEEFF"/>
            </w:tcBorders>
          </w:tcPr>
          <w:p>
            <w:pPr>
              <w:spacing w:after="0"/>
              <w:rPr>
                <w:sz w:val="18"/>
                <w:szCs w:val="18"/>
                <w:color w:val="auto"/>
              </w:rPr>
            </w:pPr>
          </w:p>
        </w:tc>
      </w:tr>
      <w:tr>
        <w:trPr>
          <w:trHeight w:val="223"/>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48,619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8"/>
                <w:szCs w:val="18"/>
                <w:color w:val="auto"/>
              </w:rPr>
            </w:pPr>
          </w:p>
        </w:tc>
        <w:tc>
          <w:tcPr>
            <w:tcW w:w="15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3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18"/>
                <w:szCs w:val="18"/>
                <w:color w:val="auto"/>
              </w:rPr>
            </w:pPr>
          </w:p>
        </w:tc>
        <w:tc>
          <w:tcPr>
            <w:tcW w:w="15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13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items</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(income) expense, net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debt securities available for sale</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3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tcPr>
          <w:p>
            <w:pPr>
              <w:spacing w:after="0"/>
              <w:rPr>
                <w:sz w:val="24"/>
                <w:szCs w:val="24"/>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16,096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16,058</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16,096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16,096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 w:type="dxa"/>
            <w:vAlign w:val="bottom"/>
          </w:tcPr>
          <w:p>
            <w:pPr>
              <w:spacing w:after="0"/>
              <w:rPr>
                <w:sz w:val="20"/>
                <w:szCs w:val="20"/>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5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5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top w:val="single" w:sz="8" w:color="auto"/>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28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Borders>
              <w:bottom w:val="single" w:sz="8" w:color="CCEEFF"/>
            </w:tcBorders>
          </w:tcPr>
          <w:p>
            <w:pPr>
              <w:spacing w:after="0"/>
              <w:rPr>
                <w:sz w:val="19"/>
                <w:szCs w:val="19"/>
                <w:color w:val="auto"/>
              </w:rPr>
            </w:pPr>
          </w:p>
        </w:tc>
      </w:tr>
      <w:tr>
        <w:trPr>
          <w:trHeight w:val="20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$ 36,887</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$ 1,183,289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(1,178,884)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of Series A Convertible</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available for</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sale debt securities</w:t>
            </w:r>
          </w:p>
        </w:tc>
        <w:tc>
          <w:tcPr>
            <w:tcW w:w="2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$ 37,625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$ 1,182,658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(1,177,929</w:t>
            </w:r>
          </w:p>
        </w:tc>
        <w:tc>
          <w:tcPr>
            <w:tcW w:w="1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 w:type="dxa"/>
            <w:vAlign w:val="bottom"/>
          </w:tcPr>
          <w:p>
            <w:pPr>
              <w:spacing w:after="0"/>
              <w:rPr>
                <w:sz w:val="20"/>
                <w:szCs w:val="20"/>
                <w:color w:val="auto"/>
              </w:rPr>
            </w:pPr>
          </w:p>
        </w:tc>
        <w:tc>
          <w:tcPr>
            <w:tcW w:w="18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0"/>
                <w:szCs w:val="20"/>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$ 34,078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$ 1,185,793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(1,177,274)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of Series A Convertible</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$ 34,760</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$ 1,185,156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(1,176,936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 w:type="dxa"/>
            <w:vAlign w:val="bottom"/>
          </w:tcPr>
          <w:p>
            <w:pPr>
              <w:spacing w:after="0"/>
              <w:rPr>
                <w:sz w:val="21"/>
                <w:szCs w:val="21"/>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5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5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19"/>
                <w:szCs w:val="19"/>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$ 35,455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$ 1,184,505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(1,178,415)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of Series A Convertible</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(2,170)</w:t>
            </w: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available for</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sale debt securities</w:t>
            </w:r>
          </w:p>
        </w:tc>
        <w:tc>
          <w:tcPr>
            <w:tcW w:w="2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$ 37,625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$ 1,182,658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(1,177,929</w:t>
            </w:r>
          </w:p>
        </w:tc>
        <w:tc>
          <w:tcPr>
            <w:tcW w:w="1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 w:type="dxa"/>
            <w:vAlign w:val="bottom"/>
          </w:tcPr>
          <w:p>
            <w:pPr>
              <w:spacing w:after="0"/>
              <w:rPr>
                <w:sz w:val="21"/>
                <w:szCs w:val="21"/>
                <w:color w:val="auto"/>
              </w:rPr>
            </w:pPr>
          </w:p>
        </w:tc>
        <w:tc>
          <w:tcPr>
            <w:tcW w:w="18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1"/>
                <w:szCs w:val="21"/>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19"/>
                <w:szCs w:val="19"/>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$ 32,755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$ 1,183,804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(1,170,279)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vesting</w:t>
            </w:r>
          </w:p>
        </w:tc>
        <w:tc>
          <w:tcPr>
            <w:tcW w:w="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shd w:val="clear" w:color="auto" w:fill="CCEEFF"/>
          </w:tcPr>
          <w:p>
            <w:pPr>
              <w:spacing w:after="0"/>
              <w:rPr>
                <w:sz w:val="18"/>
                <w:szCs w:val="18"/>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Accrual of Series A Convertible</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(6,657)</w:t>
            </w: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$ 34,760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$ 1,185,156</w:t>
            </w: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(1,176,936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(6,657)</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3,463</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investment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insurance and 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3,843</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and professional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(11,881)</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 and liabilities subject to compromise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w:t>
            </w:r>
          </w:p>
        </w:tc>
      </w:tr>
      <w:tr>
        <w:trPr>
          <w:trHeight w:val="209"/>
        </w:trPr>
        <w:tc>
          <w:tcPr>
            <w:tcW w:w="66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 payments related to net settled restricted stock compensation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6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(30,075)</w:t>
            </w: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23,095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87,096</w:t>
            </w:r>
          </w:p>
        </w:tc>
      </w:tr>
      <w:tr>
        <w:trPr>
          <w:trHeight w:val="263"/>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57,021</w:t>
            </w:r>
          </w:p>
        </w:tc>
        <w:tc>
          <w:tcPr>
            <w:tcW w:w="100" w:type="dxa"/>
            <w:vAlign w:val="bottom"/>
            <w:tcBorders>
              <w:bottom w:val="single" w:sz="8" w:color="CCEEFF"/>
            </w:tcBorders>
          </w:tcPr>
          <w:p>
            <w:pPr>
              <w:spacing w:after="0"/>
              <w:rPr>
                <w:sz w:val="22"/>
                <w:szCs w:val="22"/>
                <w:color w:val="auto"/>
              </w:rPr>
            </w:pPr>
          </w:p>
        </w:tc>
      </w:tr>
      <w:tr>
        <w:trPr>
          <w:trHeight w:val="196"/>
        </w:trPr>
        <w:tc>
          <w:tcPr>
            <w:tcW w:w="6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reorganization items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25,781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acquired the assets and assumed certain specified liabilities of the Company for a total purchase price of $10.2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emergence from bankruptcy,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the Company may explore potential business opportunities, including strategic alternatives or business combinations and/or make loans or other investments pending any such transaction. No assurances can be made that the Company will be successful in prosecuting any claim or cause of action or that any strategic alternative or business combination, and/or other transaction, will be identified and/or would result in profitable operations or the ability to preserve any value from the NOLs. The Company anticipates that the prosecution of claims and causes of action and the evaluation and pursuit of potential strategic alternatives and/or other transaction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all shares of the Company’s Class A common stock are presented after giving effect to the 1:15 reverse stock split of the outstanding Class A common stock, which became effective on May 24,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Emergence From Bankruptcy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2024, the Bankruptcy Court entered a confirmation order confirming the Plan.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(each as defined in Note 7) that the Company believes were committed by Foxconn. As set forth in the complaint relating to the adversary proceeding, the Company believes Foxconn’s actions have caused substantial harm to the Company’s operations and prospects and caused significant damages.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 Commitments and Contingencies - Foxconn Litigation for 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Certain Assets to LandX</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29, 2023, the Company entered into an Asset Purchase Agreement (the “LandX Asset Purchase Agreement”) with LAS Capital LLC and Mr. Stephen S. Burns,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and assumed certain specified liabilities for a total purchase price of $10.2 million in cash. Upon consummation of the sale, the Company’s investment banker became entitled to a transaction fee of $2.0 million after crediting certain other fees. The transaction fee was paid in January 2024, with no further amounts payable.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conformity with accounting principles generally accepted in the United States of America (“GAAP”) and pursuant to the rules and regulations of the Securities and Exchange Commission. The condensed consolidated financial statements include the accounts and operations of the Company and its wholly owned subsidiary. All intercompany accounts and transactions are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cash and cash equivalents of approximately $18.2 million, short-term investments of approximately $6.9 million excluding restricted short-term investments of approximately $22.7 million, an accumulated deficit of $1.2 billion at September 30, 2025, and net income of $0.5 million for the nine months ended September 30,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both its cash and cash equivalents and unrestricted short-term investments for paying existing accrued expenses and legal and consulting fees expected to be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Financial Statement Preparation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described in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Upon emergence from bankruptcy, the Company assessed the requirements of fresh start accounting as required in Accounting Standards Codification 852: </w:t>
      </w:r>
      <w:r>
        <w:rPr>
          <w:rFonts w:ascii="Times New Roman" w:cs="Times New Roman" w:eastAsia="Times New Roman" w:hAnsi="Times New Roman"/>
          <w:sz w:val="18"/>
          <w:szCs w:val="18"/>
          <w:i w:val="1"/>
          <w:iCs w:val="1"/>
          <w:color w:val="auto"/>
        </w:rPr>
        <w:t xml:space="preserve">Reorganizations </w:t>
      </w:r>
      <w:r>
        <w:rPr>
          <w:rFonts w:ascii="Times New Roman" w:cs="Times New Roman" w:eastAsia="Times New Roman" w:hAnsi="Times New Roman"/>
          <w:sz w:val="18"/>
          <w:szCs w:val="18"/>
          <w:color w:val="auto"/>
        </w:rPr>
        <w:t>(“ASC 852”). Based on the Company’s assessment, management concluded that the Company does not qualify for fresh start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 and (e) filing SEC required reports and satisfying other regulatory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income (loss) as well as total selling, general, and administrative expenses. The CODM utilizes these metrics in order to assess the Company’s cash burn. Total net income (loss) as well as selling, general, and administrative expenses are used to monitor budget versus actual results.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segment expenses are consistent with those presented on the condensed consolidated statements of operations and comprehensive loss. The measure of segment assets is reported on the condensed consolidated balance sheets as total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Short-term Investments, and Restricted Short-term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for further information.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Restricted short-term investment balances represent the cash reserves as required by the Plan. Restricted short-term investments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$45 million reserve for allowed and disputed claims of general unsecured creditors (the “Claims Reserve”), including interest (although there can be no assurance the Company will be able to pay such claims in full, with interest). As of September 30, 2025, $22.1 million was included in restricted short-term investments, which represents the initial Claims Reserve of $45 million, less $22.9 million which was released from the Claims Reserve related to the claims reconciliation process.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accompanying condensed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7 - Commitments and Contingencies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stock-based compensation in accordance with ASC Topic 718,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the Company has elected to account for forfeitures as they occur. See Note 6 - Stock Based Compensation.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Items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Reorganization items of $0 and $4.8 million for the three and nine months ended September 30, 2024, respectively, represent the expenses directly and incrementally resulting from the Chapter 11 Cases and are separately reported as Reorganization items in the condensed consolidated statements of operations and comprehensive loss. No reorganization items were recognized for the three and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Deferred tax assets and liabilities are determined based on the difference between the condensed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Company does not expect the effect of this new guidance to have a material impact on the Company’s condensed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ASU requires public business entities to provide disclosure of additional information about certain identified costs and expenses on both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interim and annual basis. In January 2025, the FASB issued ASU 2025-01,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Clarifying the Effective Date. </w:t>
      </w:r>
      <w:r>
        <w:rPr>
          <w:rFonts w:ascii="Times New Roman" w:cs="Times New Roman" w:eastAsia="Times New Roman" w:hAnsi="Times New Roman"/>
          <w:sz w:val="18"/>
          <w:szCs w:val="18"/>
          <w:color w:val="auto"/>
        </w:rPr>
        <w:t>This ASU provided clarification regarding the effective dates of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the accounting guidance in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held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anchor investor purchased warrants (the “Private Placement Warrants”), which expired on October 23, 2025. In connection with the Foxconn Transactions and the closing of the Asset Purchase Agreement, the Company issued warrants to Foxconn that expired on May 11, 2025 (the “Foxconn Warrants”). No Foxconn Warrants were exercised prior to expiration.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following the Reverse Stock Split, the Company had 0.113 million Foxconn Warrants with an exercise price of $157.50 and 0.153 million Private Placement Warrants with a strike price of $172.50. The Foxconn Warrants were not outstanding as of September 30, 2025 as all 0.113 million Foxconn Warrants expired on May 11, 2025. The Private Placement Warrants remained outstanding as of September 30, 2025. The fair value of the Foxconn Warrants was $0.3 million at issuance. The Private Placement Warrants and the Foxconn Warrants were classified as a liability with any changes in the fair value recognized immediately in the condensed consolidated statements of operations and comprehensive loss. As a result of the Chapter 11 Cases, the fair value of the Company’s warrants was deemed to be zero and adjusted accordingly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valuation of our financial instruments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Prices with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Prices with</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1)</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inputs (Level 2)</w:t>
            </w:r>
          </w:p>
        </w:tc>
        <w:tc>
          <w:tcPr>
            <w:tcW w:w="16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inputs (Level 3)</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18,234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29,626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657"/>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4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Prices with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Prices with</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1)</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inputs (Level 2)</w:t>
            </w:r>
          </w:p>
        </w:tc>
        <w:tc>
          <w:tcPr>
            <w:tcW w:w="16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inputs (Level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23,095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29,741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available-for-sale securities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Aggregate fair</w:t>
            </w:r>
          </w:p>
        </w:tc>
        <w:tc>
          <w:tcPr>
            <w:tcW w:w="16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Unrealized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r>
      <w:tr>
        <w:trPr>
          <w:trHeight w:val="234"/>
        </w:trPr>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198"/>
        </w:trPr>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 13,</w:t>
            </w:r>
          </w:p>
        </w:tc>
      </w:t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2025-July 9,</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29,611</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414"/>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Pr>
          <w:p>
            <w:pPr>
              <w:spacing w:after="0"/>
              <w:rPr>
                <w:sz w:val="24"/>
                <w:szCs w:val="24"/>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Aggregate fair</w:t>
            </w:r>
          </w:p>
        </w:tc>
        <w:tc>
          <w:tcPr>
            <w:tcW w:w="16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Unrealized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r>
      <w:tr>
        <w:trPr>
          <w:trHeight w:val="234"/>
        </w:trPr>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198"/>
        </w:trPr>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15,</w:t>
            </w:r>
          </w:p>
        </w:tc>
      </w:t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2025 - May 15,</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29,751</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432"/>
        </w:trPr>
        <w:tc>
          <w:tcPr>
            <w:tcW w:w="3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SERIES A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2022, the Company entered into the Investment Agreement with Foxconn affiliate Foxconn Ventures Pte. Ltd.. Under the Investment Agreement, Foxconn Ventures agreed to make equity investments in the Company through the purchase of $70 million of Class A common stock, and up to $100 million in Series A Convertible Preferred Stock, $0.0001 par value per share (the “Preferred Stock”), subject to certain conditions. The Investment Agreement provided for the second closing of Class A common stock (the “Subsequent Common Closing”), at which time, the Company maintains that Foxconn Ventures was required to purchase approximately 10% of the Class A common stock for approximately $47.3 million.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22, 2022, the parties completed the initial closing under the Investment Agreement, pursuant to which Foxconn Ventures purchased approximately $22.7 million of Class A common stock and $30 million of Preferred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following the parties’ agreement to the EV Program (as defined in the Investment Agreement) budget and the EV Program milestones and satisfaction of those EV Program milestones and other conditions set forth in the Investment Agreement, Foxconn Ventures was to purchase in two tranches, a total of 0.7 million additional shares of Preferred Stock at a purchase price of $100 per share for aggregate proceeds of $70 million (the “Subsequent Preferred Funding”). The first tranche was to be in an amount equal to 0.3 million shares for an aggregate purchase price of $30 million; the second tranche was to be in an amount equal to 0.4 million shares for an aggregate purchase price of $40 million. The parties agreed to use commercially reasonable efforts to agree upon the EV Program budget and EV Program milestones no later than May 7,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7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Beneficial Ownership Requirement (as defined in the Investment Agreement), Parity Stock and Senior Stock can only be issued with Foxconn’s consent.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Designation, Preferences and Rights of the Series A Convertible Preferred Stock filed by the Company with the Secretary of State of the State of Delaware (the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the definition of Ownership Limitation (as defined in the Certificate of Designation).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Designation provides that, commencing on November 7, 2023 (the “Conversion Right Date”), and subject to the Ownership Limitation, the Preferred Stock became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the Ownership Limitation.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Company’s Preferred Stock do not specify an unconditional obligation of the Company to redeem the Preferred Stock on a specific or determinable date, or upon an event certain to occur. The Company notes the existence of the Change of Control Put (defined below).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the transaction price associated with the sale of the Preferred Stock to Foxconn was representative of fair value and serves as the basis for initial measurement. 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 to the extent they are not paid by the Company. The Company records the dividends (effective PIK dividends) as they are earned, based on the carrying value of the Preferred Stock at the date they are earned. In addition, the holders of the Preferred Stock participate with any dividends payable in respect of any Junior Stock or Parity Stock. The Company accrued $0.7 million and $2.2 million in dividends during the three and nine months ended September 30, 2025, respectively and $0.7 million and $2.0 million, respectively in dividends during the three and nine months ended September 30, 2024, respectively, and had accrued $7.6 million and $5.5 million in aggregate dividends as of September 30, 2025 and December 31, 2024, respectively, with a corresponding adjustment to additional-paid-in-capital common stock in the absence of retained earnings.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emergence from bankruptcy, and as of the date of this report, the Preferred Stock remains outstanding and unimpaired. Upon a change of control (as defined in the Certificate of Designation), Foxconn can cause the Company to purchase any or all of its Preferred Stock at a purchase price equal to the greater of its $30.0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condensed consolidated balance sheets. As of September 30, 2025 and December 31, 2024, the Company did not consider a change of control to be probable, however the Company notes that there is significant uncertainty regarding the outcome of the Foxconn Litigation which may impact the foregoing, and the Company can provide no assurance regarding such determination.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STOCK AND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authorized shares of capital stock totaling 462 million shares, consisting of (i) 450 million shares of Class A common stock and (ii) 12 million shares of preferred stock, each with a par value of $0.0001.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May 24, 2023 (the “Reverse Split Effective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filed an Amendment to the Charter on May 22, 2023, which provided that, at the Reverse Split Effective Date, every 15 shares of the issued and outstanding Class A common stock would automatically be combined into one issued and outstanding share of Class A common stock.</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income (loss) per share attributable to common shareholders due to their anti-dilutive effect (in thousands):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Foxconn Preferred Stock</w:t>
      </w:r>
    </w:p>
    <w:p>
      <w:pPr>
        <w:spacing w:after="0" w:line="205" w:lineRule="auto"/>
        <w:rPr>
          <w:sz w:val="20"/>
          <w:szCs w:val="20"/>
          <w:color w:val="auto"/>
        </w:rPr>
      </w:pPr>
      <w:r>
        <w:rPr>
          <w:rFonts w:ascii="Times New Roman" w:cs="Times New Roman" w:eastAsia="Times New Roman" w:hAnsi="Times New Roman"/>
          <w:sz w:val="18"/>
          <w:szCs w:val="18"/>
          <w:color w:val="auto"/>
        </w:rPr>
        <w:t>Foxconn Warrants</w:t>
      </w:r>
      <w:r>
        <w:rPr>
          <w:rFonts w:ascii="Times New Roman" w:cs="Times New Roman" w:eastAsia="Times New Roman" w:hAnsi="Times New Roman"/>
          <w:sz w:val="29"/>
          <w:szCs w:val="29"/>
          <w:color w:val="auto"/>
          <w:vertAlign w:val="superscript"/>
        </w:rPr>
        <w:t>1</w:t>
      </w:r>
    </w:p>
    <w:p>
      <w:pPr>
        <w:spacing w:after="0" w:line="194" w:lineRule="auto"/>
        <w:rPr>
          <w:sz w:val="20"/>
          <w:szCs w:val="20"/>
          <w:color w:val="auto"/>
        </w:rPr>
      </w:pPr>
      <w:r>
        <w:rPr>
          <w:rFonts w:ascii="Times New Roman" w:cs="Times New Roman" w:eastAsia="Times New Roman" w:hAnsi="Times New Roman"/>
          <w:sz w:val="18"/>
          <w:szCs w:val="18"/>
          <w:color w:val="auto"/>
        </w:rPr>
        <w:t>Private Placement Warrants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0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Foxconn Warrants expired on May 11,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Private Placement Warrants expired on October 23,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 BASED COMPENSATION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8"/>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8"/>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0"/>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-659130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-350520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75" w:lineRule="exact"/>
        <w:rPr>
          <w:sz w:val="20"/>
          <w:szCs w:val="20"/>
          <w:color w:val="auto"/>
        </w:rPr>
      </w:pPr>
    </w:p>
    <w:p>
      <w:pPr>
        <w:sectPr>
          <w:pgSz w:w="11900" w:h="16838" w:orient="portrait"/>
          <w:cols w:equalWidth="0" w:num="2">
            <w:col w:w="4800" w:space="400"/>
            <w:col w:w="6040"/>
          </w:cols>
          <w:pgMar w:left="320" w:top="684"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three months of an officer’s termination of employment or a director’s termination of board service with the Company will be forfeited.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emergence, the Company and each of its then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101,947 shares of Class A common stock to satisfy equity awards that vested during the pendency of the Chapter 11 Cases, and 102,889 shares of Class A common stock related to the accelerated vesting of the NEO awards. The accelerated vesting of the NEO awards resulted in the recognition of $2.6 million of stock compensation expense during the first quarter of 2024. The remaining $0.8 million of stock compensation expense during the first quarter of 2024 related to non-accelerated stock-based compensation for other employees prior to emergence.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Plan, on March 14, 2024, the Board of Directors approved, adopted and ratified an amendment to the Company’s 2020 Equity Incentive Plan, as amended to increase the number of shares of Class A common stock reserved for issuance thereunder to an aggregate of 3,000,000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the Compensation Committee of the Board of Directors of the Company adopted a modified director compensation plan for the five outside directors that constitute the Board of Directors. The director compensation plan includes a three-year grant under the Company’s 2020 Equity Compensation Plan of restricted stock units (“RSUs”) with a fair market value of $8.0 thousand per director per quarter ($96.0 thousand per director in the aggregate), based on the closing price per share of the Company’s common stock on May 13, 2024. The RSUs granted cover service on the Board through the first quarter of 2027 and vest quarterly through January 30, 2027, subject to acceleration on the occurrence of certain events.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26 and December 4, 2024, the Compensation Committee of the Board of Directors of the Company adopted the director compensation plan for 2025 which includes cash payments of $140.0 thousand per year ($210.0 thousand for the board of director chair (the “Chair)) and an annual RSU grant with a fair market value of $100.0 thousand ($150.0 thousand for Chair), vesting in substantially equal tranches on the first two anniversaries of the grant date. The grant date is the first trading day in January of each year (i.e., January 2, 2025). The fair value shall be determined based on the fair market value as of the grant date using the closing price on the grant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settlement of shares in respect to vested RSUs will occur as such shares vest, unless a director makes an irrevocable election to defer settlement (i.e., on the earliest of (x) five years after the grant date, (y) a change in control event, or (z) separation from service). Such election must be made in the calendar year prior to RSUs being granted. All Company directors elected this deferral in December 2024 related to RSUs granted to Board of Directors for 2025 service.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$0.1 million and $0.3 million of stock-based compensation expense, respectively, which was included in selling, general, and administrative expense on the condensed consolidated statements of operations and comprehensive income (loss). As of September 30, 2025, there was $0.7 million of unrecognized stock-based compensation related to non-vested awards that is expected to be recognized over a weighted average period of 1.29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Voluntary Chapter 11 Proceedings, Liabilities Subject to Compromise and Other Potential Claims</w:t>
      </w:r>
    </w:p>
    <w:p>
      <w:pPr>
        <w:spacing w:after="0" w:line="22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June 27, 2023, the Company and its subsidiaries commenced the Chapter 11 Cases in the Bankruptcy Court. See Note 1 - Description of Organization and Business Operations for additional information.</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Since filing the Chapter 11 petitions, until our emergence from bankruptcy on March 14, 2024, the Company operated as debtor-in-possession under the jurisdiction of the Bankruptcy Court and in accordance with the applicable provisions of the Bankruptcy Code.</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spacing w:after="0" w:line="180" w:lineRule="exact"/>
        <w:rPr>
          <w:sz w:val="20"/>
          <w:szCs w:val="20"/>
          <w:color w:val="auto"/>
        </w:rPr>
      </w:pPr>
    </w:p>
    <w:p>
      <w:pPr>
        <w:jc w:val="both"/>
        <w:ind w:firstLine="12"/>
        <w:spacing w:after="0" w:line="256" w:lineRule="auto"/>
        <w:rPr>
          <w:sz w:val="20"/>
          <w:szCs w:val="20"/>
          <w:color w:val="auto"/>
        </w:rPr>
      </w:pPr>
      <w:r>
        <w:rPr>
          <w:rFonts w:ascii="Times New Roman" w:cs="Times New Roman" w:eastAsia="Times New Roman" w:hAnsi="Times New Roman"/>
          <w:sz w:val="18"/>
          <w:szCs w:val="18"/>
          <w:color w:val="auto"/>
        </w:rPr>
        <w:t>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See Note 1 - Description of Organization and Business Operations - Description of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deadline for parties to file proofs of claim arising from the Company’s rejection of an executory contract or unexpired lease, and proofs of claim for administrative expense claims, was April 15,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rejection damages and administrative expense claims were filed, all of which have been settled or withdrawn.</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emergence from bankruptcy, the Company recorded $60.7 million in restricted cash as required by the Plan of Reorganization for bankruptcy and administrative claim settlements and pre-emergence bankruptcy professional fees. Post emergence the Company settled claims and pre-emergence bankruptcy professional fees totaling $38.0 million, resulting in restricted short-term investments balance of $22.7 million as of September 30, 2025. In accordance with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the Company recorded a liability totaling $29.9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totaling $24.7 million, resulting in a liabilities subject to compromise balance of $5.2 million as of September 30, 2025. This balance reflects both undisputed and partially disputed amounts the Company may owe.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September 30, 2025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Matters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 investigations. The primary policy has face limits of $5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The New York State court granted summary judgment in favor of the primary layer insurance company and denied the Company’s motion for summary judgment. The Company has appealed the decision to the intermediate appellate court and the appeal is pending. No damages are sought against the Company. The motion to dismiss was granted by the Bankruptcy Court. The litigation filed by the primary layer insurance company in New York is moving forward.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former directors and officers have also stated that they intend to pursue coverage for their defense costs related to these lawsuits, and the Bankruptcy Court has ordered that they coordinate with the Company on these efforts in order to maximize the amount of coverage potentially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Securities Class 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settled the Ohio Securities Class Action, with the lead plaintiff receiving (i) $3 million in cash and (ii) up to an additional $7 million, consisting of</w:t>
      </w:r>
    </w:p>
    <w:p>
      <w:pPr>
        <w:spacing w:after="0" w:line="27" w:lineRule="exact"/>
        <w:rPr>
          <w:sz w:val="20"/>
          <w:szCs w:val="20"/>
          <w:color w:val="auto"/>
        </w:rPr>
      </w:pPr>
    </w:p>
    <w:p>
      <w:pPr>
        <w:jc w:val="both"/>
        <w:ind w:firstLine="8"/>
        <w:spacing w:after="0" w:line="255"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all net litigation proceeds received by the Company on Retained Causes of Action (if any); and (b) the lesser of (x) 16% of any distribution made by the Company on account of Foxconn’s preferred stock liquidation preference, and (y) $5 million, on behalf of the Ohio Settlement Class (as defined in the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On March 12, 2025, the pending District of Delaware action was dismissed pursuant to a notice of voluntary dismissal.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DiamondPeak Delaware Class Action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Two putative class action lawsuits were filed against former DiamondPeak directors and DiamondPeak Sponsor LLC on December 8 and 13, 2021 in the Delaware Court of Chancery (</w:t>
      </w:r>
      <w:r>
        <w:rPr>
          <w:rFonts w:ascii="Times New Roman" w:cs="Times New Roman" w:eastAsia="Times New Roman" w:hAnsi="Times New Roman"/>
          <w:sz w:val="18"/>
          <w:szCs w:val="18"/>
          <w:i w:val="1"/>
          <w:iCs w:val="1"/>
          <w:color w:val="auto"/>
        </w:rPr>
        <w:t>Hebert v. Hamamoto, et al.</w:t>
      </w:r>
      <w:r>
        <w:rPr>
          <w:rFonts w:ascii="Times New Roman" w:cs="Times New Roman" w:eastAsia="Times New Roman" w:hAnsi="Times New Roman"/>
          <w:sz w:val="18"/>
          <w:szCs w:val="18"/>
          <w:color w:val="auto"/>
        </w:rPr>
        <w:t xml:space="preserve"> (C.A. No. 2021-1066); and </w:t>
      </w:r>
      <w:r>
        <w:rPr>
          <w:rFonts w:ascii="Times New Roman" w:cs="Times New Roman" w:eastAsia="Times New Roman" w:hAnsi="Times New Roman"/>
          <w:sz w:val="18"/>
          <w:szCs w:val="18"/>
          <w:i w:val="1"/>
          <w:iCs w:val="1"/>
          <w:color w:val="auto"/>
        </w:rPr>
        <w:t>Amin v Hamamoto, et al.</w:t>
      </w:r>
      <w:r>
        <w:rPr>
          <w:rFonts w:ascii="Times New Roman" w:cs="Times New Roman" w:eastAsia="Times New Roman" w:hAnsi="Times New Roman"/>
          <w:sz w:val="18"/>
          <w:szCs w:val="18"/>
          <w:color w:val="auto"/>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Times New Roman" w:cs="Times New Roman" w:eastAsia="Times New Roman" w:hAnsi="Times New Roman"/>
          <w:sz w:val="18"/>
          <w:szCs w:val="18"/>
          <w:i w:val="1"/>
          <w:iCs w:val="1"/>
          <w:color w:val="auto"/>
        </w:rPr>
        <w:t>Lordstown Motors Corp. v. Amin</w:t>
      </w:r>
      <w:r>
        <w:rPr>
          <w:rFonts w:ascii="Times New Roman" w:cs="Times New Roman" w:eastAsia="Times New Roman" w:hAnsi="Times New Roman"/>
          <w:sz w:val="18"/>
          <w:szCs w:val="18"/>
          <w:color w:val="auto"/>
        </w:rPr>
        <w:t>, Adv. Proc. No. 23-50428 (Bankr. D. Del.) and (ii) a motion 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8, 2024, the Company and the former DiamondPeak directors entered into a settlement agreement pursuant to which, among other things, such former directors’ claims against the Company were settled.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Claim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received two subpoenas from the SEC for the production of documents and information, including relating to the merger between DiamondPeak and Lordstown Motors Corp.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7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Foxconn Transactions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4 - Series A Convertible Preferred Stock for additional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was appealed by Foxconn in the United States District Court for the District of Delaware. The Bankruptcy Court has stayed litigation of the claims that it ruled were not subject to arbitration pending that appeal. The Bankruptcy Court also allowed that the two dismissed claims should proceed to arbitration. That arbitration hearing is being administered by the International Chamber of Commerce and is scheduled to proceed to a final hearing in October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District Court proceedings, the Company and Foxconn engaged in a mediation effort. On January 15, 2025, the Company informed the District Court that the mediation did not result in a resolution.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19, 2025, the District Court affirmed the Bankruptcy Court’s order. Foxconn has appealed that affirmance to the Third Circuit.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vigorously pursuing the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Post-Petition Securities Action</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NHTSA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has repurchased all but two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Investment Agreement, Foxconn made additional equity investments in the Company, whereby it became a related party under the Company’s Related Party Transaction Policy as a 5% or more beneficial owner of the Company’s Class A common stock. For the three and nine months ended September 30, 2025 and 2024, the Company made no payments, and had no amounts payable, to Foxconn.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William Gallagher, who served as the Company’s Chief Executive Officer from the Effective Date until September 26, 2025, is a principal of M3 Advisory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While serving as the Company’s Chief Executive Officer, Mr. Gallagher remained employed by M3 Partners and provided his services pursuant to the Engagement Agreement. In connection with the appointment of Alexander Matina as the Company’s Chief Executive Officer on September 26, 2025, the Company entered into an amended and restated engagement letter (the “Amended Engagement Agreement”) with M3 Partners to reflect that William Gallagher would no longer be serving in the role of Chief Executive Officer of the Company. The Amended M3 Engagement Letter provides that M3 Partners will continue to provide support to the Company, including a litigation trustee, in evaluating and managing its operations, assets and liabilities, and such other services as M3 Partners and the Company otherwise agree in writing.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Amended Engagement Agreement, M3 Partners’ fees are calculated on an hourly basis. The Company incurred approximately $0.2 million and $0.7 million in fees payable to M3 Partners under the Engagement Agreement and Amended Engagement Agreement for the three and nine months ended September 30, 2025, respectively, which is included in selling, general, and administrative expenses within the condensed consolidated statements of operations and comprehensive loss. For the three and nine months ended September 30, 2024, the Company incurred approximately $0.4 million and $1.0 million in fees payable to M3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&amp;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the “Risk Factors” section under Part I - Item 1A in our Annual Report on Form 10-K and Part II - Item 1A below for a discussion of these risks and uncertainties, including without limitation, with respect to the Chapter 11 Cases, our emergence from bankruptcy and our liquidity, capital resources and financial condition.</w:t>
      </w:r>
    </w:p>
    <w:p>
      <w:pPr>
        <w:spacing w:after="0" w:line="18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27, 2023, Lordstown Motors Corp. and its subsidiaries commenced voluntary proceedings under chapter 11 (the “Chapter 11 Cases”) of the U.S. Bankruptcy Code in the U.S. Bankruptcy Court for the District of Delaware (the “Bankruptcy Court”). On September 1, 2023, we filed with the Bankruptcy Court a plan of reorganization and related disclosure statement (as amended from time to time, the “Proposed Plan”). On November 1, 2023, the Bankruptcy Court entered the Disclosure Statement Order and, thereafter, we solicited votes from their creditors and shareholders for approval of the Proposed Plan. On January 31, 2024, we filed the as-approved Proposed Plan with the Bankruptcy Court.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spacing w:after="0" w:line="18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The deadline to assert rejection damage claims and administrative expense claims has passed.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emergence: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an opportunity to create value, including through use of the NOLs.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and the Company’s charter and by-laws. Some former employees continue to provide services to the Company as consultants. Our Chief Executive Officer, who is the sole executive officer, was elected by the new Board of Directors in accordance with the Plan, as of the date we emerged from bankruptcy.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operations during the nine months ended September 30, 2025 have consisted of actions and related expenditures associated with completing the Chapter 11 Cases and emerging from bankruptcy, resolving substantial litigation, claims reconciliation, financial reporting and regulatory compliance. Our assets consist of cash, cash equivalents, short-term investments, and restricted short-term investments. Additional potential assets, such as the Foxconn Litigation claims, claims the Company may have against other parties, and NOLs, are not reflected in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our emergence from bankruptcy on March 14, 2024, our results for the nine months ended September 30, 2025, reflect the accounting assumptions and treatment caused by the Chapter 11 Cases and the Plan and may not be representative of our operations and results going forward. See the risks and factors described in the “Risk Factors” section of our Annual Report on Form 10-K for the year ended December 31, 2024 and Part II - Item 1A below for further discussion of the risks associated with our emergence from bankruptcy, our liquidity, capital resources and financial condition, and the use of estimates and resulting uncertainty in establishing our presented financial results, among other risks.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2025 and 2024</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6"/>
          </w:tcPr>
          <w:p>
            <w:pPr>
              <w:jc w:val="right"/>
              <w:ind w:right="1581"/>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6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6"/>
          </w:tcPr>
          <w:p>
            <w:pPr>
              <w:jc w:val="right"/>
              <w:ind w:right="1661"/>
              <w:spacing w:after="0"/>
              <w:rPr>
                <w:sz w:val="20"/>
                <w:szCs w:val="20"/>
                <w:color w:val="auto"/>
              </w:rPr>
            </w:pPr>
            <w:r>
              <w:rPr>
                <w:rFonts w:ascii="Times New Roman" w:cs="Times New Roman" w:eastAsia="Times New Roman" w:hAnsi="Times New Roman"/>
                <w:sz w:val="18"/>
                <w:szCs w:val="18"/>
                <w:color w:val="auto"/>
              </w:rPr>
              <w:t>(Unaudited)</w:t>
            </w:r>
          </w:p>
        </w:tc>
      </w:tr>
      <w:tr>
        <w:trPr>
          <w:trHeight w:val="187"/>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2"/>
          </w:tcPr>
          <w:p>
            <w:pPr>
              <w:jc w:val="right"/>
              <w:ind w:right="281"/>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6"/>
                <w:szCs w:val="16"/>
                <w:color w:val="auto"/>
              </w:rPr>
            </w:pPr>
          </w:p>
        </w:tc>
      </w:tr>
      <w:tr>
        <w:trPr>
          <w:trHeight w:val="238"/>
        </w:trPr>
        <w:tc>
          <w:tcPr>
            <w:tcW w:w="6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2,308</w:t>
            </w:r>
          </w:p>
        </w:tc>
      </w:tr>
      <w:tr>
        <w:trPr>
          <w:trHeight w:val="229"/>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10"/>
        </w:trPr>
        <w:tc>
          <w:tcPr>
            <w:tcW w:w="6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(income) expense, net</w:t>
            </w:r>
          </w:p>
        </w:tc>
        <w:tc>
          <w:tcPr>
            <w:tcW w:w="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912</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totaled $1.2 million for the three months ended September 30, 2025 compared to $2.3 million for the three months ended September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for the three months ended September 30, 2025 and 2024 consisted entirely of personnel and professional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and litigation benefit,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settlement and litigation benefit, net totaling $1.6 million represents adjustments to accrued liabilities subject to compromise from claims as a result of the final settlement of claims for the three months ended September 30, 2025. For the three months ended September 30, 2024, the Company recorded $1.8 million of legal settlement and litigation benefit, net as a result of settling claims.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2025 and 2024</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6"/>
          </w:tcPr>
          <w:p>
            <w:pPr>
              <w:jc w:val="right"/>
              <w:ind w:right="1581"/>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6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6"/>
          </w:tcPr>
          <w:p>
            <w:pPr>
              <w:jc w:val="right"/>
              <w:ind w:right="1661"/>
              <w:spacing w:after="0"/>
              <w:rPr>
                <w:sz w:val="20"/>
                <w:szCs w:val="20"/>
                <w:color w:val="auto"/>
              </w:rPr>
            </w:pPr>
            <w:r>
              <w:rPr>
                <w:rFonts w:ascii="Times New Roman" w:cs="Times New Roman" w:eastAsia="Times New Roman" w:hAnsi="Times New Roman"/>
                <w:sz w:val="18"/>
                <w:szCs w:val="18"/>
                <w:color w:val="auto"/>
              </w:rPr>
              <w:t>(Unaudited)</w:t>
            </w:r>
          </w:p>
        </w:tc>
      </w:tr>
      <w:tr>
        <w:trPr>
          <w:trHeight w:val="187"/>
        </w:trPr>
        <w:tc>
          <w:tcPr>
            <w:tcW w:w="6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2"/>
          </w:tcPr>
          <w:p>
            <w:pPr>
              <w:jc w:val="right"/>
              <w:ind w:right="341"/>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6"/>
                <w:szCs w:val="16"/>
                <w:color w:val="auto"/>
              </w:rPr>
            </w:pPr>
          </w:p>
        </w:tc>
      </w:tr>
      <w:tr>
        <w:trPr>
          <w:trHeight w:val="238"/>
        </w:trPr>
        <w:tc>
          <w:tcPr>
            <w:tcW w:w="6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9,033</w:t>
            </w: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items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4,785</w:t>
            </w:r>
          </w:p>
        </w:tc>
      </w:tr>
      <w:tr>
        <w:trPr>
          <w:trHeight w:val="209"/>
        </w:trPr>
        <w:tc>
          <w:tcPr>
            <w:tcW w:w="6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 net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3,030</w:t>
            </w:r>
          </w:p>
        </w:tc>
      </w:tr>
      <w:tr>
        <w:trPr>
          <w:trHeight w:val="210"/>
        </w:trPr>
        <w:tc>
          <w:tcPr>
            <w:tcW w:w="6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2,005</w:t>
            </w:r>
          </w:p>
        </w:tc>
      </w:tr>
      <w:tr>
        <w:trPr>
          <w:trHeight w:val="223"/>
        </w:trPr>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totaled $4.8 million for the nine months ended September 30, 2025 compared to $9.0 million for the 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for the nine months ended September 30, 2025 consisted entirely of personnel and professional fees.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for the nine months ended September 30, 2024 consisted primarily of $6.1 million in personnel and professional fees, including $3.4 million in accelerated stock compensation expense as well as insurance premium amortization of $2.9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and litigation benefit, net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Legal settlement and litigation benefit, net totaling $3.1 million represents adjustments to accrued liabilities subject to compromise from claims as a result of the final settlement of claims for the nine months ended September 30, 2025. For the nine months ended September 30, 2024, the Company recorded $4.3 million of legal settlement and litigation benefit, net as a result of setting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Items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Reorganization items represent the expenses directly and incrementally resulting from the Chapter 11 Cases filed on June 27, 2023. For the nine months ended September 30, 2025, no reorganization items were recorded.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reorganization items consisted of $3.6 million in legal fees and $1.1 million in consulting fees. The reorganization items included costs incurred by the Company as well as those incurred by the official Unsecured Creditors Committee and official Equity Committee, for which the Company was responsible.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cash and cash equivalents of approximately $18.2 million, short-term investments of approximately $6.9 million excluding restricted short-term investments of approximately $22.7 million, an accumulated deficit of $1.2 billion at September 30, 2025, and a net income of $0.5 million for the nine months ended September 30,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and ability to continue as a going concern is dependent upon, among other things: (i) the resolution of significant contingent and other claims, liabilities (see Note 7 - Commitments and Contingencies) and (ii) the outcome of our efforts to realize value, if any, from the Company’s retained causes of action, including the Foxconn Litigation, and other remaining assets.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professional fees and other costs in connection with preparation for and prosecution of the Chapter 11 Cases and expect to continue to incur significant professional fees and costs. In addition, we are subject to significant contingent unliquidated liabilities, the full scope of which is uncertain at this time (see Note 7 - Commitments and Contingencies). Furthermore, under the Plan, we are conducting a process to reconcile the claims asserted that has resulted in approximately $22.7 million of the Company’s short-term investments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September 30, 2025, $22.1 million was included in cash and short-term investments, which represents the initial Claims Reserve of $45 million, less $22.9 million which was released from the Claims Reserve related to the claims reconciliation process including $15.8 million of payments to creditors in connection with the Plan and $7.1 million released from the Claims Reserve as a result of claim settlements that were less than the Claims Reserve.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spacing w:after="0" w:line="18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assets consist of cash and cash equivalents, short-term investments, restricted short-term investments, the Foxconn Litigation claims, the claims the Company may have against other parties, and NOLs.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Risk Factors under Part I - Item 1A in our Annual Report on Form 10-K and Part II - Item 1A below for further discussion of the risks associated with our limited capital resources and loss exposures, among other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cash flow data for the period indicated:</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decreased by $24.3 million for the nine months ended September 30, 2025 compared to the same period in 2024. The Company’s net income, as adjusted to reconcile cash used by operating activities was $0.5 million for the nine months ended September 30, 2025, compared to a net loss of $6.7 million for same period in 2024. The $5.6 million of cash used in operating activities for the nine months ended September 30, 2025 was comprised of the $0.5 million net income for the period, as adjusted to reconcile cash used by operating activities for the nine months ended September 30, 2025 which included $0.9 million of realized gain on debt securities available for sale, $0.4 million of accretion of investment income, and $5.1 million of changes in operating assets and liabilities, partially offset by $0.3 million of stock-based compensation. The $30.0 million of cash used in operating activities for the nine months ended September 30, 2024 was comprised of the $6.7 million net loss for the period, as adjusted to reconcile cash used by operating activities for the nine months ended September 30, 2024, which included $26.8 million of changes in operating assets and liabilities, partially offset by $3.5 million of stock-based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$0.8 million for the nine months ended September 30, 2025, which included $30.0 million related to maturities of short-term investments, partially offset by $29.2 million for purchases of short-term investments. The Company had no investing activities for the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the Company had no financing activities. For the nine months ended September 30, 2024, financing activities were limited to tax withholding payments related to net-settled restricted stock compensation associated with the Company’s 2020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 obligations, assets or liabilities, which would be considered off-balance sheet arrangements as of September 30, 2025.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Subject to Compromise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principal financial officer, carried out an evaluation of the effectiveness of the design and operation of our disclosure controls and procedures as of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of the Exchange Act) during the quarter ended September 30, 2025 that have materially affected, or are reasonably likely to materially affect, our internal control over financial reporting.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principal financial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legal proceedings, see Note 7 - Commitments and Contingencies of the notes to the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set forth in the section captured “Risk Factors” in our Annual Report on Form 10-K for the year ended December 31, 2024, filed with the SEC on March 28, 2025, before making an investment decision. During the period covered by this Quarterly Report on Form 10-Q, there have been no material changes to the risk factors previously discussed in the Company’s SEC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2025, none of our directors or officers adopted or terminated any “Rule 10b5-1 trading arrangement” or “non-Rule 10b5-1 trading arrangement,” (as each term is defined in Item 408(c)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top w:val="single" w:sz="8" w:color="auto"/>
            </w:tcBorders>
            <w:gridSpan w:val="9"/>
          </w:tcPr>
          <w:p>
            <w:pPr>
              <w:spacing w:after="0" w:line="169"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Third Amended and Restated Certificate of Incorporation (incorporated by reference to Exhibit 3.1 to the Company’s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8-K filed with the SEC on March 15, 2024).</w:t>
              </w:r>
            </w:hyperlink>
          </w:p>
        </w:tc>
        <w:tc>
          <w:tcPr>
            <w:tcW w:w="65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Second Amended and Restated Bylaws (incorporated by reference to Exhibit 3.2 to the Company’s Current Report on Form 8-K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the SEC on March 15, 2024).</w:t>
              </w:r>
            </w:hyperlink>
          </w:p>
        </w:tc>
        <w:tc>
          <w:tcPr>
            <w:tcW w:w="802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Certificate of Designation, Preferences and Rights of Series A Convertible Preferred Stock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Current Report on Form 8-K, filed with the SEC on November 22, 2022)</w:t>
              </w:r>
            </w:hyperlink>
          </w:p>
        </w:tc>
        <w:tc>
          <w:tcPr>
            <w:tcW w:w="48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Amended and Restated Engagement Letter, dated as of September 26, 2025, by and between the Company and M3 Advisory Partners, LP</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(incorporated by reference to Exhibit 10.1 to the Company’s Current Report on Form 8-K filed with the SEC on September 26, 2025)</w:t>
              </w:r>
            </w:hyperlink>
          </w:p>
        </w:tc>
        <w:tc>
          <w:tcPr>
            <w:tcW w:w="52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Employment Agreement, dated as of September 26, 2025, by and between the Company and Alexander Matina (incorporated by reference</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to Exhibit 10.2 to the Company’s Current Report on Form 8-K filed with the SEC on September 26, 2025)</w:t>
              </w:r>
            </w:hyperlink>
          </w:p>
        </w:tc>
        <w:tc>
          <w:tcPr>
            <w:tcW w:w="248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Rule 13a-14(a) /15d-14(a), as adopted pursuant to</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670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720" w:type="dxa"/>
            <w:vAlign w:val="bottom"/>
            <w:gridSpan w:val="7"/>
          </w:tcPr>
          <w:p>
            <w:pPr>
              <w:spacing w:after="0"/>
              <w:rPr>
                <w:sz w:val="17"/>
                <w:szCs w:val="17"/>
                <w:color w:val="auto"/>
              </w:rPr>
            </w:pPr>
          </w:p>
        </w:tc>
      </w:tr>
      <w:tr>
        <w:trPr>
          <w:trHeight w:val="218"/>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bl>
    <w:p>
      <w:pPr>
        <w:spacing w:after="0" w:line="19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22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7"/>
          <w:szCs w:val="17"/>
          <w:i w:val="1"/>
          <w:iCs w:val="1"/>
          <w:color w:val="auto"/>
        </w:rPr>
        <w:t>/s/ Alexander Matina</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Secretary, and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Matina,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Ride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Alexander Matina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Nu Ride Inc. (the “Company”) for the period ended September 30, 2025, as filed with the Securities and Exchange Commission on the date hereof (the “Report”), I, Alexander Matina, Chief Executive Officer, President, Secretary,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20" w:firstLine="8"/>
        <w:spacing w:after="0" w:line="499" w:lineRule="auto"/>
        <w:tabs>
          <w:tab w:leader="none" w:pos="1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November 13, 2025</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Alexander Matina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44" Type="http://schemas.openxmlformats.org/officeDocument/2006/relationships/hyperlink" Target="https://www.sec.gov/Archives/edgar/data/1759546/000110465924034627/tm248893d1_ex3-1.htm" TargetMode="External"/><Relationship Id="rId45" Type="http://schemas.openxmlformats.org/officeDocument/2006/relationships/hyperlink" Target="https://www.sec.gov/Archives/edgar/data/1759546/000110465924034627/tm248893d1_ex3-2.htm" TargetMode="External"/><Relationship Id="rId46" Type="http://schemas.openxmlformats.org/officeDocument/2006/relationships/hyperlink" Target="https://www.sec.gov/Archives/edgar/data/1759546/000110465922121019/tm2231108d1_ex3-1.htm" TargetMode="External"/><Relationship Id="rId47" Type="http://schemas.openxmlformats.org/officeDocument/2006/relationships/hyperlink" Target="https://www.sec.gov/Archives/edgar/data/1759546/000149315225015766/ex10-1.htm" TargetMode="External"/><Relationship Id="rId48" Type="http://schemas.openxmlformats.org/officeDocument/2006/relationships/hyperlink" Target="https://www.sec.gov/Archives/edgar/data/1759546/000149315225015766/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2025-11-13T05:31:18Z</dcterms:created>
  <dcterms:modified xsi:type="dcterms:W3CDTF">2025-11-13T05:31:18Z</dcterms:modified>
</cp:coreProperties>
</file>