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165100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00" w:right="79" w:hanging="250"/>
        <w:spacing w:after="0" w:line="247" w:lineRule="auto"/>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ind w:left="3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2021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00" w:right="79" w:hanging="250"/>
        <w:spacing w:after="0" w:line="255" w:lineRule="auto"/>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9019"/>
          </w:cols>
          <w:pgMar w:left="1440" w:top="665" w:right="1440" w:bottom="1440" w:gutter="0" w:footer="0" w:header="0"/>
        </w:sectPr>
      </w:pPr>
    </w:p>
    <w:p>
      <w:pPr>
        <w:ind w:left="300"/>
        <w:spacing w:after="0" w:line="236" w:lineRule="auto"/>
        <w:tabs>
          <w:tab w:leader="none" w:pos="3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9019"/>
          </w:cols>
          <w:pgMar w:left="1440" w:top="665" w:right="1440" w:bottom="1440" w:gutter="0" w:footer="0" w:header="0"/>
          <w:type w:val="continuous"/>
        </w:sectPr>
      </w:pPr>
    </w:p>
    <w:p>
      <w:pPr>
        <w:spacing w:after="0" w:line="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019"/>
          </w:cols>
          <w:pgMar w:left="1440" w:top="665" w:right="1440" w:bottom="1440" w:gutter="0" w:footer="0" w:header="0"/>
          <w:type w:val="continuous"/>
        </w:sectPr>
      </w:pP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665" w:right="1440" w:bottom="1440" w:gutter="0" w:footer="0" w:header="0"/>
          <w:type w:val="continuous"/>
        </w:sectPr>
      </w:pPr>
    </w:p>
    <w:p>
      <w:pPr>
        <w:spacing w:after="0" w:line="10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(State or Other Jurisdiction of</w:t>
      </w:r>
    </w:p>
    <w:p>
      <w:pPr>
        <w:ind w:left="1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No.)</w:t>
      </w:r>
    </w:p>
    <w:p>
      <w:pPr>
        <w:spacing w:after="0" w:line="3" w:lineRule="exact"/>
        <w:rPr>
          <w:sz w:val="24"/>
          <w:szCs w:val="24"/>
          <w:color w:val="auto"/>
        </w:rPr>
      </w:pPr>
    </w:p>
    <w:p>
      <w:pPr>
        <w:sectPr>
          <w:pgSz w:w="11900" w:h="16838" w:orient="portrait"/>
          <w:cols w:equalWidth="0" w:num="2">
            <w:col w:w="6100" w:space="720"/>
            <w:col w:w="219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2300 Hallock Young Road</w:t>
      </w:r>
    </w:p>
    <w:p>
      <w:pPr>
        <w:jc w:val="center"/>
        <w:ind w:right="1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019"/>
          </w:cols>
          <w:pgMar w:left="1440" w:top="665" w:right="1440" w:bottom="1440" w:gutter="0" w:footer="0" w:header="0"/>
          <w:type w:val="continuous"/>
        </w:sectPr>
      </w:pP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1"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98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00" w:type="dxa"/>
            <w:vAlign w:val="bottom"/>
            <w:vMerge w:val="restart"/>
          </w:tcPr>
          <w:p>
            <w:pPr>
              <w:spacing w:after="0"/>
              <w:rPr>
                <w:sz w:val="18"/>
                <w:szCs w:val="18"/>
                <w:color w:val="auto"/>
              </w:rPr>
            </w:pPr>
          </w:p>
        </w:tc>
        <w:tc>
          <w:tcPr>
            <w:tcW w:w="332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center"/>
              <w:ind w:right="100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gridSpan w:val="3"/>
          </w:tcPr>
          <w:p>
            <w:pPr>
              <w:jc w:val="center"/>
              <w:ind w:right="360"/>
              <w:spacing w:after="0" w:line="187" w:lineRule="exact"/>
              <w:rPr>
                <w:sz w:val="20"/>
                <w:szCs w:val="20"/>
                <w:color w:val="auto"/>
              </w:rPr>
            </w:pPr>
            <w:r>
              <w:rPr>
                <w:rFonts w:ascii="Arial" w:cs="Arial" w:eastAsia="Arial" w:hAnsi="Arial"/>
                <w:sz w:val="18"/>
                <w:szCs w:val="18"/>
                <w:b w:val="1"/>
                <w:bCs w:val="1"/>
                <w:color w:val="auto"/>
                <w:w w:val="99"/>
              </w:rPr>
              <w:t>Class A Common Stock, $0.0001</w:t>
            </w:r>
          </w:p>
        </w:tc>
        <w:tc>
          <w:tcPr>
            <w:tcW w:w="380" w:type="dxa"/>
            <w:vAlign w:val="bottom"/>
          </w:tcPr>
          <w:p>
            <w:pPr>
              <w:spacing w:after="0"/>
              <w:rPr>
                <w:sz w:val="16"/>
                <w:szCs w:val="16"/>
                <w:color w:val="auto"/>
              </w:rPr>
            </w:pPr>
          </w:p>
        </w:tc>
        <w:tc>
          <w:tcPr>
            <w:tcW w:w="1740" w:type="dxa"/>
            <w:vAlign w:val="bottom"/>
            <w:gridSpan w:val="2"/>
          </w:tcPr>
          <w:p>
            <w:pPr>
              <w:jc w:val="center"/>
              <w:ind w:right="400"/>
              <w:spacing w:after="0" w:line="187" w:lineRule="exact"/>
              <w:rPr>
                <w:sz w:val="20"/>
                <w:szCs w:val="20"/>
                <w:color w:val="auto"/>
              </w:rPr>
            </w:pPr>
            <w:r>
              <w:rPr>
                <w:rFonts w:ascii="Arial" w:cs="Arial" w:eastAsia="Arial" w:hAnsi="Arial"/>
                <w:sz w:val="18"/>
                <w:szCs w:val="18"/>
                <w:b w:val="1"/>
                <w:bCs w:val="1"/>
                <w:color w:val="auto"/>
                <w:w w:val="97"/>
              </w:rPr>
              <w:t>RIDE</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p>
        </w:tc>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 Value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NASDAQ</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60" w:right="199"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479"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339"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218"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highlight w:val="black"/>
        </w:rPr>
        <w:t>☒</w:t>
      </w:r>
    </w:p>
    <w:p>
      <w:pPr>
        <w:spacing w:after="0" w:line="65" w:lineRule="exact"/>
        <w:rPr>
          <w:sz w:val="24"/>
          <w:szCs w:val="24"/>
          <w:color w:val="auto"/>
        </w:rPr>
      </w:pPr>
    </w:p>
    <w:p>
      <w:pPr>
        <w:sectPr>
          <w:pgSz w:w="11900" w:h="16838" w:orient="portrait"/>
          <w:cols w:equalWidth="0" w:num="3">
            <w:col w:w="3060" w:space="720"/>
            <w:col w:w="2180" w:space="720"/>
            <w:col w:w="2339"/>
          </w:cols>
          <w:pgMar w:left="1440" w:top="665" w:right="1440" w:bottom="1440" w:gutter="0" w:footer="0" w:header="0"/>
          <w:type w:val="continuous"/>
        </w:sectPr>
      </w:pPr>
    </w:p>
    <w:p>
      <w:pPr>
        <w:ind w:left="13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200" w:lineRule="exact"/>
        <w:rPr>
          <w:sz w:val="24"/>
          <w:szCs w:val="24"/>
          <w:color w:val="auto"/>
        </w:rPr>
      </w:pPr>
    </w:p>
    <w:p>
      <w:pPr>
        <w:sectPr>
          <w:pgSz w:w="11900" w:h="16838" w:orient="portrait"/>
          <w:cols w:equalWidth="0" w:num="2">
            <w:col w:w="5140" w:space="720"/>
            <w:col w:w="3159"/>
          </w:cols>
          <w:pgMar w:left="1440" w:top="665" w:right="1440" w:bottom="1440" w:gutter="0" w:footer="0" w:header="0"/>
          <w:type w:val="continuous"/>
        </w:sectPr>
      </w:pPr>
    </w:p>
    <w:p>
      <w:pPr>
        <w:spacing w:after="0" w:line="4" w:lineRule="exact"/>
        <w:rPr>
          <w:sz w:val="24"/>
          <w:szCs w:val="24"/>
          <w:color w:val="auto"/>
        </w:rPr>
      </w:pPr>
    </w:p>
    <w:p>
      <w:pPr>
        <w:ind w:left="60" w:right="519"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380" w:right="619"/>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9, 2021, 176,977,772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676910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67945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00" w:type="dxa"/>
            <w:vAlign w:val="bottom"/>
            <w:gridSpan w:val="13"/>
          </w:tcPr>
          <w:p>
            <w:pPr>
              <w:jc w:val="center"/>
              <w:ind w:right="2220"/>
              <w:spacing w:after="0"/>
              <w:rPr>
                <w:sz w:val="20"/>
                <w:szCs w:val="20"/>
                <w:color w:val="auto"/>
              </w:rPr>
            </w:pPr>
            <w:r>
              <w:rPr>
                <w:rFonts w:ascii="Arial" w:cs="Arial" w:eastAsia="Arial" w:hAnsi="Arial"/>
                <w:sz w:val="18"/>
                <w:szCs w:val="18"/>
                <w:b w:val="1"/>
                <w:bCs w:val="1"/>
                <w:color w:val="auto"/>
                <w:w w:val="98"/>
              </w:rPr>
              <w:t>LORDSTOWN MOTORS CORP.</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5"/>
        </w:trPr>
        <w:tc>
          <w:tcPr>
            <w:tcW w:w="8000" w:type="dxa"/>
            <w:vAlign w:val="bottom"/>
            <w:gridSpan w:val="2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9"/>
        </w:trPr>
        <w:tc>
          <w:tcPr>
            <w:tcW w:w="8000" w:type="dxa"/>
            <w:vAlign w:val="bottom"/>
            <w:gridSpan w:val="24"/>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8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2021 and December 31,</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2020 (Restated)</w:t>
              </w:r>
            </w:hyperlink>
          </w:p>
        </w:tc>
        <w:tc>
          <w:tcPr>
            <w:tcW w:w="360" w:type="dxa"/>
            <w:vAlign w:val="bottom"/>
            <w:gridSpan w:val="2"/>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and six months</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ended June 30, 2021 and 2020</w:t>
              </w:r>
            </w:hyperlink>
          </w:p>
        </w:tc>
        <w:tc>
          <w:tcPr>
            <w:tcW w:w="460" w:type="dxa"/>
            <w:vAlign w:val="bottom"/>
            <w:gridSpan w:val="3"/>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Equity/(Deficit) for the three</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5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and six months ended June 30, 2021 and 2020</w:t>
              </w:r>
            </w:hyperlink>
          </w:p>
        </w:tc>
        <w:tc>
          <w:tcPr>
            <w:tcW w:w="3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June 30, 2021 and 2020</w:t>
              </w:r>
            </w:hyperlink>
          </w:p>
        </w:tc>
        <w:tc>
          <w:tcPr>
            <w:tcW w:w="4240" w:type="dxa"/>
            <w:vAlign w:val="bottom"/>
            <w:tcBorders>
              <w:top w:val="single" w:sz="8" w:color="0000EE"/>
            </w:tcBorders>
            <w:gridSpan w:val="9"/>
          </w:tcPr>
          <w:p>
            <w:pPr>
              <w:spacing w:after="0"/>
              <w:rPr>
                <w:sz w:val="15"/>
                <w:szCs w:val="15"/>
                <w:color w:val="auto"/>
              </w:rPr>
            </w:pPr>
          </w:p>
        </w:tc>
        <w:tc>
          <w:tcPr>
            <w:tcW w:w="660" w:type="dxa"/>
            <w:vAlign w:val="bottom"/>
            <w:gridSpan w:val="4"/>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684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Operations</w:t>
              </w:r>
            </w:hyperlink>
          </w:p>
        </w:tc>
        <w:tc>
          <w:tcPr>
            <w:tcW w:w="5260" w:type="dxa"/>
            <w:vAlign w:val="bottom"/>
            <w:tcBorders>
              <w:top w:val="single" w:sz="8" w:color="0000EE"/>
            </w:tcBorders>
            <w:gridSpan w:val="14"/>
          </w:tcPr>
          <w:p>
            <w:pPr>
              <w:spacing w:after="0"/>
              <w:rPr>
                <w:sz w:val="15"/>
                <w:szCs w:val="15"/>
                <w:color w:val="auto"/>
              </w:rPr>
            </w:pPr>
          </w:p>
        </w:tc>
        <w:tc>
          <w:tcPr>
            <w:tcW w:w="700" w:type="dxa"/>
            <w:vAlign w:val="bottom"/>
            <w:gridSpan w:val="5"/>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84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84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00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684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684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500" w:type="dxa"/>
            <w:vAlign w:val="bottom"/>
          </w:tcPr>
          <w:p>
            <w:pPr>
              <w:spacing w:after="0"/>
              <w:rPr>
                <w:sz w:val="24"/>
                <w:szCs w:val="24"/>
                <w:color w:val="auto"/>
              </w:rPr>
            </w:pPr>
          </w:p>
        </w:tc>
        <w:tc>
          <w:tcPr>
            <w:tcW w:w="684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684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211" w:lineRule="exact"/>
        <w:rPr>
          <w:sz w:val="20"/>
          <w:szCs w:val="20"/>
          <w:color w:val="auto"/>
        </w:rPr>
      </w:pPr>
    </w:p>
    <w:p>
      <w:pPr>
        <w:ind w:left="60" w:right="139"/>
        <w:spacing w:after="0" w:line="250"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our Annual Report on Form 10-K/A for the year ended December 31, 2020, as filed with the SEC on June 8, 2021(the “Form 10-K/A”), and in subsequent reports that we file with the SEC, including this Form 10-Q for the quarter ended June 30, 2021, as well as the following:</w:t>
      </w:r>
    </w:p>
    <w:p>
      <w:pPr>
        <w:spacing w:after="0" w:line="201" w:lineRule="exact"/>
        <w:rPr>
          <w:sz w:val="20"/>
          <w:szCs w:val="20"/>
          <w:color w:val="auto"/>
        </w:rPr>
      </w:pPr>
    </w:p>
    <w:p>
      <w:pPr>
        <w:ind w:left="720" w:right="4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additional funding to ramp up the production phase of our operations, including to begin commercial scale production, launch the sale of our vehicles and invest in research and development of additional products;</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future capital requirements and sources and uses of cash;</w:t>
      </w: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execute our business model, including market acceptance of our planned products;</w:t>
      </w:r>
    </w:p>
    <w:p>
      <w:pPr>
        <w:ind w:left="720" w:right="1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3" w:lineRule="exact"/>
        <w:rPr>
          <w:rFonts w:ascii="Arial" w:cs="Arial" w:eastAsia="Arial" w:hAnsi="Arial"/>
          <w:sz w:val="16"/>
          <w:szCs w:val="16"/>
          <w:color w:val="auto"/>
        </w:rPr>
      </w:pPr>
    </w:p>
    <w:p>
      <w:pPr>
        <w:ind w:left="720" w:right="21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leverage the value of our facility and technologies through strategic relationships or other endeavors;</w:t>
      </w:r>
    </w:p>
    <w:p>
      <w:pPr>
        <w:spacing w:after="0" w:line="1" w:lineRule="exact"/>
        <w:rPr>
          <w:rFonts w:ascii="Arial" w:cs="Arial" w:eastAsia="Arial" w:hAnsi="Arial"/>
          <w:sz w:val="16"/>
          <w:szCs w:val="16"/>
          <w:color w:val="auto"/>
        </w:rPr>
      </w:pPr>
    </w:p>
    <w:p>
      <w:pPr>
        <w:ind w:left="720" w:right="299" w:hanging="319"/>
        <w:spacing w:after="0" w:line="248"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279" w:hanging="319"/>
        <w:spacing w:after="0" w:line="248"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7"/>
          <w:szCs w:val="17"/>
          <w:color w:val="auto"/>
        </w:rPr>
        <w:t>our ability to deliver on the expectations of customers with respect to the quality, reliability, safety and efficiency of the Endurance and to provide the levels of service and support that they will require;</w:t>
      </w:r>
    </w:p>
    <w:p>
      <w:pPr>
        <w:spacing w:after="0" w:line="1" w:lineRule="exact"/>
        <w:rPr>
          <w:rFonts w:ascii="Arial" w:cs="Arial" w:eastAsia="Arial" w:hAnsi="Arial"/>
          <w:sz w:val="15"/>
          <w:szCs w:val="15"/>
          <w:color w:val="auto"/>
        </w:rPr>
      </w:pPr>
    </w:p>
    <w:p>
      <w:pPr>
        <w:ind w:left="720" w:right="15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w:t>
      </w:r>
    </w:p>
    <w:p>
      <w:pPr>
        <w:ind w:left="720"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business, expansion plans and opportunities;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effects on our future business of competition;</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changes in laws, regulatory requirements, governmental incentives and fuel and energy prices;</w:t>
      </w:r>
    </w:p>
    <w:p>
      <w:pPr>
        <w:ind w:left="720" w:right="1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right="4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litigation, regulatory proceedings, investigations, complaints, product liability claims and/or adverse publicity;</w:t>
      </w:r>
    </w:p>
    <w:p>
      <w:pPr>
        <w:spacing w:after="0" w:line="1" w:lineRule="exact"/>
        <w:rPr>
          <w:rFonts w:ascii="Arial" w:cs="Arial" w:eastAsia="Arial" w:hAnsi="Arial"/>
          <w:sz w:val="16"/>
          <w:szCs w:val="16"/>
          <w:color w:val="auto"/>
        </w:rPr>
      </w:pPr>
    </w:p>
    <w:p>
      <w:pPr>
        <w:ind w:left="720" w:right="2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Arial" w:cs="Arial" w:eastAsia="Arial" w:hAnsi="Arial"/>
          <w:sz w:val="16"/>
          <w:szCs w:val="16"/>
          <w:color w:val="auto"/>
        </w:rPr>
      </w:pPr>
    </w:p>
    <w:p>
      <w:pPr>
        <w:ind w:left="720" w:right="579" w:hanging="319"/>
        <w:spacing w:after="0" w:line="24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71"/>
              <w:spacing w:after="0"/>
              <w:rPr>
                <w:sz w:val="20"/>
                <w:szCs w:val="20"/>
                <w:color w:val="auto"/>
              </w:rPr>
            </w:pPr>
            <w:r>
              <w:rPr>
                <w:rFonts w:ascii="Arial" w:cs="Arial" w:eastAsia="Arial" w:hAnsi="Arial"/>
                <w:sz w:val="14"/>
                <w:szCs w:val="14"/>
                <w:b w:val="1"/>
                <w:bCs w:val="1"/>
                <w:color w:val="auto"/>
              </w:rPr>
              <w:t>Restated</w:t>
            </w:r>
          </w:p>
        </w:tc>
      </w:tr>
      <w:tr>
        <w:trPr>
          <w:trHeight w:val="175"/>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940" w:type="dxa"/>
            <w:vAlign w:val="bottom"/>
            <w:tcBorders>
              <w:top w:val="single" w:sz="8" w:color="CCEEFF"/>
            </w:tcBorders>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365,900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2"/>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19,188</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r>
      <w:tr>
        <w:trPr>
          <w:trHeight w:val="196"/>
        </w:trPr>
        <w:tc>
          <w:tcPr>
            <w:tcW w:w="594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385,090</w:t>
            </w:r>
          </w:p>
        </w:tc>
        <w:tc>
          <w:tcPr>
            <w:tcW w:w="200" w:type="dxa"/>
            <w:vAlign w:val="bottom"/>
          </w:tcPr>
          <w:p>
            <w:pPr>
              <w:spacing w:after="0"/>
              <w:rPr>
                <w:sz w:val="17"/>
                <w:szCs w:val="17"/>
                <w:color w:val="auto"/>
              </w:rPr>
            </w:pP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286,303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202"/>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4,750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94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687,254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r>
        <w:trPr>
          <w:trHeight w:val="196"/>
        </w:trPr>
        <w:tc>
          <w:tcPr>
            <w:tcW w:w="5940" w:type="dxa"/>
            <w:vAlign w:val="bottom"/>
            <w:shd w:val="clear" w:color="auto" w:fill="CCEEFF"/>
          </w:tcPr>
          <w:p>
            <w:pPr>
              <w:ind w:left="9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48,785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32,536</w:t>
            </w:r>
          </w:p>
        </w:tc>
      </w:tr>
      <w:tr>
        <w:trPr>
          <w:trHeight w:val="203"/>
        </w:trPr>
        <w:tc>
          <w:tcPr>
            <w:tcW w:w="59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32,593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1,538</w:t>
            </w:r>
          </w:p>
        </w:tc>
      </w:tr>
      <w:tr>
        <w:trPr>
          <w:trHeight w:val="196"/>
        </w:trPr>
        <w:tc>
          <w:tcPr>
            <w:tcW w:w="59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81,378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34,074</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Note payable</w:t>
            </w:r>
          </w:p>
        </w:tc>
        <w:tc>
          <w:tcPr>
            <w:tcW w:w="180" w:type="dxa"/>
            <w:vAlign w:val="bottom"/>
          </w:tcPr>
          <w:p>
            <w:pPr>
              <w:spacing w:after="0"/>
              <w:rPr>
                <w:sz w:val="17"/>
                <w:szCs w:val="17"/>
                <w:color w:val="auto"/>
              </w:rPr>
            </w:pP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6,873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101,392</w:t>
            </w:r>
          </w:p>
        </w:tc>
      </w:tr>
      <w:tr>
        <w:trPr>
          <w:trHeight w:val="196"/>
        </w:trPr>
        <w:tc>
          <w:tcPr>
            <w:tcW w:w="59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88,251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136,481</w:t>
            </w: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5940" w:type="dxa"/>
            <w:vAlign w:val="bottom"/>
          </w:tcPr>
          <w:p>
            <w:pPr>
              <w:ind w:left="120"/>
              <w:spacing w:after="0" w:line="201" w:lineRule="exact"/>
              <w:rPr>
                <w:sz w:val="20"/>
                <w:szCs w:val="20"/>
                <w:color w:val="auto"/>
              </w:rPr>
            </w:pPr>
            <w:r>
              <w:rPr>
                <w:rFonts w:ascii="Arial" w:cs="Arial" w:eastAsia="Arial" w:hAnsi="Arial"/>
                <w:sz w:val="18"/>
                <w:szCs w:val="18"/>
                <w:color w:val="auto"/>
              </w:rPr>
              <w:t>Class A common stock, $0.0001 par value, 300,000,000 shares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authorized; 176,606,440 and 168,007,960 shares issued and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tcPr>
          <w:p>
            <w:pPr>
              <w:ind w:left="120"/>
              <w:spacing w:after="0" w:line="203" w:lineRule="exact"/>
              <w:rPr>
                <w:sz w:val="20"/>
                <w:szCs w:val="20"/>
                <w:color w:val="auto"/>
              </w:rPr>
            </w:pPr>
            <w:r>
              <w:rPr>
                <w:rFonts w:ascii="Arial" w:cs="Arial" w:eastAsia="Arial" w:hAnsi="Arial"/>
                <w:sz w:val="18"/>
                <w:szCs w:val="18"/>
                <w:color w:val="auto"/>
              </w:rPr>
              <w:t>outstanding as of June 30, 2021 and December 31, 2020, respectively</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24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966,837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(367,852)</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196"/>
        </w:trPr>
        <w:tc>
          <w:tcPr>
            <w:tcW w:w="594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599,003</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196"/>
        </w:trPr>
        <w:tc>
          <w:tcPr>
            <w:tcW w:w="5940" w:type="dxa"/>
            <w:vAlign w:val="bottom"/>
          </w:tcPr>
          <w:p>
            <w:pPr>
              <w:ind w:left="3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687,254</w:t>
            </w:r>
          </w:p>
        </w:tc>
        <w:tc>
          <w:tcPr>
            <w:tcW w:w="200" w:type="dxa"/>
            <w:vAlign w:val="bottom"/>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3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3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Selling and administrative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33,793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5,155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48,187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8,677</w:t>
            </w:r>
          </w:p>
        </w:tc>
        <w:tc>
          <w:tcPr>
            <w:tcW w:w="20" w:type="dxa"/>
            <w:vAlign w:val="bottom"/>
          </w:tcPr>
          <w:p>
            <w:pPr>
              <w:spacing w:after="0"/>
              <w:rPr>
                <w:sz w:val="17"/>
                <w:szCs w:val="17"/>
                <w:color w:val="auto"/>
              </w:rPr>
            </w:pPr>
          </w:p>
        </w:tc>
      </w:tr>
      <w:tr>
        <w:trPr>
          <w:trHeight w:val="202"/>
        </w:trPr>
        <w:tc>
          <w:tcPr>
            <w:tcW w:w="302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76,544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4,786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168,356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13,254</w:t>
            </w:r>
          </w:p>
        </w:tc>
        <w:tc>
          <w:tcPr>
            <w:tcW w:w="20" w:type="dxa"/>
            <w:vAlign w:val="bottom"/>
          </w:tcPr>
          <w:p>
            <w:pPr>
              <w:spacing w:after="0"/>
              <w:rPr>
                <w:sz w:val="17"/>
                <w:szCs w:val="17"/>
                <w:color w:val="auto"/>
              </w:rPr>
            </w:pPr>
          </w:p>
        </w:tc>
      </w:tr>
      <w:tr>
        <w:trPr>
          <w:trHeight w:val="196"/>
        </w:trPr>
        <w:tc>
          <w:tcPr>
            <w:tcW w:w="30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110,337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216,543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21,931</w:t>
            </w:r>
          </w:p>
        </w:tc>
        <w:tc>
          <w:tcPr>
            <w:tcW w:w="20" w:type="dxa"/>
            <w:vAlign w:val="bottom"/>
          </w:tcPr>
          <w:p>
            <w:pPr>
              <w:spacing w:after="0"/>
              <w:rPr>
                <w:sz w:val="17"/>
                <w:szCs w:val="17"/>
                <w:color w:val="auto"/>
              </w:rPr>
            </w:pPr>
          </w:p>
        </w:tc>
      </w:tr>
      <w:tr>
        <w:trPr>
          <w:trHeight w:val="196"/>
        </w:trPr>
        <w:tc>
          <w:tcPr>
            <w:tcW w:w="302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(110,337)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(9,941)</w:t>
            </w:r>
          </w:p>
        </w:tc>
        <w:tc>
          <w:tcPr>
            <w:tcW w:w="1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(216,543)</w:t>
            </w:r>
          </w:p>
        </w:tc>
        <w:tc>
          <w:tcPr>
            <w:tcW w:w="160" w:type="dxa"/>
            <w:vAlign w:val="bottom"/>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(21,931)</w:t>
            </w:r>
          </w:p>
        </w:tc>
        <w:tc>
          <w:tcPr>
            <w:tcW w:w="20" w:type="dxa"/>
            <w:vAlign w:val="bottom"/>
          </w:tcPr>
          <w:p>
            <w:pPr>
              <w:spacing w:after="0"/>
              <w:rPr>
                <w:sz w:val="17"/>
                <w:szCs w:val="17"/>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(17,255)</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2,472</w:t>
            </w:r>
          </w:p>
        </w:tc>
        <w:tc>
          <w:tcPr>
            <w:tcW w:w="20" w:type="dxa"/>
            <w:vAlign w:val="bottom"/>
          </w:tcPr>
          <w:p>
            <w:pPr>
              <w:spacing w:after="0"/>
              <w:rPr>
                <w:sz w:val="17"/>
                <w:szCs w:val="17"/>
                <w:color w:val="auto"/>
              </w:rPr>
            </w:pP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20" w:type="dxa"/>
            <w:vAlign w:val="bottom"/>
          </w:tcPr>
          <w:p>
            <w:pPr>
              <w:spacing w:after="0"/>
              <w:rPr>
                <w:sz w:val="17"/>
                <w:szCs w:val="17"/>
                <w:color w:val="auto"/>
              </w:rPr>
            </w:pPr>
          </w:p>
        </w:tc>
      </w:tr>
      <w:tr>
        <w:trPr>
          <w:trHeight w:val="196"/>
        </w:trPr>
        <w:tc>
          <w:tcPr>
            <w:tcW w:w="302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(108,200)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(7,958)</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(233,411)</w:t>
            </w:r>
          </w:p>
        </w:tc>
        <w:tc>
          <w:tcPr>
            <w:tcW w:w="160" w:type="dxa"/>
            <w:vAlign w:val="bottom"/>
          </w:tcPr>
          <w:p>
            <w:pPr>
              <w:spacing w:after="0"/>
              <w:rPr>
                <w:sz w:val="17"/>
                <w:szCs w:val="17"/>
                <w:color w:val="auto"/>
              </w:rPr>
            </w:pPr>
          </w:p>
        </w:tc>
        <w:tc>
          <w:tcPr>
            <w:tcW w:w="1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(19,823)</w:t>
            </w:r>
          </w:p>
        </w:tc>
        <w:tc>
          <w:tcPr>
            <w:tcW w:w="20" w:type="dxa"/>
            <w:vAlign w:val="bottom"/>
          </w:tcPr>
          <w:p>
            <w:pPr>
              <w:spacing w:after="0"/>
              <w:rPr>
                <w:sz w:val="17"/>
                <w:szCs w:val="17"/>
                <w:color w:val="auto"/>
              </w:rPr>
            </w:pP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6"/>
        </w:trPr>
        <w:tc>
          <w:tcPr>
            <w:tcW w:w="3020" w:type="dxa"/>
            <w:vAlign w:val="bottom"/>
            <w:tcBorders>
              <w:bottom w:val="single" w:sz="8" w:color="CCEEFF"/>
            </w:tcBorders>
          </w:tcPr>
          <w:p>
            <w:pPr>
              <w:ind w:left="56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(108,200)</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(7,958)</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(233,411)</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(19,823)</w:t>
            </w:r>
          </w:p>
        </w:tc>
        <w:tc>
          <w:tcPr>
            <w:tcW w:w="20" w:type="dxa"/>
            <w:vAlign w:val="bottom"/>
          </w:tcPr>
          <w:p>
            <w:pPr>
              <w:spacing w:after="0"/>
              <w:rPr>
                <w:sz w:val="20"/>
                <w:szCs w:val="20"/>
                <w:color w:val="auto"/>
              </w:rPr>
            </w:pPr>
          </w:p>
        </w:tc>
      </w:tr>
      <w:tr>
        <w:trPr>
          <w:trHeight w:val="155"/>
        </w:trPr>
        <w:tc>
          <w:tcPr>
            <w:tcW w:w="30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Loss per share attributable to</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3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common shareholders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20" w:type="dxa"/>
            <w:vAlign w:val="bottom"/>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18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(0.61)</w:t>
            </w:r>
          </w:p>
        </w:tc>
        <w:tc>
          <w:tcPr>
            <w:tcW w:w="18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(0.11)</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(1.33)</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(0.27)</w:t>
            </w:r>
          </w:p>
        </w:tc>
        <w:tc>
          <w:tcPr>
            <w:tcW w:w="20" w:type="dxa"/>
            <w:vAlign w:val="bottom"/>
          </w:tcPr>
          <w:p>
            <w:pPr>
              <w:spacing w:after="0"/>
              <w:rPr>
                <w:sz w:val="17"/>
                <w:szCs w:val="17"/>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Weighted-average number of</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common shares outstanding</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020" w:type="dxa"/>
            <w:vAlign w:val="bottom"/>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176,585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73,951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175,595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72,931</w:t>
            </w:r>
          </w:p>
        </w:tc>
        <w:tc>
          <w:tcPr>
            <w:tcW w:w="2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219"/>
        <w:spacing w:after="0" w:line="246" w:lineRule="auto"/>
        <w:rPr>
          <w:sz w:val="20"/>
          <w:szCs w:val="20"/>
          <w:color w:val="auto"/>
        </w:rPr>
      </w:pPr>
      <w:r>
        <w:rPr>
          <w:rFonts w:ascii="Arial" w:cs="Arial" w:eastAsia="Arial" w:hAnsi="Arial"/>
          <w:sz w:val="18"/>
          <w:szCs w:val="18"/>
          <w:color w:val="auto"/>
        </w:rPr>
        <w:t>All activity and balances related to common stock prior to the business combination have been restated based on the Exchange Ratio in the Merger Agreement.</w:t>
      </w:r>
    </w:p>
    <w:p>
      <w:pPr>
        <w:spacing w:after="0" w:line="38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r>
      <w:tr>
        <w:trPr>
          <w:trHeight w:val="196"/>
        </w:trPr>
        <w:tc>
          <w:tcPr>
            <w:tcW w:w="34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March 31, 2021</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176,579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962,949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(259,652)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703,315</w:t>
            </w:r>
          </w:p>
        </w:tc>
        <w:tc>
          <w:tcPr>
            <w:tcW w:w="20" w:type="dxa"/>
            <w:vAlign w:val="bottom"/>
          </w:tcPr>
          <w:p>
            <w:pPr>
              <w:spacing w:after="0"/>
              <w:rPr>
                <w:sz w:val="17"/>
                <w:szCs w:val="17"/>
                <w:color w:val="auto"/>
              </w:rPr>
            </w:pP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r>
      <w:tr>
        <w:trPr>
          <w:trHeight w:val="203"/>
        </w:trPr>
        <w:tc>
          <w:tcPr>
            <w:tcW w:w="3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w:t>
            </w:r>
          </w:p>
        </w:tc>
        <w:tc>
          <w:tcPr>
            <w:tcW w:w="20" w:type="dxa"/>
            <w:vAlign w:val="bottom"/>
          </w:tcPr>
          <w:p>
            <w:pPr>
              <w:spacing w:after="0"/>
              <w:rPr>
                <w:sz w:val="17"/>
                <w:szCs w:val="17"/>
                <w:color w:val="auto"/>
              </w:rPr>
            </w:pP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(108,200)</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(108,200)</w:t>
            </w:r>
          </w:p>
        </w:tc>
        <w:tc>
          <w:tcPr>
            <w:tcW w:w="20" w:type="dxa"/>
            <w:vAlign w:val="bottom"/>
          </w:tcPr>
          <w:p>
            <w:pPr>
              <w:spacing w:after="0"/>
              <w:rPr>
                <w:sz w:val="17"/>
                <w:szCs w:val="17"/>
                <w:color w:val="auto"/>
              </w:rPr>
            </w:pPr>
          </w:p>
        </w:tc>
      </w:tr>
      <w:tr>
        <w:trPr>
          <w:trHeight w:val="196"/>
        </w:trPr>
        <w:tc>
          <w:tcPr>
            <w:tcW w:w="34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966,837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(367,852)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599,003</w:t>
            </w:r>
          </w:p>
        </w:tc>
        <w:tc>
          <w:tcPr>
            <w:tcW w:w="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4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March 31, 2020</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25,473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(22,256)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3,225</w:t>
            </w:r>
          </w:p>
        </w:tc>
        <w:tc>
          <w:tcPr>
            <w:tcW w:w="20" w:type="dxa"/>
            <w:vAlign w:val="bottom"/>
          </w:tcPr>
          <w:p>
            <w:pPr>
              <w:spacing w:after="0"/>
              <w:rPr>
                <w:sz w:val="17"/>
                <w:szCs w:val="17"/>
                <w:color w:val="auto"/>
              </w:rPr>
            </w:pP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1,184</w:t>
            </w:r>
          </w:p>
        </w:tc>
        <w:tc>
          <w:tcPr>
            <w:tcW w:w="20" w:type="dxa"/>
            <w:vAlign w:val="bottom"/>
          </w:tcPr>
          <w:p>
            <w:pPr>
              <w:spacing w:after="0"/>
              <w:rPr>
                <w:sz w:val="17"/>
                <w:szCs w:val="17"/>
                <w:color w:val="auto"/>
              </w:rPr>
            </w:pP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(7,958)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(7,958)</w:t>
            </w:r>
          </w:p>
        </w:tc>
        <w:tc>
          <w:tcPr>
            <w:tcW w:w="20" w:type="dxa"/>
            <w:vAlign w:val="bottom"/>
          </w:tcPr>
          <w:p>
            <w:pPr>
              <w:spacing w:after="0"/>
              <w:rPr>
                <w:sz w:val="17"/>
                <w:szCs w:val="17"/>
                <w:color w:val="auto"/>
              </w:rPr>
            </w:pPr>
          </w:p>
        </w:tc>
      </w:tr>
      <w:tr>
        <w:trPr>
          <w:trHeight w:val="196"/>
        </w:trPr>
        <w:tc>
          <w:tcPr>
            <w:tcW w:w="34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(3,549)</w:t>
            </w:r>
          </w:p>
        </w:tc>
        <w:tc>
          <w:tcPr>
            <w:tcW w:w="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8"/>
                <w:szCs w:val="18"/>
                <w:b w:val="1"/>
                <w:bCs w:val="1"/>
                <w:color w:val="auto"/>
              </w:rPr>
              <w:t>Six Months Ended June 30, 2021</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198"/>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r>
      <w:tr>
        <w:trPr>
          <w:trHeight w:val="188"/>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83"/>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Equity</w:t>
            </w:r>
          </w:p>
        </w:tc>
      </w:tr>
      <w:tr>
        <w:trPr>
          <w:trHeight w:val="160"/>
        </w:trPr>
        <w:tc>
          <w:tcPr>
            <w:tcW w:w="332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auto"/>
              </w:rPr>
              <w:t>Balance at December 31, 2020 -</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225"/>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Restated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765,162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(134,441)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630,738</w:t>
            </w: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1,098</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1,098</w:t>
            </w:r>
          </w:p>
        </w:tc>
      </w:tr>
      <w:tr>
        <w:trPr>
          <w:trHeight w:val="202"/>
        </w:trPr>
        <w:tc>
          <w:tcPr>
            <w:tcW w:w="34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48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warrants</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194,797</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194,798</w:t>
            </w: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r>
      <w:tr>
        <w:trPr>
          <w:trHeight w:val="203"/>
        </w:trPr>
        <w:tc>
          <w:tcPr>
            <w:tcW w:w="3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(233,411)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(233,411)</w:t>
            </w:r>
          </w:p>
        </w:tc>
      </w:tr>
      <w:tr>
        <w:trPr>
          <w:trHeight w:val="196"/>
        </w:trPr>
        <w:tc>
          <w:tcPr>
            <w:tcW w:w="34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176,606</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966,837</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(367,852)</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599,003</w:t>
            </w: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rPr>
              <w:t>Six Months Ended June 30, 2020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c>
          <w:tcPr>
            <w:tcW w:w="20" w:type="dxa"/>
            <w:vAlign w:val="bottom"/>
          </w:tcPr>
          <w:p>
            <w:pPr>
              <w:spacing w:after="0"/>
              <w:rPr>
                <w:sz w:val="17"/>
                <w:szCs w:val="17"/>
                <w:color w:val="auto"/>
              </w:rPr>
            </w:pP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6,404</w:t>
            </w:r>
          </w:p>
        </w:tc>
        <w:tc>
          <w:tcPr>
            <w:tcW w:w="20" w:type="dxa"/>
            <w:vAlign w:val="bottom"/>
          </w:tcPr>
          <w:p>
            <w:pPr>
              <w:spacing w:after="0"/>
              <w:rPr>
                <w:sz w:val="17"/>
                <w:szCs w:val="17"/>
                <w:color w:val="auto"/>
              </w:rPr>
            </w:pPr>
          </w:p>
        </w:tc>
      </w:tr>
      <w:tr>
        <w:trPr>
          <w:trHeight w:val="203"/>
        </w:trPr>
        <w:tc>
          <w:tcPr>
            <w:tcW w:w="34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w:t>
            </w:r>
          </w:p>
        </w:tc>
        <w:tc>
          <w:tcPr>
            <w:tcW w:w="20" w:type="dxa"/>
            <w:vAlign w:val="bottom"/>
          </w:tcPr>
          <w:p>
            <w:pPr>
              <w:spacing w:after="0"/>
              <w:rPr>
                <w:sz w:val="17"/>
                <w:szCs w:val="17"/>
                <w:color w:val="auto"/>
              </w:rPr>
            </w:pPr>
          </w:p>
        </w:tc>
      </w:tr>
      <w:tr>
        <w:trPr>
          <w:trHeight w:val="203"/>
        </w:trPr>
        <w:tc>
          <w:tcPr>
            <w:tcW w:w="34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(19,823)</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(19,823)</w:t>
            </w:r>
          </w:p>
        </w:tc>
        <w:tc>
          <w:tcPr>
            <w:tcW w:w="20" w:type="dxa"/>
            <w:vAlign w:val="bottom"/>
          </w:tcPr>
          <w:p>
            <w:pPr>
              <w:spacing w:after="0"/>
              <w:rPr>
                <w:sz w:val="17"/>
                <w:szCs w:val="17"/>
                <w:color w:val="auto"/>
              </w:rPr>
            </w:pPr>
          </w:p>
        </w:tc>
      </w:tr>
      <w:tr>
        <w:trPr>
          <w:trHeight w:val="196"/>
        </w:trPr>
        <w:tc>
          <w:tcPr>
            <w:tcW w:w="34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(3,549)</w:t>
            </w:r>
          </w:p>
        </w:tc>
        <w:tc>
          <w:tcPr>
            <w:tcW w:w="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8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6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3"/>
        </w:trPr>
        <w:tc>
          <w:tcPr>
            <w:tcW w:w="60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(233,411)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(19,823)</w:t>
            </w:r>
          </w:p>
        </w:tc>
      </w:tr>
      <w:tr>
        <w:trPr>
          <w:trHeight w:val="203"/>
        </w:trPr>
        <w:tc>
          <w:tcPr>
            <w:tcW w:w="6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04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1,314</w:t>
            </w: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disposal of fixed assets</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w:t>
            </w:r>
          </w:p>
        </w:tc>
      </w:tr>
      <w:tr>
        <w:trPr>
          <w:trHeight w:val="203"/>
        </w:trPr>
        <w:tc>
          <w:tcPr>
            <w:tcW w:w="6040" w:type="dxa"/>
            <w:vAlign w:val="bottom"/>
          </w:tcPr>
          <w:p>
            <w:pPr>
              <w:ind w:left="220"/>
              <w:spacing w:after="0" w:line="202" w:lineRule="exact"/>
              <w:rPr>
                <w:sz w:val="20"/>
                <w:szCs w:val="20"/>
                <w:color w:val="auto"/>
              </w:rPr>
            </w:pPr>
            <w:r>
              <w:rPr>
                <w:rFonts w:ascii="Arial" w:cs="Arial" w:eastAsia="Arial" w:hAnsi="Arial"/>
                <w:sz w:val="18"/>
                <w:szCs w:val="18"/>
                <w:color w:val="auto"/>
              </w:rPr>
              <w:t>Non-cash change in fair value related to warrants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18,261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Forgiveness of debt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tcPr>
          <w:p>
            <w:pPr>
              <w:ind w:left="120"/>
              <w:spacing w:after="0" w:line="202" w:lineRule="exact"/>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604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4,003</w:t>
            </w:r>
          </w:p>
        </w:tc>
      </w:tr>
      <w:tr>
        <w:trPr>
          <w:trHeight w:val="203"/>
        </w:trPr>
        <w:tc>
          <w:tcPr>
            <w:tcW w:w="60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 and due to related party</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31,057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5,568</w:t>
            </w:r>
          </w:p>
        </w:tc>
      </w:tr>
      <w:tr>
        <w:trPr>
          <w:trHeight w:val="196"/>
        </w:trPr>
        <w:tc>
          <w:tcPr>
            <w:tcW w:w="60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Cash used by operating activities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(171,374)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(11,388)</w:t>
            </w:r>
          </w:p>
        </w:tc>
      </w:tr>
      <w:tr>
        <w:trPr>
          <w:trHeight w:val="196"/>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040" w:type="dxa"/>
            <w:vAlign w:val="bottom"/>
          </w:tcPr>
          <w:p>
            <w:pPr>
              <w:ind w:left="120"/>
              <w:spacing w:after="0" w:line="202" w:lineRule="exact"/>
              <w:rPr>
                <w:sz w:val="20"/>
                <w:szCs w:val="20"/>
                <w:color w:val="auto"/>
              </w:rPr>
            </w:pPr>
            <w:r>
              <w:rPr>
                <w:rFonts w:ascii="Arial" w:cs="Arial" w:eastAsia="Arial" w:hAnsi="Arial"/>
                <w:sz w:val="18"/>
                <w:szCs w:val="18"/>
                <w:color w:val="auto"/>
              </w:rPr>
              <w:t>Purchases of capital assets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(175,601)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Proceeds from the sale of capital assets</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2,396</w:t>
            </w:r>
          </w:p>
        </w:tc>
      </w:tr>
      <w:tr>
        <w:trPr>
          <w:trHeight w:val="196"/>
        </w:trPr>
        <w:tc>
          <w:tcPr>
            <w:tcW w:w="604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Cash (used by) provided by investing activities</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(175,601)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2,396</w:t>
            </w:r>
          </w:p>
        </w:tc>
      </w:tr>
      <w:tr>
        <w:trPr>
          <w:trHeight w:val="196"/>
        </w:trPr>
        <w:tc>
          <w:tcPr>
            <w:tcW w:w="6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04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Proceeds from notes payable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6040" w:type="dxa"/>
            <w:vAlign w:val="bottom"/>
          </w:tcPr>
          <w:p>
            <w:pPr>
              <w:ind w:left="120"/>
              <w:spacing w:after="0" w:line="202" w:lineRule="exact"/>
              <w:rPr>
                <w:sz w:val="20"/>
                <w:szCs w:val="20"/>
                <w:color w:val="auto"/>
              </w:rPr>
            </w:pPr>
            <w:r>
              <w:rPr>
                <w:rFonts w:ascii="Arial" w:cs="Arial" w:eastAsia="Arial" w:hAnsi="Arial"/>
                <w:sz w:val="18"/>
                <w:szCs w:val="18"/>
                <w:color w:val="auto"/>
              </w:rPr>
              <w:t>Cash proceeds from exercise of warrants</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82,016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6,403</w:t>
            </w:r>
          </w:p>
        </w:tc>
      </w:tr>
      <w:tr>
        <w:trPr>
          <w:trHeight w:val="196"/>
        </w:trPr>
        <w:tc>
          <w:tcPr>
            <w:tcW w:w="604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Cash provided by financing activities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83,114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7,418</w:t>
            </w: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Decrease in cash and cash equivalents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(263,861)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(1,574)</w:t>
            </w:r>
          </w:p>
        </w:tc>
      </w:tr>
      <w:tr>
        <w:trPr>
          <w:trHeight w:val="203"/>
        </w:trPr>
        <w:tc>
          <w:tcPr>
            <w:tcW w:w="6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629,761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w:t>
            </w: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 ending balance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365,900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w:t>
            </w: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Lordstown Motors Corp., a Delaware corporation (“Lordstown” or the “Company”), is an automotive company with the goal of becoming an original equipment manufacturer (OEM) of electrically powered pickup trucks and vehicles for fleet customers in pursuit of accelerating the sustainable future and setting new standards in the industry. The Company is in its initial design and testing phase related to its production of the Endurance pickup truck and has yet to bring a completed product to market.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The unaudited condensed consolidated interim financial statements of Lordstown have been prepared in accordance with U.S. generally accepted accounting principles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10-K/A.</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 The condensed consolidated financial statements include the accounts and operations of the Company and its wholly owned subsidiaries. All intercompany accounts and transactions are eliminated upon consolidation.</w:t>
      </w:r>
    </w:p>
    <w:p>
      <w:pPr>
        <w:spacing w:after="0" w:line="20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199" w:lineRule="exact"/>
        <w:rPr>
          <w:sz w:val="20"/>
          <w:szCs w:val="20"/>
          <w:color w:val="auto"/>
        </w:rPr>
      </w:pPr>
    </w:p>
    <w:p>
      <w:pPr>
        <w:jc w:val="both"/>
        <w:ind w:left="60" w:right="519"/>
        <w:spacing w:after="0" w:line="261"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3" w:lineRule="exact"/>
        <w:rPr>
          <w:sz w:val="20"/>
          <w:szCs w:val="20"/>
          <w:color w:val="auto"/>
        </w:rPr>
      </w:pPr>
    </w:p>
    <w:p>
      <w:pPr>
        <w:ind w:left="60" w:right="219" w:hanging="10"/>
        <w:spacing w:after="0" w:line="246" w:lineRule="auto"/>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Closing, the Company (a) issued and sold an aggregate of 50 million shares of Class A</w:t>
      </w:r>
    </w:p>
    <w:p>
      <w:pPr>
        <w:ind w:left="60"/>
        <w:spacing w:after="0" w:line="234" w:lineRule="auto"/>
        <w:rPr>
          <w:sz w:val="20"/>
          <w:szCs w:val="20"/>
          <w:color w:val="auto"/>
        </w:rPr>
      </w:pPr>
      <w:r>
        <w:rPr>
          <w:rFonts w:ascii="Arial" w:cs="Arial" w:eastAsia="Arial" w:hAnsi="Arial"/>
          <w:sz w:val="18"/>
          <w:szCs w:val="18"/>
          <w:color w:val="auto"/>
        </w:rPr>
        <w:t>common stock for $10.00 per share at an aggregate purchase price of $500 million pursuant to previously</w:t>
      </w:r>
    </w:p>
    <w:p>
      <w:pPr>
        <w:ind w:left="60"/>
        <w:spacing w:after="0" w:line="235" w:lineRule="auto"/>
        <w:rPr>
          <w:sz w:val="20"/>
          <w:szCs w:val="20"/>
          <w:color w:val="auto"/>
        </w:rPr>
      </w:pPr>
      <w:r>
        <w:rPr>
          <w:rFonts w:ascii="Arial" w:cs="Arial" w:eastAsia="Arial" w:hAnsi="Arial"/>
          <w:sz w:val="18"/>
          <w:szCs w:val="18"/>
          <w:color w:val="auto"/>
        </w:rPr>
        <w:t>announced subscription agreements with certain investors (the “PIPE Investors”), (b) issued an aggregate of</w:t>
      </w:r>
    </w:p>
    <w:p>
      <w:pPr>
        <w:ind w:left="60"/>
        <w:spacing w:after="0" w:line="235" w:lineRule="auto"/>
        <w:rPr>
          <w:sz w:val="20"/>
          <w:szCs w:val="20"/>
          <w:color w:val="auto"/>
        </w:rPr>
      </w:pPr>
      <w:r>
        <w:rPr>
          <w:rFonts w:ascii="Arial" w:cs="Arial" w:eastAsia="Arial" w:hAnsi="Arial"/>
          <w:sz w:val="18"/>
          <w:szCs w:val="18"/>
          <w:color w:val="auto"/>
        </w:rPr>
        <w:t>approximately 4 million shares of Class A common stock to holders of $40 million in aggregate principal amount</w:t>
      </w:r>
    </w:p>
    <w:p>
      <w:pPr>
        <w:ind w:left="60"/>
        <w:spacing w:after="0" w:line="235" w:lineRule="auto"/>
        <w:rPr>
          <w:sz w:val="20"/>
          <w:szCs w:val="20"/>
          <w:color w:val="auto"/>
        </w:rPr>
      </w:pPr>
      <w:r>
        <w:rPr>
          <w:rFonts w:ascii="Arial" w:cs="Arial" w:eastAsia="Arial" w:hAnsi="Arial"/>
          <w:sz w:val="18"/>
          <w:szCs w:val="18"/>
          <w:color w:val="auto"/>
        </w:rPr>
        <w:t>plus accrued interest, of Legacy LMC convertible promissory notes at a conversion price of $10.00 per share</w:t>
      </w:r>
    </w:p>
    <w:p>
      <w:pPr>
        <w:ind w:left="60"/>
        <w:spacing w:after="0" w:line="235" w:lineRule="auto"/>
        <w:rPr>
          <w:sz w:val="20"/>
          <w:szCs w:val="20"/>
          <w:color w:val="auto"/>
        </w:rPr>
      </w:pPr>
      <w:r>
        <w:rPr>
          <w:rFonts w:ascii="Arial" w:cs="Arial" w:eastAsia="Arial" w:hAnsi="Arial"/>
          <w:sz w:val="18"/>
          <w:szCs w:val="18"/>
          <w:color w:val="auto"/>
        </w:rPr>
        <w:t>upon automatic conversion of such notes (the “Note Conversions”), and (c) issued warrants to purchase 1.6</w:t>
      </w:r>
    </w:p>
    <w:p>
      <w:pPr>
        <w:ind w:left="60"/>
        <w:spacing w:after="0" w:line="234" w:lineRule="auto"/>
        <w:rPr>
          <w:sz w:val="20"/>
          <w:szCs w:val="20"/>
          <w:color w:val="auto"/>
        </w:rPr>
      </w:pPr>
      <w:r>
        <w:rPr>
          <w:rFonts w:ascii="Arial" w:cs="Arial" w:eastAsia="Arial" w:hAnsi="Arial"/>
          <w:sz w:val="18"/>
          <w:szCs w:val="18"/>
          <w:color w:val="auto"/>
        </w:rPr>
        <w:t>million shares of Class A common stock (“BGL Warrants”) a purchase price of $10.00 per share to a third party.</w:t>
      </w:r>
    </w:p>
    <w:p>
      <w:pPr>
        <w:ind w:left="60"/>
        <w:spacing w:after="0" w:line="235" w:lineRule="auto"/>
        <w:rPr>
          <w:sz w:val="20"/>
          <w:szCs w:val="20"/>
          <w:color w:val="auto"/>
        </w:rPr>
      </w:pPr>
      <w:r>
        <w:rPr>
          <w:rFonts w:ascii="Arial" w:cs="Arial" w:eastAsia="Arial" w:hAnsi="Arial"/>
          <w:sz w:val="18"/>
          <w:szCs w:val="18"/>
          <w:color w:val="auto"/>
        </w:rPr>
        <w:t>Additionally, the Company assumed 9.3 million Public Warrants (as defined below) and 5.1 million Private</w:t>
      </w:r>
    </w:p>
    <w:p>
      <w:pPr>
        <w:ind w:left="60"/>
        <w:spacing w:after="0" w:line="235" w:lineRule="auto"/>
        <w:rPr>
          <w:sz w:val="20"/>
          <w:szCs w:val="20"/>
          <w:color w:val="auto"/>
        </w:rPr>
      </w:pPr>
      <w:r>
        <w:rPr>
          <w:rFonts w:ascii="Arial" w:cs="Arial" w:eastAsia="Arial" w:hAnsi="Arial"/>
          <w:sz w:val="18"/>
          <w:szCs w:val="18"/>
          <w:color w:val="auto"/>
        </w:rPr>
        <w:t>Warrants (as defined below) both of which were originally issued by DiamondPeak with an exercise price of</w:t>
      </w:r>
    </w:p>
    <w:p>
      <w:pPr>
        <w:ind w:left="60"/>
        <w:spacing w:after="0" w:line="235" w:lineRule="auto"/>
        <w:rPr>
          <w:sz w:val="20"/>
          <w:szCs w:val="20"/>
          <w:color w:val="auto"/>
        </w:rPr>
      </w:pPr>
      <w:r>
        <w:rPr>
          <w:rFonts w:ascii="Arial" w:cs="Arial" w:eastAsia="Arial" w:hAnsi="Arial"/>
          <w:sz w:val="18"/>
          <w:szCs w:val="18"/>
          <w:color w:val="auto"/>
        </w:rPr>
        <w:t>$11.50. In December 2020, 2.7 million of the Public Warrants were exercised which resulted in $30.7 million in</w:t>
      </w:r>
    </w:p>
    <w:p>
      <w:pPr>
        <w:ind w:left="60"/>
        <w:spacing w:after="0" w:line="235" w:lineRule="auto"/>
        <w:rPr>
          <w:sz w:val="20"/>
          <w:szCs w:val="20"/>
          <w:color w:val="auto"/>
        </w:rPr>
      </w:pPr>
      <w:r>
        <w:rPr>
          <w:rFonts w:ascii="Arial" w:cs="Arial" w:eastAsia="Arial" w:hAnsi="Arial"/>
          <w:sz w:val="18"/>
          <w:szCs w:val="18"/>
          <w:color w:val="auto"/>
        </w:rPr>
        <w:t>proceeds. In January 2021, a significant portion of the remaining Public Warrants and 0.6 million of the Private</w:t>
      </w:r>
    </w:p>
    <w:p>
      <w:pPr>
        <w:ind w:left="60"/>
        <w:spacing w:after="0" w:line="234" w:lineRule="auto"/>
        <w:rPr>
          <w:sz w:val="20"/>
          <w:szCs w:val="20"/>
          <w:color w:val="auto"/>
        </w:rPr>
      </w:pPr>
      <w:r>
        <w:rPr>
          <w:rFonts w:ascii="Arial" w:cs="Arial" w:eastAsia="Arial" w:hAnsi="Arial"/>
          <w:sz w:val="18"/>
          <w:szCs w:val="18"/>
          <w:color w:val="auto"/>
        </w:rPr>
        <w:t>Warrants were exercised upon payment of the cash exercise price, which resulted in cash proceeds of $82.0</w:t>
      </w:r>
    </w:p>
    <w:p>
      <w:pPr>
        <w:ind w:left="60"/>
        <w:spacing w:after="0" w:line="235" w:lineRule="auto"/>
        <w:rPr>
          <w:sz w:val="20"/>
          <w:szCs w:val="20"/>
          <w:color w:val="auto"/>
        </w:rPr>
      </w:pPr>
      <w:r>
        <w:rPr>
          <w:rFonts w:ascii="Arial" w:cs="Arial" w:eastAsia="Arial" w:hAnsi="Arial"/>
          <w:sz w:val="18"/>
          <w:szCs w:val="18"/>
          <w:color w:val="auto"/>
        </w:rPr>
        <w:t>million. As of June 30, 2021, there were 2.3 million Private Warrants, 1.6 million BGL Warrants and no Public</w:t>
      </w:r>
    </w:p>
    <w:p>
      <w:pPr>
        <w:ind w:left="60"/>
        <w:spacing w:after="0" w:line="235" w:lineRule="auto"/>
        <w:rPr>
          <w:sz w:val="20"/>
          <w:szCs w:val="20"/>
          <w:color w:val="auto"/>
        </w:rPr>
      </w:pPr>
      <w:r>
        <w:rPr>
          <w:rFonts w:ascii="Arial" w:cs="Arial" w:eastAsia="Arial" w:hAnsi="Arial"/>
          <w:sz w:val="18"/>
          <w:szCs w:val="18"/>
          <w:color w:val="auto"/>
        </w:rPr>
        <w:t>Warrants outstanding. See further discussion related to the accounting of the Public Warrants and Private</w:t>
      </w:r>
    </w:p>
    <w:p>
      <w:pPr>
        <w:ind w:left="60"/>
        <w:spacing w:after="0"/>
        <w:rPr>
          <w:sz w:val="20"/>
          <w:szCs w:val="20"/>
          <w:color w:val="auto"/>
        </w:rPr>
      </w:pPr>
      <w:r>
        <w:rPr>
          <w:rFonts w:ascii="Arial" w:cs="Arial" w:eastAsia="Arial" w:hAnsi="Arial"/>
          <w:sz w:val="18"/>
          <w:szCs w:val="18"/>
          <w:color w:val="auto"/>
        </w:rPr>
        <w:t>Warrants in Note 3.</w:t>
      </w:r>
    </w:p>
    <w:p>
      <w:pPr>
        <w:spacing w:after="0" w:line="198"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89"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As part of the Business Combination, we recorded $644.6 million in equity for the recapitalization, net of transaction costs and $100.9 million in liabilities related to the Public and Private Warrants described in Note 3. The Company received cash proceeds of $701.5 million as a result of the Business Combination which was net of the settlement of the $ 20.8 million related party note payable and $23.2 million in property purchased through equity both as described in Note 4. Additionally, a $5 million Convertible Note and the $5.9 million amount in Due to related party as described in Note 7 were also settled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2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assuming the Company will continue as a going concern and in accordance with generally accepted accounting principles in the United States of America. The going concern basis of presentation assumes that the Company will continue in operation one year after the date these financial statements are issued and will be able to realize its assets and discharge its liabilities and commitments in the normal course of business.</w:t>
      </w:r>
    </w:p>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cash and cash equivalents of approximately $365.9 million and an accumulated deficit of</w:t>
      </w:r>
    </w:p>
    <w:p>
      <w:pPr>
        <w:ind w:left="60" w:right="179"/>
        <w:spacing w:after="0" w:line="234" w:lineRule="auto"/>
        <w:rPr>
          <w:sz w:val="20"/>
          <w:szCs w:val="20"/>
          <w:color w:val="auto"/>
        </w:rPr>
      </w:pPr>
      <w:r>
        <w:rPr>
          <w:rFonts w:ascii="Arial" w:cs="Arial" w:eastAsia="Arial" w:hAnsi="Arial"/>
          <w:sz w:val="18"/>
          <w:szCs w:val="18"/>
          <w:color w:val="auto"/>
        </w:rPr>
        <w:t>$367.9 million at June 30, 2021 and a net loss of $233.4 million for the six months ended June 30, 2021. Since inception, the Company has been developing its flagship vehicle, the Endurance, an electric full-size pickup truck. The Company’s ability to continue as a going concern is dependent on its ability to complete the development of its electric vehicles, obtain regulatory approval, begin commercial scale production and launch the sale of such vehicles. The Company believes that its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these unaudited condensed consolidated financial statements.</w:t>
      </w:r>
    </w:p>
    <w:p>
      <w:pPr>
        <w:spacing w:after="0" w:line="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an effort 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part of our funding efforts and as further described in Note 9, o</w:t>
      </w:r>
      <w:r>
        <w:rPr>
          <w:rFonts w:ascii="Arial" w:cs="Arial" w:eastAsia="Arial" w:hAnsi="Arial"/>
          <w:sz w:val="18"/>
          <w:szCs w:val="18"/>
          <w:color w:val="231F20"/>
        </w:rPr>
        <w:t>n July 23, 2021, the Company entered into an</w:t>
      </w:r>
      <w:r>
        <w:rPr>
          <w:rFonts w:ascii="Arial" w:cs="Arial" w:eastAsia="Arial" w:hAnsi="Arial"/>
          <w:sz w:val="18"/>
          <w:szCs w:val="18"/>
          <w:color w:val="auto"/>
        </w:rPr>
        <w:t xml:space="preserve"> </w:t>
      </w:r>
      <w:r>
        <w:rPr>
          <w:rFonts w:ascii="Arial" w:cs="Arial" w:eastAsia="Arial" w:hAnsi="Arial"/>
          <w:sz w:val="18"/>
          <w:szCs w:val="18"/>
          <w:color w:val="231F20"/>
        </w:rPr>
        <w:t xml:space="preserve">equity purchase agreement (the “Purchase Agreement”) with YA II PN, LTD. (“YA”), pursuant to which YA has committed to purchase up to $400 million of our Class A common stock, at our direction from time to time, subject to the satisfaction of certain conditions. </w:t>
      </w:r>
      <w:r>
        <w:rPr>
          <w:rFonts w:ascii="Arial" w:cs="Arial" w:eastAsia="Arial" w:hAnsi="Arial"/>
          <w:sz w:val="18"/>
          <w:szCs w:val="18"/>
          <w:color w:val="000000"/>
        </w:rPr>
        <w:t>The actual amount that we raise under this facility will depend</w:t>
      </w:r>
      <w:r>
        <w:rPr>
          <w:rFonts w:ascii="Arial" w:cs="Arial" w:eastAsia="Arial" w:hAnsi="Arial"/>
          <w:sz w:val="18"/>
          <w:szCs w:val="18"/>
          <w:color w:val="231F20"/>
        </w:rPr>
        <w:t xml:space="preserve"> </w:t>
      </w:r>
      <w:r>
        <w:rPr>
          <w:rFonts w:ascii="Arial" w:cs="Arial" w:eastAsia="Arial" w:hAnsi="Arial"/>
          <w:sz w:val="18"/>
          <w:szCs w:val="18"/>
          <w:color w:val="000000"/>
        </w:rPr>
        <w:t>on market conditions and other financing alternatives that we are exploring, as well as limitations in the agreement.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 As a result of these uncertainties, and notwithstanding management’s plans and efforts to date, there continues to be substantial doubt about our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Immaterial Correction of Error</w:t>
      </w:r>
    </w:p>
    <w:p>
      <w:pPr>
        <w:spacing w:after="0" w:line="22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previously issued financial statements have been revised to remove non-cash activity that were inappropriately presented within the consolidated condensed statement of cash flows. This resulted in the removal of $3.5 million of cash provided by from financing activities with a corresponding increase in cash provided by investing activities of $1.2 million and a decrease in cash used by operating activities of $2.3 million.</w:t>
      </w:r>
    </w:p>
    <w:p>
      <w:pPr>
        <w:spacing w:after="0" w:line="189"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 xml:space="preserve">The Company, in consultation with the Audit Committee of the Board of Directors, evaluated the effect of these adjustments on the Company’s consolidated financial statements under ASC 250, </w:t>
      </w:r>
      <w:r>
        <w:rPr>
          <w:rFonts w:ascii="Arial" w:cs="Arial" w:eastAsia="Arial" w:hAnsi="Arial"/>
          <w:sz w:val="18"/>
          <w:szCs w:val="18"/>
          <w:i w:val="1"/>
          <w:iCs w:val="1"/>
          <w:color w:val="auto"/>
        </w:rPr>
        <w:t>Accounting Changes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Error Corrections </w:t>
      </w:r>
      <w:r>
        <w:rPr>
          <w:rFonts w:ascii="Arial" w:cs="Arial" w:eastAsia="Arial" w:hAnsi="Arial"/>
          <w:sz w:val="18"/>
          <w:szCs w:val="18"/>
          <w:color w:val="auto"/>
        </w:rPr>
        <w:t>and Staff Accounting Bulletin No. 108,</w:t>
      </w:r>
      <w:r>
        <w:rPr>
          <w:rFonts w:ascii="Arial" w:cs="Arial" w:eastAsia="Arial" w:hAnsi="Arial"/>
          <w:sz w:val="18"/>
          <w:szCs w:val="18"/>
          <w:i w:val="1"/>
          <w:iCs w:val="1"/>
          <w:color w:val="auto"/>
        </w:rPr>
        <w:t xml:space="preserve"> Considering the Effects of Prior Year Misstatements when Quantifying Misstatements in Current Year Financial Statements </w:t>
      </w:r>
      <w:r>
        <w:rPr>
          <w:rFonts w:ascii="Arial" w:cs="Arial" w:eastAsia="Arial" w:hAnsi="Arial"/>
          <w:sz w:val="18"/>
          <w:szCs w:val="18"/>
          <w:color w:val="auto"/>
        </w:rPr>
        <w:t>and determined it was not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recall its consolidated condensed financial statements as the errors did not materially misstate those consolidated financial statements. The Company looked at both quantitative and qualitative characteristics of the required corrections.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Reclassification</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Company reclassified $2.3 million of gain on sale of fixed assets to other income in order to consistently present its consolidated condensed financial statements. The reclassification did not impact net loss.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7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the statement of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auto"/>
        </w:rPr>
        <w:t>undiscounted future cash flows, an impairment charge is recognized by the amount by which the carrying amount of the asset or asset group exceeds the fair value of the asset or asset group.</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Intangible assets include patents, copyrights, trade secrets, know-how, software, and all other intellectual property and proprietary rights connected with the electric pickup truck and other electric vehicle technology owned by Workhorse and contributed in exchange for equity in the Company. Determination of useful lives will be over the period of economic benefit and the related amortization will begin once the intangible assets are placed in use.</w:t>
      </w:r>
    </w:p>
    <w:p>
      <w:pPr>
        <w:spacing w:after="0" w:line="202"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The intangible assets are reviewed for impairment whenever events or changes in circumstances indicate the carrying amount may not be recoverable. Upon indications of impairment, assets and liabilities are grouped at the lowest level for which identifiable cash flows are largely independent of the cash flows of other assets and liabilities. The asset group would be considered impaired when the estimated future net undiscounted cash flows generated by the asset group are less than its carrying value. Impairment losses are measured by comparing the estimated fair value of the asset group to its carrying value.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718), which establishes a fair value-based method of accounting for stock-based compensation plans. In accordance with ASC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right="279"/>
        <w:spacing w:after="0" w:line="29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Deferred tax assets and liabilities are determined based on the difference between the financial statement and tax bases of</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179"/>
        <w:spacing w:after="0" w:line="25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and has subsequently issued several supplemental and/or clarifying ASUs (collectively ASC 842) to increase transparency and comparability among organizations by recognizing lease assets and lease liabilities on the balance sheet and disclosing key information about leasing arrangements. ASC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Public and Private Warrants are classified as a liability with any changes in the fair value recognized immediately in our condensed consolidated statements of operations. The following table summarizes the net gain (loss) on changes in fair value (in thousands) related to the Public and Private Warrants:</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157"/>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57"/>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Warrants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(27,180)</w:t>
            </w:r>
          </w:p>
        </w:tc>
      </w:tr>
      <w:tr>
        <w:trPr>
          <w:trHeight w:val="203"/>
        </w:trPr>
        <w:tc>
          <w:tcPr>
            <w:tcW w:w="20" w:type="dxa"/>
            <w:vAlign w:val="bottom"/>
          </w:tcPr>
          <w:p>
            <w:pPr>
              <w:spacing w:after="0"/>
              <w:rPr>
                <w:sz w:val="17"/>
                <w:szCs w:val="17"/>
                <w:color w:val="auto"/>
              </w:rPr>
            </w:pPr>
          </w:p>
        </w:tc>
        <w:tc>
          <w:tcPr>
            <w:tcW w:w="34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Private Warrants</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877</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8,919</w:t>
            </w: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gain (loss) on changes in fair value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(18,261)</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Observed prices for the Public Warrants were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20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At each measurement date, we use a stock price volatility input of 50%.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0.824% and 0.413% for the valuations as of June 30, 2021 and December 31, 2020, respectively.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Quoted prices in</w:t>
            </w:r>
          </w:p>
        </w:tc>
        <w:tc>
          <w:tcPr>
            <w:tcW w:w="340" w:type="dxa"/>
            <w:vAlign w:val="bottom"/>
          </w:tcPr>
          <w:p>
            <w:pPr>
              <w:spacing w:after="0"/>
              <w:rPr>
                <w:sz w:val="13"/>
                <w:szCs w:val="13"/>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Prices with</w:t>
            </w:r>
          </w:p>
        </w:tc>
        <w:tc>
          <w:tcPr>
            <w:tcW w:w="260" w:type="dxa"/>
            <w:vAlign w:val="bottom"/>
          </w:tcPr>
          <w:p>
            <w:pPr>
              <w:spacing w:after="0"/>
              <w:rPr>
                <w:sz w:val="13"/>
                <w:szCs w:val="13"/>
                <w:color w:val="auto"/>
              </w:rPr>
            </w:pPr>
          </w:p>
        </w:tc>
        <w:tc>
          <w:tcPr>
            <w:tcW w:w="13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active markets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3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unobservable inputs</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June 30, 2021</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365,900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365,900</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6,873</w:t>
            </w:r>
          </w:p>
        </w:tc>
        <w:tc>
          <w:tcPr>
            <w:tcW w:w="2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328"/>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Quoted prices in</w:t>
            </w:r>
          </w:p>
        </w:tc>
        <w:tc>
          <w:tcPr>
            <w:tcW w:w="340" w:type="dxa"/>
            <w:vAlign w:val="bottom"/>
          </w:tcPr>
          <w:p>
            <w:pPr>
              <w:spacing w:after="0"/>
              <w:rPr>
                <w:sz w:val="24"/>
                <w:szCs w:val="24"/>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Prices with</w:t>
            </w:r>
          </w:p>
        </w:tc>
        <w:tc>
          <w:tcPr>
            <w:tcW w:w="260" w:type="dxa"/>
            <w:vAlign w:val="bottom"/>
          </w:tcPr>
          <w:p>
            <w:pPr>
              <w:spacing w:after="0"/>
              <w:rPr>
                <w:sz w:val="24"/>
                <w:szCs w:val="24"/>
                <w:color w:val="auto"/>
              </w:rPr>
            </w:pPr>
          </w:p>
        </w:tc>
        <w:tc>
          <w:tcPr>
            <w:tcW w:w="13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active markets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3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unobservable inputs</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629,761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629,761</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57,515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57,515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43,877</w:t>
            </w:r>
          </w:p>
        </w:tc>
        <w:tc>
          <w:tcPr>
            <w:tcW w:w="2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43,877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Loss / (Gain) on 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5"/>
              <w:spacing w:after="0"/>
              <w:rPr>
                <w:sz w:val="20"/>
                <w:szCs w:val="20"/>
                <w:color w:val="auto"/>
              </w:rPr>
            </w:pPr>
            <w:r>
              <w:rPr>
                <w:rFonts w:ascii="Arial" w:cs="Arial" w:eastAsia="Arial" w:hAnsi="Arial"/>
                <w:sz w:val="14"/>
                <w:szCs w:val="14"/>
                <w:b w:val="1"/>
                <w:bCs w:val="1"/>
                <w:color w:val="auto"/>
              </w:rPr>
              <w:t>Balance at</w:t>
            </w:r>
          </w:p>
        </w:tc>
      </w:tr>
      <w:tr>
        <w:trPr>
          <w:trHeight w:val="182"/>
        </w:trPr>
        <w:tc>
          <w:tcPr>
            <w:tcW w:w="18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Additions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2021</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43,877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line="216" w:lineRule="exact"/>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(28,085)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(8,919)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6,873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&amp; Equipment</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80" w:type="dxa"/>
            <w:vAlign w:val="bottom"/>
          </w:tcPr>
          <w:p>
            <w:pPr>
              <w:spacing w:after="0"/>
              <w:rPr>
                <w:sz w:val="17"/>
                <w:szCs w:val="17"/>
                <w:color w:val="auto"/>
              </w:rPr>
            </w:pPr>
          </w:p>
        </w:tc>
        <w:tc>
          <w:tcPr>
            <w:tcW w:w="420" w:type="dxa"/>
            <w:vAlign w:val="bottom"/>
          </w:tcPr>
          <w:p>
            <w:pPr>
              <w:jc w:val="right"/>
              <w:ind w:right="235"/>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Vehicles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03"/>
        </w:trPr>
        <w:tc>
          <w:tcPr>
            <w:tcW w:w="58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240,773</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r>
      <w:tr>
        <w:trPr>
          <w:trHeight w:val="196"/>
        </w:trPr>
        <w:tc>
          <w:tcPr>
            <w:tcW w:w="5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286,303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286,303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Construction in progress is primarily comprised of retooling and construction at the Company's facility in Lordstown, Ohio to ready the plant to begin the manufacturing of electric vehicles. The Company is currently reengineering its production process, bringing acquired assets up to the level needed for production and evaluating assets that will be necessary in the production of the Endurance pickup truck. Completed assets will be transferred to their respective asset classes and depreciation will begin when an asset is ready for its intended use. As of June 30, 2021, manufacturing has not begun and thus no depreciation was recognized in 2021 or 2020.</w:t>
      </w:r>
    </w:p>
    <w:p>
      <w:pPr>
        <w:spacing w:after="0" w:line="20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Property, plant and equipment consist of an idle assembly and manufacturing plant in Lordstown, Ohio. The facility is equipped with the tooling necessary to begin production of the Endurance pickup truck along with all personal property, purchased from GM in November 2019 for $20 million, recorded as a related party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w:t>
      </w:r>
    </w:p>
    <w:p>
      <w:pPr>
        <w:spacing w:after="0" w:line="203"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The cost of property, plant and equipment includes the value of the $20.0 million related party note payable, along with any directly attributable costs of bringing the asset to its working condition and location for intended use, including direct acquisition costs and capitalized interest. The Company recorded $0.1 million of interest capitalized during 2019 and $0.3 million during the quarter ended March 31, 2020 as the facility assets underwent activities necessary to bring them to their intended use. Beginning April 1, 2020, activity on the facility stopped due to the shutdown caused by the COVID-19 pandemic. As these activities were no longer ongoing, interest capitalization on the related party note payable was suspended. Therefore, interest from April 1, 2020 through the date of the Business Combination which totaled $0.4 million was expensed as incurred. As of the date of the Business Combination, our related party note payable totaled $20.8 million and was settled as part of the Business Combination.</w:t>
      </w:r>
    </w:p>
    <w:p>
      <w:pPr>
        <w:spacing w:after="0" w:line="206"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 See Note 7 for further details on the Due to related party balance. During the quarter ended June 30, 2020, the Company sold equipment which it determined was not necessary for production which resulted in a gain on sale of the asset for $2.3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59"/>
        <w:spacing w:after="0" w:line="246" w:lineRule="auto"/>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common stock as part of the Business Combination.</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NOTE PAYABLE</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$1 million (the “PPP Loan”) pursuant to the Paycheck Protection Program under the Coronavirus Aid, Relief, and Economic Security Act (the “CARES Act”). The PPP Loan had a two-year term and bears interest at a rate of 1.0% per annum. The Paycheck Protection Program provides that the PPP Loan may be partially or wholly forgiven if the funds are used for certain qualifying expenses as described in the CARES Act. During the quarter ended June 30, 2021, our $1.0 million loan was forgiven.</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34"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The Company has entered into supply agreements with Samsung and LG Energy Solution to purchase lithium-ion cylindrical battery cells. The agreements generally have initial four- to five-year terms, subject to earlier termination rights. The agreements also provide for certain pricing and minimum quantity parameters, including our obligation to purchase such minimum amounts which total approximately $16.3 million, $139.4 million and $273.6 million in 2021, 2022, and 2023, respectively, subject to change for increases in raw material pricing.</w:t>
      </w:r>
    </w:p>
    <w:p>
      <w:pPr>
        <w:spacing w:after="0" w:line="17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205" w:lineRule="exact"/>
        <w:rPr>
          <w:sz w:val="20"/>
          <w:szCs w:val="20"/>
          <w:color w:val="auto"/>
        </w:rPr>
      </w:pPr>
    </w:p>
    <w:p>
      <w:pPr>
        <w:ind w:left="60" w:right="119"/>
        <w:spacing w:after="0" w:line="248" w:lineRule="auto"/>
        <w:rPr>
          <w:sz w:val="20"/>
          <w:szCs w:val="20"/>
          <w:color w:val="auto"/>
        </w:rPr>
      </w:pPr>
      <w:r>
        <w:rPr>
          <w:rFonts w:ascii="Arial" w:cs="Arial" w:eastAsia="Arial" w:hAnsi="Arial"/>
          <w:sz w:val="17"/>
          <w:szCs w:val="17"/>
          <w:color w:val="auto"/>
        </w:rPr>
        <w:t>On October 30, 2020, the Company, together with current and former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 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 agreements, employment agreements and the non-binding letter of intent; and</w:t>
      </w:r>
    </w:p>
    <w:p>
      <w:pPr>
        <w:spacing w:after="0" w:line="7" w:lineRule="exact"/>
        <w:rPr>
          <w:sz w:val="20"/>
          <w:szCs w:val="20"/>
          <w:color w:val="auto"/>
        </w:rPr>
      </w:pPr>
    </w:p>
    <w:p>
      <w:pPr>
        <w:ind w:left="60" w:right="79" w:hanging="10"/>
        <w:spacing w:after="0" w:line="23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w:t>
      </w:r>
      <w:r>
        <w:rPr>
          <w:rFonts w:ascii="Arial" w:cs="Arial" w:eastAsia="Arial" w:hAnsi="Arial"/>
          <w:sz w:val="18"/>
          <w:szCs w:val="18"/>
          <w:i w:val="1"/>
          <w:iCs w:val="1"/>
          <w:color w:val="auto"/>
        </w:rPr>
        <w:t>Rico v. Lordstown Motors Corp., et al.</w:t>
      </w:r>
      <w:r>
        <w:rPr>
          <w:rFonts w:ascii="Arial" w:cs="Arial" w:eastAsia="Arial" w:hAnsi="Arial"/>
          <w:sz w:val="18"/>
          <w:szCs w:val="18"/>
          <w:color w:val="auto"/>
        </w:rPr>
        <w:t xml:space="preserve"> (Case No. 21-cv-616); </w:t>
      </w:r>
      <w:r>
        <w:rPr>
          <w:rFonts w:ascii="Arial" w:cs="Arial" w:eastAsia="Arial" w:hAnsi="Arial"/>
          <w:sz w:val="18"/>
          <w:szCs w:val="18"/>
          <w:i w:val="1"/>
          <w:iCs w:val="1"/>
          <w:color w:val="auto"/>
        </w:rPr>
        <w:t>Palumbo v. Lordstown Motors Corp., et al.</w:t>
      </w:r>
      <w:r>
        <w:rPr>
          <w:rFonts w:ascii="Arial" w:cs="Arial" w:eastAsia="Arial" w:hAnsi="Arial"/>
          <w:sz w:val="18"/>
          <w:szCs w:val="18"/>
          <w:color w:val="auto"/>
        </w:rPr>
        <w:t xml:space="preserve"> (Case No. 21-cv-633); </w:t>
      </w:r>
      <w:r>
        <w:rPr>
          <w:rFonts w:ascii="Arial" w:cs="Arial" w:eastAsia="Arial" w:hAnsi="Arial"/>
          <w:sz w:val="18"/>
          <w:szCs w:val="18"/>
          <w:i w:val="1"/>
          <w:iCs w:val="1"/>
          <w:color w:val="auto"/>
        </w:rPr>
        <w:t>Zuod v. Lordstown Motors Corp.,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(Case No. 21-cv-720);</w:t>
      </w:r>
      <w:r>
        <w:rPr>
          <w:rFonts w:ascii="Arial" w:cs="Arial" w:eastAsia="Arial" w:hAnsi="Arial"/>
          <w:sz w:val="18"/>
          <w:szCs w:val="18"/>
          <w:i w:val="1"/>
          <w:iCs w:val="1"/>
          <w:color w:val="auto"/>
        </w:rPr>
        <w:t xml:space="preserve"> Brury, et al. v. Lordstown Motors Corp., et al. </w:t>
      </w:r>
      <w:r>
        <w:rPr>
          <w:rFonts w:ascii="Arial" w:cs="Arial" w:eastAsia="Arial" w:hAnsi="Arial"/>
          <w:sz w:val="18"/>
          <w:szCs w:val="18"/>
          <w:color w:val="auto"/>
        </w:rPr>
        <w:t>(Case No. 21-cv-760));</w:t>
      </w:r>
      <w:r>
        <w:rPr>
          <w:rFonts w:ascii="Arial" w:cs="Arial" w:eastAsia="Arial" w:hAnsi="Arial"/>
          <w:sz w:val="18"/>
          <w:szCs w:val="18"/>
          <w:i w:val="1"/>
          <w:iCs w:val="1"/>
          <w:color w:val="auto"/>
        </w:rPr>
        <w:t xml:space="preserve"> Romano et al</w:t>
      </w:r>
      <w:r>
        <w:rPr>
          <w:rFonts w:ascii="Arial" w:cs="Arial" w:eastAsia="Arial" w:hAnsi="Arial"/>
          <w:sz w:val="18"/>
          <w:szCs w:val="18"/>
          <w:color w:val="auto"/>
        </w:rPr>
        <w:t>.</w:t>
      </w:r>
      <w:r>
        <w:rPr>
          <w:rFonts w:ascii="Arial" w:cs="Arial" w:eastAsia="Arial" w:hAnsi="Arial"/>
          <w:sz w:val="18"/>
          <w:szCs w:val="18"/>
          <w:i w:val="1"/>
          <w:iCs w:val="1"/>
          <w:color w:val="auto"/>
        </w:rPr>
        <w:t xml:space="preserve"> v. Lordstown Motors Corp., et al., </w:t>
      </w:r>
      <w:r>
        <w:rPr>
          <w:rFonts w:ascii="Arial" w:cs="Arial" w:eastAsia="Arial" w:hAnsi="Arial"/>
          <w:sz w:val="18"/>
          <w:szCs w:val="18"/>
          <w:color w:val="auto"/>
        </w:rPr>
        <w:t>(Case No. 21-cv-994); and</w:t>
      </w:r>
      <w:r>
        <w:rPr>
          <w:rFonts w:ascii="Arial" w:cs="Arial" w:eastAsia="Arial" w:hAnsi="Arial"/>
          <w:sz w:val="18"/>
          <w:szCs w:val="18"/>
          <w:i w:val="1"/>
          <w:iCs w:val="1"/>
          <w:color w:val="auto"/>
        </w:rPr>
        <w:t xml:space="preserve"> FNY Managed Accounts LLC, et al. v. Lordstown Motors Corp. et al., </w:t>
      </w:r>
      <w:r>
        <w:rPr>
          <w:rFonts w:ascii="Arial" w:cs="Arial" w:eastAsia="Arial" w:hAnsi="Arial"/>
          <w:sz w:val="18"/>
          <w:szCs w:val="18"/>
          <w:color w:val="auto"/>
        </w:rPr>
        <w:t>(Case No. 21-cv-1021)), asserting violations of federal securities laws under Section 10(b),</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14(a), Section 20(a), and Section 20A of the Exchange Act. The complaints generally allege that the Company and individual defendants made materially false and misleading statements relating to vehicle pre-orders and production timeline. The matters have been consolidated and the Court appointed George Troicky as lead plaintiff and Labaton Sucharow LLP as lead plaintiffs’ counsel.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w:t>
      </w:r>
      <w:r>
        <w:rPr>
          <w:rFonts w:ascii="Arial" w:cs="Arial" w:eastAsia="Arial" w:hAnsi="Arial"/>
          <w:sz w:val="18"/>
          <w:szCs w:val="18"/>
          <w:i w:val="1"/>
          <w:iCs w:val="1"/>
          <w:color w:val="auto"/>
        </w:rPr>
        <w:t>Cohen, et al. v. Burns, et al.</w:t>
      </w:r>
      <w:r>
        <w:rPr>
          <w:rFonts w:ascii="Arial" w:cs="Arial" w:eastAsia="Arial" w:hAnsi="Arial"/>
          <w:sz w:val="18"/>
          <w:szCs w:val="18"/>
          <w:color w:val="auto"/>
        </w:rPr>
        <w:t xml:space="preserve"> (Case No. 21-cv-604); </w:t>
      </w:r>
      <w:r>
        <w:rPr>
          <w:rFonts w:ascii="Arial" w:cs="Arial" w:eastAsia="Arial" w:hAnsi="Arial"/>
          <w:sz w:val="18"/>
          <w:szCs w:val="18"/>
          <w:i w:val="1"/>
          <w:iCs w:val="1"/>
          <w:color w:val="auto"/>
        </w:rPr>
        <w:t>Kelley, et al. v. Burns, et al.</w:t>
      </w:r>
      <w:r>
        <w:rPr>
          <w:rFonts w:ascii="Arial" w:cs="Arial" w:eastAsia="Arial" w:hAnsi="Arial"/>
          <w:sz w:val="18"/>
          <w:szCs w:val="18"/>
          <w:color w:val="auto"/>
        </w:rPr>
        <w:t xml:space="preserve"> (Case No. 12-cv-724); </w:t>
      </w:r>
      <w:r>
        <w:rPr>
          <w:rFonts w:ascii="Arial" w:cs="Arial" w:eastAsia="Arial" w:hAnsi="Arial"/>
          <w:sz w:val="18"/>
          <w:szCs w:val="18"/>
          <w:i w:val="1"/>
          <w:iCs w:val="1"/>
          <w:color w:val="auto"/>
        </w:rPr>
        <w:t>Patterson, et al. v. Burns, et al.</w:t>
      </w:r>
      <w:r>
        <w:rPr>
          <w:rFonts w:ascii="Arial" w:cs="Arial" w:eastAsia="Arial" w:hAnsi="Arial"/>
          <w:sz w:val="18"/>
          <w:szCs w:val="18"/>
          <w:color w:val="auto"/>
        </w:rPr>
        <w:t xml:space="preserve"> (Case No. 21-cv-910); </w:t>
      </w:r>
      <w:r>
        <w:rPr>
          <w:rFonts w:ascii="Arial" w:cs="Arial" w:eastAsia="Arial" w:hAnsi="Arial"/>
          <w:sz w:val="18"/>
          <w:szCs w:val="18"/>
          <w:i w:val="1"/>
          <w:iCs w:val="1"/>
          <w:color w:val="auto"/>
        </w:rPr>
        <w:t>Sarabia v. Burns, et al</w:t>
      </w:r>
      <w:r>
        <w:rPr>
          <w:rFonts w:ascii="Arial" w:cs="Arial" w:eastAsia="Arial" w:hAnsi="Arial"/>
          <w:sz w:val="18"/>
          <w:szCs w:val="18"/>
          <w:color w:val="auto"/>
        </w:rPr>
        <w:t>. (Case No. 21-cv-1010)), asserting violations of Sections 14(a) and 20(a)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breach of fiduciary duty under </w:t>
      </w:r>
      <w:r>
        <w:rPr>
          <w:rFonts w:ascii="Arial" w:cs="Arial" w:eastAsia="Arial" w:hAnsi="Arial"/>
          <w:sz w:val="18"/>
          <w:szCs w:val="18"/>
          <w:i w:val="1"/>
          <w:iCs w:val="1"/>
          <w:color w:val="auto"/>
        </w:rPr>
        <w:t>Brophy</w:t>
      </w:r>
      <w:r>
        <w:rPr>
          <w:rFonts w:ascii="Arial" w:cs="Arial" w:eastAsia="Arial" w:hAnsi="Arial"/>
          <w:sz w:val="18"/>
          <w:szCs w:val="18"/>
          <w:color w:val="auto"/>
        </w:rPr>
        <w:t>, breach of fiduciary duty, insider selling, unjust enrichment, and waste and in two of those cases (</w:t>
      </w:r>
      <w:r>
        <w:rPr>
          <w:rFonts w:ascii="Arial" w:cs="Arial" w:eastAsia="Arial" w:hAnsi="Arial"/>
          <w:sz w:val="18"/>
          <w:szCs w:val="18"/>
          <w:i w:val="1"/>
          <w:iCs w:val="1"/>
          <w:color w:val="auto"/>
        </w:rPr>
        <w:t>Cohen</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Kelley</w:t>
      </w:r>
      <w:r>
        <w:rPr>
          <w:rFonts w:ascii="Arial" w:cs="Arial" w:eastAsia="Arial" w:hAnsi="Arial"/>
          <w:sz w:val="18"/>
          <w:szCs w:val="18"/>
          <w:color w:val="auto"/>
        </w:rPr>
        <w:t>), violations of Sections 10(b) and 20 of the Exchange Act, and Rule 10b-5, all relating to vehicle pre-orders, production timeline, and the merger between DiamondPeak and Legacy Lordstown. Another related stockholder derivative lawsuit was filed in U.S. District Court for the Northern District of Ohio on June 30, 2021 (</w:t>
      </w:r>
      <w:r>
        <w:rPr>
          <w:rFonts w:ascii="Arial" w:cs="Arial" w:eastAsia="Arial" w:hAnsi="Arial"/>
          <w:sz w:val="18"/>
          <w:szCs w:val="18"/>
          <w:i w:val="1"/>
          <w:iCs w:val="1"/>
          <w:color w:val="auto"/>
        </w:rPr>
        <w:t>Thai et al. v. Burns, et al.</w:t>
      </w:r>
      <w:r>
        <w:rPr>
          <w:rFonts w:ascii="Arial" w:cs="Arial" w:eastAsia="Arial" w:hAnsi="Arial"/>
          <w:sz w:val="18"/>
          <w:szCs w:val="18"/>
          <w:color w:val="auto"/>
        </w:rPr>
        <w:t xml:space="preserve"> (Case No. 21-cv-1267)), asserting violations under the Sections 10(b), 14(a), 20, 21D of the Exchange Act and Rule 10b-5, breach of fiduciary duties, unjust enrichment, abuse of control, gross mismanagement, and waste, based largely on the same alleged facts as the other derivative lawsuits. The first two filed derivative actions, </w:t>
      </w:r>
      <w:r>
        <w:rPr>
          <w:rFonts w:ascii="Arial" w:cs="Arial" w:eastAsia="Arial" w:hAnsi="Arial"/>
          <w:sz w:val="18"/>
          <w:szCs w:val="18"/>
          <w:i w:val="1"/>
          <w:iCs w:val="1"/>
          <w:color w:val="auto"/>
        </w:rPr>
        <w:t>Cohen</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Kelley</w:t>
      </w:r>
      <w:r>
        <w:rPr>
          <w:rFonts w:ascii="Arial" w:cs="Arial" w:eastAsia="Arial" w:hAnsi="Arial"/>
          <w:sz w:val="18"/>
          <w:szCs w:val="18"/>
          <w:color w:val="auto"/>
        </w:rPr>
        <w:t xml:space="preserve">, were consolidated on June 10, 2021 and Johnson Fistel, LLP and Glancy Prongay &amp; Murray LLP were appointed as co-lead counsel for plaintiffs in the consolidated derivative action. The consolidation and appointment of lead counsel both occurred prior to the filing of </w:t>
      </w:r>
      <w:r>
        <w:rPr>
          <w:rFonts w:ascii="Arial" w:cs="Arial" w:eastAsia="Arial" w:hAnsi="Arial"/>
          <w:sz w:val="18"/>
          <w:szCs w:val="18"/>
          <w:i w:val="1"/>
          <w:iCs w:val="1"/>
          <w:color w:val="auto"/>
        </w:rPr>
        <w:t>Patterson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Sarabia</w:t>
      </w:r>
      <w:r>
        <w:rPr>
          <w:rFonts w:ascii="Arial" w:cs="Arial" w:eastAsia="Arial" w:hAnsi="Arial"/>
          <w:sz w:val="18"/>
          <w:szCs w:val="18"/>
          <w:color w:val="auto"/>
        </w:rPr>
        <w:t xml:space="preserve">. It is unclear whether or to what extent the filing of </w:t>
      </w:r>
      <w:r>
        <w:rPr>
          <w:rFonts w:ascii="Arial" w:cs="Arial" w:eastAsia="Arial" w:hAnsi="Arial"/>
          <w:sz w:val="18"/>
          <w:szCs w:val="18"/>
          <w:i w:val="1"/>
          <w:iCs w:val="1"/>
          <w:color w:val="auto"/>
        </w:rPr>
        <w:t>Patterson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Sarabia</w:t>
      </w:r>
      <w:r>
        <w:rPr>
          <w:rFonts w:ascii="Arial" w:cs="Arial" w:eastAsia="Arial" w:hAnsi="Arial"/>
          <w:sz w:val="18"/>
          <w:szCs w:val="18"/>
          <w:color w:val="auto"/>
        </w:rPr>
        <w:t xml:space="preserve"> will affect the consolidated matter or the status of the lead counsel. In addition, between approximately March 26, 2021 and June 24, 2021, LMC received five demands for books and records pursuant to Section 220 of the Delaware General Corporation Law from stockholders who state they are investigating whether to file similar derivative lawsuits, among other purposes. On or around July 26, 2021, the Company received a stockholder litigation demand that the Company’s board of directors investigate and commence legal proceedings against certain current and former officers and directors based on alleged breaches of fiduciary duties, corporate waste, and unjust enrichment. We intend to vigorously defend against the claims. The proceedings are subject to uncertainties inherent in the litigation process. We cannot predict the outcome of these matters or estimate the possible loss or range of possible loss, if any.</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202"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RELATED PARTY TRANSACTIONS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“Agreements”) with GM. Pursuant to the Agreements, the Company incurred debt to GM recorded as a related party note payable in the principal amount of $20.0 million, secured by the real property described in Note 4. The Company had imputed interest of 5% on the related party note payable until February 1, 2020 when the stated interest rate of 7% began per the terms of the Agreement. Interest for the three months ended March 31, 2020 totaled $0.3 million which was capitalized as part of PP&amp;E as described in Note 4. This note which totaled $20.8 million as of the date of the Closing, was converted to equity during the Business Combination described in Note 1.</w:t>
      </w:r>
    </w:p>
    <w:p>
      <w:pPr>
        <w:spacing w:after="0" w:line="20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In conjunction with the Operating Agreement described above, the Company was also required to reimburse GM for expenditures related to general plant maintenance and compliance associated with the Lordstown facility. The Company recorded expenses of $2.1 million during the six months ended June 30, 2020 on the Statement of Operations. Additionally, during the six months ended June 30, 2020, the Company purchased property from GM for $ 1.2 million which was recorded to CIP. As of the date of the Closing described in Note 1, we had accrued a total of $5.9 million as a Due to Related Party liability which was converted to equity as part of the Business Combination.</w:t>
      </w:r>
    </w:p>
    <w:p>
      <w:pPr>
        <w:spacing w:after="0" w:line="20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$ 10.0 million secured by the Company’s property, plant and equipment and intangible assets. Pursuant to the terms of the Convertible Note, the Company had the ability to periodically draw down on the Convertible Note to meet its working capital needs. The balance of this note was converted to equity at closing of the Business Combination described in Note 1.</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2022, 2023 and 2024, it is possible that this agreement could extend beyond these model years if we do not achieve ten or more months of production during those annual production/model years.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represents an advance on royalties due on 1% of the gross sales price of the first 200,000 vehicles sold, but only to the extent that the aggregate amount of such royalty fees exceeds the amount paid upfront. The upfront royalty payment was recorded as a prepaid expense as of December 31, 2020, but reclassified to other non-current assets as of June 30, 2021 based on our revised production timeline. These amounts will be amortized as a percent of each vehicle sold.</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CAPITAL STOCK AND LOSS PER SHARE</w:t>
      </w:r>
    </w:p>
    <w:p>
      <w:pPr>
        <w:spacing w:after="0" w:line="234"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231F20"/>
        </w:rPr>
        <w:t>Our Charter provides for 312 million authorized shares of capital stock, consisting of (i) 300 million shares of Class A common stock and (ii) 12 million shares of preferred stock each with a par value of $0.0001. We had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 xml:space="preserve">176.6 million and 168.0 million shares of common stock issued and outstanding </w:t>
      </w:r>
      <w:r>
        <w:rPr>
          <w:rFonts w:ascii="Arial" w:cs="Arial" w:eastAsia="Arial" w:hAnsi="Arial"/>
          <w:sz w:val="18"/>
          <w:szCs w:val="18"/>
          <w:color w:val="231F20"/>
        </w:rPr>
        <w:t>a</w:t>
      </w:r>
      <w:r>
        <w:rPr>
          <w:rFonts w:ascii="Arial" w:cs="Arial" w:eastAsia="Arial" w:hAnsi="Arial"/>
          <w:sz w:val="18"/>
          <w:szCs w:val="18"/>
          <w:color w:val="auto"/>
        </w:rPr>
        <w:t>s of June 30, 2021 and December 31, 2020, respectively.</w:t>
      </w:r>
    </w:p>
    <w:p>
      <w:pPr>
        <w:spacing w:after="0" w:line="197"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three months ended June 30, 2021, our share equivalent included 3.8 million options,1.6 million BGL Warrants, and 2.3 million Private Warrants outstanding. None of the stock options or warrants were included in the calculation of diluted EPS because we recorded a net loss for the three and six months ended June 30, 2021 and June 30, 2020 as including these instruments would be anti-dilutive.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180" w:type="dxa"/>
            <w:vAlign w:val="bottom"/>
          </w:tcPr>
          <w:p>
            <w:pPr>
              <w:spacing w:after="0"/>
              <w:rPr>
                <w:sz w:val="15"/>
                <w:szCs w:val="15"/>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 2021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June 30, 2020</w:t>
            </w: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June 30, 2020</w:t>
            </w:r>
          </w:p>
        </w:tc>
      </w:tr>
      <w:tr>
        <w:trPr>
          <w:trHeight w:val="182"/>
        </w:trPr>
        <w:tc>
          <w:tcPr>
            <w:tcW w:w="3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Basic and diluted weighted average</w:t>
            </w:r>
          </w:p>
        </w:tc>
        <w:tc>
          <w:tcPr>
            <w:tcW w:w="1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203"/>
        </w:trPr>
        <w:tc>
          <w:tcPr>
            <w:tcW w:w="3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shares outstanding</w:t>
            </w:r>
          </w:p>
        </w:tc>
        <w:tc>
          <w:tcPr>
            <w:tcW w:w="144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176,585</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2"/>
              <w:spacing w:after="0" w:line="203" w:lineRule="exact"/>
              <w:rPr>
                <w:sz w:val="20"/>
                <w:szCs w:val="20"/>
                <w:color w:val="auto"/>
              </w:rPr>
            </w:pPr>
            <w:r>
              <w:rPr>
                <w:rFonts w:ascii="Arial" w:cs="Arial" w:eastAsia="Arial" w:hAnsi="Arial"/>
                <w:sz w:val="18"/>
                <w:szCs w:val="18"/>
                <w:color w:val="auto"/>
              </w:rPr>
              <w:t>73,951</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175,595</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72,931</w:t>
            </w:r>
          </w:p>
        </w:tc>
      </w:tr>
      <w:tr>
        <w:trPr>
          <w:trHeight w:val="257"/>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NOTE 9 — SUBSEQUENT EVENT</w:t>
            </w: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an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 xml:space="preserve">committed to purchase up to $400 million of our Class A common stock, at our direction from time to time, subject to the satisfaction of certain conditions. </w:t>
      </w:r>
      <w:r>
        <w:rPr>
          <w:rFonts w:ascii="Arial" w:cs="Arial" w:eastAsia="Arial" w:hAnsi="Arial"/>
          <w:sz w:val="18"/>
          <w:szCs w:val="18"/>
          <w:color w:val="000000"/>
        </w:rPr>
        <w:t>Such sales of Class A common stock, if any, will be subject to</w:t>
      </w:r>
      <w:r>
        <w:rPr>
          <w:rFonts w:ascii="Arial" w:cs="Arial" w:eastAsia="Arial" w:hAnsi="Arial"/>
          <w:sz w:val="18"/>
          <w:szCs w:val="18"/>
          <w:color w:val="231F20"/>
        </w:rPr>
        <w:t xml:space="preserve"> </w:t>
      </w:r>
      <w:r>
        <w:rPr>
          <w:rFonts w:ascii="Arial" w:cs="Arial" w:eastAsia="Arial" w:hAnsi="Arial"/>
          <w:sz w:val="18"/>
          <w:szCs w:val="18"/>
          <w:color w:val="000000"/>
        </w:rPr>
        <w:t>certain limitations, and may occur from time to time at our sole discretion, over the approximately 36-month period commencing on the date of the Purchase Agreement, provided that a registration statement covering the resale by YA of the shares of Class A common stock purchased from us is declared effective by the SEC and the other conditions set forth in the Purchase Agreement are satisfied. We filed the registration statement with the SEC on July 30, 2021, and it was declared effective on August 11, 2021.</w:t>
      </w:r>
    </w:p>
    <w:p>
      <w:pPr>
        <w:spacing w:after="0" w:line="20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Under applicable Nasdaq rules and the Purchase Agreement, we will not sell to YA shares of our Class A common stock in excess of 35,144,690 shares (the “Exchange Cap”), which is 19.9% of the shares of Class A common stock outstanding immediately prior to the execution of the Purchase Agreement, unless (i) we obtain stockholder approval to issue shares of Class A common stock in excess of the Exchange Cap or (ii) the average price of all applicable sales of shares of Class A common stock under the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Purchase Agreement; or (ii) the average Nasdaq Official Closing Price of the Common Shares (as reflected on Nasdaq.com) for the five trading days immediately preceding the signing of the Purchase Agreement). At current market prices of our shares of Class A common stock, without stockholder approval, the Exchange Cap would limit the amount of funds we are able to raise to significantly less than the $400 million commitment under the Purchase Agreement.</w:t>
      </w:r>
    </w:p>
    <w:p>
      <w:pPr>
        <w:spacing w:after="0" w:line="20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may direct YA to purchase amounts of our Class A common stock under the Purchase Agreement that we specify from time to time in a written notice (an “Advance Notice”) delivered to YA on any trading day. The maximum amount that we may specify in an Advance Notice is equal to the lesser of: (i) an amount equal to thirty percent (30%) of the 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of the conditions under the Purchase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Agreement, we may deliver Advance Notices from time to time, provided that we have delivered all shares relating to all prior Advance Notices. The purchase price of the shares of Class A common stock will be equal to 97% of the simple average of the daily VWAPs for the three trading days following the Advance Notice as set forth in the Purchase Agreement.</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Purchase Agreement, upon execution of the Purchase Agreement, the Company issued 371,287 shares of its Class A common stock to YA (the “Commitment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above and Item 1A. Risk Factors in our Form 10-K/A and this Form 10-Q for a discussion of these risks and uncertainties.</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w:t>
      </w:r>
      <w:r>
        <w:rPr>
          <w:rFonts w:ascii="Arial" w:cs="Arial" w:eastAsia="Arial" w:hAnsi="Arial"/>
          <w:sz w:val="16"/>
          <w:szCs w:val="16"/>
          <w:color w:val="auto"/>
        </w:rPr>
        <w:t>.</w:t>
      </w:r>
      <w:r>
        <w:rPr>
          <w:rFonts w:ascii="Arial" w:cs="Arial" w:eastAsia="Arial" w:hAnsi="Arial"/>
          <w:sz w:val="18"/>
          <w:szCs w:val="18"/>
          <w:color w:val="auto"/>
        </w:rPr>
        <w:t xml:space="preserve"> In addition, we intend to leverage our technologies by investing in the development additional all-electric vehicles geared for the commercial market. Located in Lordstown, Ohio, the Lordstown Complex spans 6.2 million square feet and is in a near-production-ready state. We also intend to build company-owned service centers where we offer maintenance, repair, parts, and other services related to our products.</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Since inception, we have been developing our flagship vehicle, the Endurance, an electric full-size pickup truck</w:t>
      </w:r>
      <w:r>
        <w:rPr>
          <w:rFonts w:ascii="Arial" w:cs="Arial" w:eastAsia="Arial" w:hAnsi="Arial"/>
          <w:sz w:val="18"/>
          <w:szCs w:val="18"/>
          <w:b w:val="1"/>
          <w:bCs w:val="1"/>
          <w:color w:val="auto"/>
        </w:rPr>
        <w:t>.</w:t>
      </w:r>
      <w:r>
        <w:rPr>
          <w:rFonts w:ascii="Arial" w:cs="Arial" w:eastAsia="Arial" w:hAnsi="Arial"/>
          <w:sz w:val="18"/>
          <w:szCs w:val="18"/>
          <w:color w:val="auto"/>
        </w:rPr>
        <w:t xml:space="preserve"> We introduced the Endurance in June 2020 and have been building beta vehicles during the first half of 2021. We are on track to begin early production units in the late September 2021 and complete vehicle validation and regulatory approvals in December 2021 to January 2022. We expect this will be followed by deployments to selected early customers in the first quarter of 2022 in advance of commercial production and launch in the second quarter of 2022, with the ramp planned to accelerate in the second half of 2022, subject to receipt of adequate financing.</w:t>
      </w:r>
    </w:p>
    <w:p>
      <w:pPr>
        <w:spacing w:after="0" w:line="99"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This responsible commercial plan is important for three reasons: 1) to ensure that we provide our fleet customers with the time necessary to experience and then build out the necessary charging infrastructure for larger deployments and for them to gain experience with the Endurance’s performance in the real-world; 2) to manage our supply chain challenges prudently, particularly as shortages and COVID impacts persist through the next few quarters; and 3) to fortify our capital position to fully support our commercial launch.</w:t>
      </w:r>
    </w:p>
    <w:p>
      <w:pPr>
        <w:spacing w:after="0" w:line="94"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Our goal is to achieve a leadership position as an OEM vehicle supplier to the commercial fleet industry. We intend to do so by focusing on the following strengths:</w:t>
      </w:r>
    </w:p>
    <w:p>
      <w:pPr>
        <w:spacing w:after="0" w:line="197" w:lineRule="exact"/>
        <w:rPr>
          <w:sz w:val="20"/>
          <w:szCs w:val="20"/>
          <w:color w:val="auto"/>
        </w:rPr>
      </w:pPr>
    </w:p>
    <w:p>
      <w:pPr>
        <w:ind w:left="720" w:right="67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highly experienced and proven senior management team with over 100 years of collective experience in the automotive and electric vehicle areas from prominent OEMs, including Workhorse Group, Tesla, Karma, Toyota, GM, Hyundai and Volkswagen;</w:t>
      </w:r>
    </w:p>
    <w:p>
      <w:pPr>
        <w:spacing w:after="0" w:line="94" w:lineRule="exact"/>
        <w:rPr>
          <w:rFonts w:ascii="Arial" w:cs="Arial" w:eastAsia="Arial" w:hAnsi="Arial"/>
          <w:sz w:val="18"/>
          <w:szCs w:val="18"/>
          <w:color w:val="auto"/>
        </w:rPr>
      </w:pPr>
    </w:p>
    <w:p>
      <w:pPr>
        <w:jc w:val="both"/>
        <w:ind w:left="720" w:right="39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near-production-ready, strategically located manufacturing Lordstown Complex, that we believe offers significant advantages in terms of the time and cost necessary to reach full-scale commercial production;</w:t>
      </w:r>
    </w:p>
    <w:p>
      <w:pPr>
        <w:spacing w:after="0" w:line="94" w:lineRule="exact"/>
        <w:rPr>
          <w:rFonts w:ascii="Arial" w:cs="Arial" w:eastAsia="Arial" w:hAnsi="Arial"/>
          <w:sz w:val="18"/>
          <w:szCs w:val="18"/>
          <w:color w:val="auto"/>
        </w:rPr>
      </w:pPr>
    </w:p>
    <w:p>
      <w:pPr>
        <w:ind w:left="720" w:right="59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800,000 square feet within the plant complex allocated for in-wheel hub motor and lithium-ion battery pack production and assembly, which together will account for our propulsion production;</w:t>
      </w:r>
    </w:p>
    <w:p>
      <w:pPr>
        <w:spacing w:after="0" w:line="94" w:lineRule="exact"/>
        <w:rPr>
          <w:rFonts w:ascii="Arial" w:cs="Arial" w:eastAsia="Arial" w:hAnsi="Arial"/>
          <w:sz w:val="18"/>
          <w:szCs w:val="18"/>
          <w:color w:val="auto"/>
        </w:rPr>
      </w:pPr>
    </w:p>
    <w:p>
      <w:pPr>
        <w:ind w:left="720" w:right="11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unique and efficient design of the Endurance incorporating advanced technology and engineering, including the use of in-wheel hub motors resulting in what we believe will be the fewest moving parts of any comparable vehicle currently available; and</w:t>
      </w:r>
    </w:p>
    <w:p>
      <w:pPr>
        <w:spacing w:after="0" w:line="94" w:lineRule="exact"/>
        <w:rPr>
          <w:rFonts w:ascii="Arial" w:cs="Arial" w:eastAsia="Arial" w:hAnsi="Arial"/>
          <w:sz w:val="18"/>
          <w:szCs w:val="18"/>
          <w:color w:val="auto"/>
        </w:rPr>
      </w:pPr>
    </w:p>
    <w:p>
      <w:pPr>
        <w:ind w:left="720" w:right="13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safe, reliable and efficient vehicle, designed for and targeted to the needs of the fleet market, that we believe will offer a significantly reduced total cost of ownership and compelling value as compared to currently available alternatives.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We are also evaluating whether there are opportunities to strategically leverage the value of our facility and technologies through potential relationships with third parties as a means to generate financing and revenues. Such relationships could include, but are not limited to, third parties building vehicles in our facility, us building vehicles for third parties or sales of our technologies, such as battery packs or hub motors, to third parties.</w:t>
      </w:r>
    </w:p>
    <w:p>
      <w:pPr>
        <w:spacing w:after="0" w:line="167" w:lineRule="exact"/>
        <w:rPr>
          <w:sz w:val="20"/>
          <w:szCs w:val="20"/>
          <w:color w:val="auto"/>
        </w:rPr>
      </w:pPr>
    </w:p>
    <w:p>
      <w:pPr>
        <w:ind w:left="4100" w:right="2679" w:hanging="4044"/>
        <w:spacing w:after="0" w:line="271" w:lineRule="auto"/>
        <w:rPr>
          <w:sz w:val="20"/>
          <w:szCs w:val="20"/>
          <w:color w:val="auto"/>
        </w:rPr>
      </w:pPr>
      <w:r>
        <w:rPr>
          <w:rFonts w:ascii="Arial" w:cs="Arial" w:eastAsia="Arial" w:hAnsi="Arial"/>
          <w:sz w:val="18"/>
          <w:szCs w:val="18"/>
          <w:b w:val="1"/>
          <w:bCs w:val="1"/>
          <w:color w:val="auto"/>
        </w:rPr>
        <w:t xml:space="preserve">Results of Operations for the three months ended June 30, 2021 and 2020 </w:t>
      </w:r>
      <w:r>
        <w:rPr>
          <w:rFonts w:ascii="Arial" w:cs="Arial" w:eastAsia="Arial" w:hAnsi="Arial"/>
          <w:sz w:val="18"/>
          <w:szCs w:val="18"/>
          <w:color w:val="auto"/>
        </w:rPr>
        <w:t>(in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5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8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20" w:type="dxa"/>
            <w:vAlign w:val="bottom"/>
          </w:tcPr>
          <w:p>
            <w:pPr>
              <w:spacing w:after="0"/>
              <w:rPr>
                <w:sz w:val="18"/>
                <w:szCs w:val="18"/>
                <w:color w:val="auto"/>
              </w:rPr>
            </w:pPr>
          </w:p>
        </w:tc>
      </w:tr>
      <w:tr>
        <w:trPr>
          <w:trHeight w:val="196"/>
        </w:trPr>
        <w:tc>
          <w:tcPr>
            <w:tcW w:w="58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110,337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9,941</w:t>
            </w:r>
          </w:p>
        </w:tc>
        <w:tc>
          <w:tcPr>
            <w:tcW w:w="20" w:type="dxa"/>
            <w:vAlign w:val="bottom"/>
          </w:tcPr>
          <w:p>
            <w:pPr>
              <w:spacing w:after="0"/>
              <w:rPr>
                <w:sz w:val="17"/>
                <w:szCs w:val="17"/>
                <w:color w:val="auto"/>
              </w:rPr>
            </w:pPr>
          </w:p>
        </w:tc>
      </w:tr>
      <w:tr>
        <w:trPr>
          <w:trHeight w:val="196"/>
        </w:trPr>
        <w:tc>
          <w:tcPr>
            <w:tcW w:w="588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(110,337)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(9,941)</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8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2,346</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20" w:type="dxa"/>
            <w:vAlign w:val="bottom"/>
          </w:tcPr>
          <w:p>
            <w:pPr>
              <w:spacing w:after="0"/>
              <w:rPr>
                <w:sz w:val="17"/>
                <w:szCs w:val="17"/>
                <w:color w:val="auto"/>
              </w:rPr>
            </w:pPr>
          </w:p>
        </w:tc>
      </w:tr>
      <w:tr>
        <w:trPr>
          <w:trHeight w:val="196"/>
        </w:trPr>
        <w:tc>
          <w:tcPr>
            <w:tcW w:w="588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(108,200)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(7,958)</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5880" w:type="dxa"/>
            <w:vAlign w:val="bottom"/>
          </w:tcPr>
          <w:p>
            <w:pPr>
              <w:ind w:left="56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(108,200)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(7,958)</w:t>
            </w:r>
          </w:p>
        </w:tc>
        <w:tc>
          <w:tcPr>
            <w:tcW w:w="20" w:type="dxa"/>
            <w:vAlign w:val="bottom"/>
            <w:tcBorders>
              <w:bottom w:val="single" w:sz="8" w:color="auto"/>
            </w:tcBorders>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34"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Selling and administration expenses increased $28.6 million during the three months ended June 30, 2021 compared to 2020 as Lordstown ramped up organizational activities in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4"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Research and development expenses increased $ 71.8 million during the three months ended June 30, 2021 compared to 2020 as Lordstown continued design and development work on the Endurance.</w:t>
      </w:r>
    </w:p>
    <w:p>
      <w:pPr>
        <w:spacing w:after="0" w:line="175" w:lineRule="exact"/>
        <w:rPr>
          <w:sz w:val="20"/>
          <w:szCs w:val="20"/>
          <w:color w:val="auto"/>
        </w:rPr>
      </w:pPr>
    </w:p>
    <w:p>
      <w:pPr>
        <w:ind w:left="4100" w:right="2879" w:hanging="4044"/>
        <w:spacing w:after="0" w:line="271" w:lineRule="auto"/>
        <w:rPr>
          <w:sz w:val="20"/>
          <w:szCs w:val="20"/>
          <w:color w:val="auto"/>
        </w:rPr>
      </w:pPr>
      <w:r>
        <w:rPr>
          <w:rFonts w:ascii="Arial" w:cs="Arial" w:eastAsia="Arial" w:hAnsi="Arial"/>
          <w:sz w:val="18"/>
          <w:szCs w:val="18"/>
          <w:b w:val="1"/>
          <w:bCs w:val="1"/>
          <w:color w:val="auto"/>
        </w:rPr>
        <w:t xml:space="preserve">Results of Operations for the six months ended June 30, 2021 and 2020 </w:t>
      </w: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2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administrative expenses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Research and development expenses</w:t>
            </w:r>
          </w:p>
        </w:tc>
        <w:tc>
          <w:tcPr>
            <w:tcW w:w="2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2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216,543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(216,543)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(21,931)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Other (expense) income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(17,255)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(expense)</w:t>
            </w:r>
          </w:p>
        </w:tc>
        <w:tc>
          <w:tcPr>
            <w:tcW w:w="2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(233,411)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(19,823)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560"/>
              <w:spacing w:after="0" w:line="196" w:lineRule="exact"/>
              <w:rPr>
                <w:sz w:val="20"/>
                <w:szCs w:val="20"/>
                <w:color w:val="auto"/>
              </w:rPr>
            </w:pPr>
            <w:r>
              <w:rPr>
                <w:rFonts w:ascii="Arial" w:cs="Arial" w:eastAsia="Arial" w:hAnsi="Arial"/>
                <w:sz w:val="18"/>
                <w:szCs w:val="18"/>
                <w:color w:val="auto"/>
              </w:rPr>
              <w:t>Net loss</w:t>
            </w:r>
          </w:p>
        </w:tc>
        <w:tc>
          <w:tcPr>
            <w:tcW w:w="2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(233,411)</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60" w:type="dxa"/>
            <w:vAlign w:val="bottom"/>
            <w:vMerge w:val="restart"/>
          </w:tcPr>
          <w:p>
            <w:pPr>
              <w:jc w:val="right"/>
              <w:ind w:right="125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34"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Selling and administration expenses increased $39.5 million during the six months ended June 30, 2021 compared to 2020 as Lordstown ramped up organizational activities in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4"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Research and development expenses increased $ 155.1 million during the six months ended June 30, 2021 compared to 2020 as Lordstown continued design and development work on the Endurance.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2021, our research and development expenses and capital expenditures have increased significantly over 2020 levels to build capacity and invest in additional products and technologies, and are higher than anticipated due to additional spending needed to (1) complete our beta program, (2) conduct vehicle validation tests, (3) secure necessary parts/equipment for production, and (4) utilize third-party engineering resources. This was due in part to the stress that the COVID-19 pandemic has put on the global automotive supply chain. As we have engaged potential third-party suppliers for certain components, the pricing and/or availability being offered was not consistent with our expectations and timing, so we made a strategic decision to bring development of certain components, such as the frame, in house. While this decision requires more upfront spending and the need for additional funding from future financing, we believe the return on our investments will allow us to control key components and the projected timelines that we establish.</w:t>
      </w:r>
    </w:p>
    <w:p>
      <w:pPr>
        <w:spacing w:after="0" w:line="206" w:lineRule="exact"/>
        <w:rPr>
          <w:sz w:val="20"/>
          <w:szCs w:val="20"/>
          <w:color w:val="auto"/>
        </w:rPr>
      </w:pPr>
    </w:p>
    <w:p>
      <w:pPr>
        <w:ind w:left="60" w:right="439"/>
        <w:spacing w:after="0" w:line="261" w:lineRule="auto"/>
        <w:rPr>
          <w:sz w:val="20"/>
          <w:szCs w:val="20"/>
          <w:color w:val="auto"/>
        </w:rPr>
      </w:pPr>
      <w:r>
        <w:rPr>
          <w:rFonts w:ascii="Arial" w:cs="Arial" w:eastAsia="Arial" w:hAnsi="Arial"/>
          <w:sz w:val="17"/>
          <w:szCs w:val="17"/>
          <w:color w:val="auto"/>
        </w:rPr>
        <w:t>In addition, in order to secure adequate supply of battery cells, we have agreements with certain suppliers which obligate us to purchase a minimum volume at approximately $16.3 million, $139.4 million and $273.6 million in 2021, 2022, and 2023, respectively, subject to change for increases in raw material pricing.</w:t>
      </w:r>
    </w:p>
    <w:p>
      <w:pPr>
        <w:spacing w:after="0" w:line="186"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condensed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20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had cash and cash equivalents of approximately $365.9 million and an accumulated deficit of $367.9 million at June 30, 2021 and a net loss of $233.4 million for the six months ended June 30, 2021. Our ability to continue as a going concern is dependent on our ability to complete the development of our electric vehicles, obtain regulatory approval, begin commercial scale production and launch the sale of such vehicles.</w:t>
      </w:r>
    </w:p>
    <w:p>
      <w:pPr>
        <w:spacing w:after="0" w:line="191" w:lineRule="exact"/>
        <w:rPr>
          <w:sz w:val="20"/>
          <w:szCs w:val="20"/>
          <w:color w:val="auto"/>
        </w:rPr>
      </w:pPr>
    </w:p>
    <w:p>
      <w:pPr>
        <w:ind w:left="60" w:right="499"/>
        <w:spacing w:after="0" w:line="238" w:lineRule="auto"/>
        <w:rPr>
          <w:sz w:val="20"/>
          <w:szCs w:val="20"/>
          <w:color w:val="auto"/>
        </w:rPr>
      </w:pPr>
      <w:r>
        <w:rPr>
          <w:rFonts w:ascii="Arial" w:cs="Arial" w:eastAsia="Arial" w:hAnsi="Arial"/>
          <w:sz w:val="18"/>
          <w:szCs w:val="18"/>
          <w:color w:val="auto"/>
        </w:rPr>
        <w:t>We believe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unaudited condensed consolidated financial statements included in this report.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In an effort 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part of our funding efforts, o</w:t>
      </w:r>
      <w:r>
        <w:rPr>
          <w:rFonts w:ascii="Arial" w:cs="Arial" w:eastAsia="Arial" w:hAnsi="Arial"/>
          <w:sz w:val="18"/>
          <w:szCs w:val="18"/>
          <w:color w:val="231F20"/>
        </w:rPr>
        <w:t>n July 23, 2021, the Company entered into an equity purchase agreement with YA II</w:t>
      </w:r>
      <w:r>
        <w:rPr>
          <w:rFonts w:ascii="Arial" w:cs="Arial" w:eastAsia="Arial" w:hAnsi="Arial"/>
          <w:sz w:val="18"/>
          <w:szCs w:val="18"/>
          <w:color w:val="auto"/>
        </w:rPr>
        <w:t xml:space="preserve"> </w:t>
      </w:r>
      <w:r>
        <w:rPr>
          <w:rFonts w:ascii="Arial" w:cs="Arial" w:eastAsia="Arial" w:hAnsi="Arial"/>
          <w:sz w:val="18"/>
          <w:szCs w:val="18"/>
          <w:color w:val="231F20"/>
        </w:rPr>
        <w:t xml:space="preserve">PN, LTD. (“YA”), pursuant to which YA has committed to purchase up to $400 million of our Class A common stock, at our direction from time to time, subject to the satisfaction of certain conditions. </w:t>
      </w:r>
      <w:r>
        <w:rPr>
          <w:rFonts w:ascii="Arial" w:cs="Arial" w:eastAsia="Arial" w:hAnsi="Arial"/>
          <w:sz w:val="18"/>
          <w:szCs w:val="18"/>
          <w:color w:val="000000"/>
        </w:rPr>
        <w:t>The actual amount that</w:t>
      </w:r>
      <w:r>
        <w:rPr>
          <w:rFonts w:ascii="Arial" w:cs="Arial" w:eastAsia="Arial" w:hAnsi="Arial"/>
          <w:sz w:val="18"/>
          <w:szCs w:val="18"/>
          <w:color w:val="231F20"/>
        </w:rPr>
        <w:t xml:space="preserve"> </w:t>
      </w:r>
      <w:r>
        <w:rPr>
          <w:rFonts w:ascii="Arial" w:cs="Arial" w:eastAsia="Arial" w:hAnsi="Arial"/>
          <w:sz w:val="18"/>
          <w:szCs w:val="18"/>
          <w:color w:val="000000"/>
        </w:rPr>
        <w:t>we raise under this facility will depend on market conditions and other financing alternatives that we are exploring, as well as limitations in the agreement. In particular, at current market prices of our shares of Class A common stock, without stockholder approval, the Exchange Cap provision would limit the amount of funds we are able to raise to significantly less than the $400 million commitment under the Purchase Agreement. See Note 9 to the to the condensed consolidated financial statements for more information</w:t>
      </w:r>
    </w:p>
    <w:p>
      <w:pPr>
        <w:spacing w:after="0" w:line="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 As a result of these uncertainties, and notwithstanding management’s plans and efforts to date, there continues to be substantial doubt about our ability to continue as a going concern.</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If we are successful in completing this stage, we may receive a term sheet, but we cannot guarantee we will reach that stage or be approved for a loan or provide any assurance as to the amount or timing of any loan that we may receive. Broadly speaking, prior ATVM loans were offered at Treasury rates for interest expense, required that the proceeds be spent on plant retooling or R&amp;D activities and have imposed initial cash collateral requirements. We are currently in the due diligence phase and there can be no assurance when or if we will receive an ATVM loan. We are also pursuing tax credits and grants across multiple jurisdictions.</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Expected Endurance production in 2021 will be limited and we will need additional funding in the near term to ramp for 2022 production and to establish higher volume, sustained capacity and generally to reach full scale commercial production as contemplated by our business plan. In order to manage liquidity, expenditures will continue at a reduced pace and will relate primarily to retooling plans that will allow us to provide the limited capacity by the end of 2021 for testing and certifications and to demonstrate the capabilities of the Endurance to customers and financing sources.</w:t>
      </w:r>
    </w:p>
    <w:p>
      <w:pPr>
        <w:spacing w:after="0" w:line="205" w:lineRule="exact"/>
        <w:rPr>
          <w:sz w:val="20"/>
          <w:szCs w:val="20"/>
          <w:color w:val="auto"/>
        </w:rPr>
      </w:pPr>
    </w:p>
    <w:p>
      <w:pPr>
        <w:jc w:val="both"/>
        <w:ind w:left="60" w:right="259"/>
        <w:spacing w:after="0" w:line="261" w:lineRule="auto"/>
        <w:rPr>
          <w:sz w:val="20"/>
          <w:szCs w:val="20"/>
          <w:color w:val="auto"/>
        </w:rPr>
      </w:pPr>
      <w:r>
        <w:rPr>
          <w:rFonts w:ascii="Arial" w:cs="Arial" w:eastAsia="Arial" w:hAnsi="Arial"/>
          <w:sz w:val="17"/>
          <w:szCs w:val="17"/>
          <w:color w:val="231F20"/>
        </w:rPr>
        <w:t>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277"/>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by operating activities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(171,374)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(11,388)</w:t>
            </w: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Cash (used by) provided by investing</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Arial" w:cs="Arial" w:eastAsia="Arial" w:hAnsi="Arial"/>
                <w:sz w:val="18"/>
                <w:szCs w:val="18"/>
                <w:color w:val="auto"/>
              </w:rPr>
              <w:t>activities</w:t>
            </w:r>
          </w:p>
        </w:tc>
        <w:tc>
          <w:tcPr>
            <w:tcW w:w="48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(175,601)</w:t>
            </w:r>
          </w:p>
        </w:tc>
        <w:tc>
          <w:tcPr>
            <w:tcW w:w="4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2,396</w:t>
            </w: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365,900</w:t>
            </w:r>
          </w:p>
        </w:tc>
        <w:tc>
          <w:tcPr>
            <w:tcW w:w="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w:t>
            </w:r>
          </w:p>
        </w:tc>
      </w:tr>
      <w:tr>
        <w:trPr>
          <w:trHeight w:val="85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For the six months ended June 30, 2021 compared to 2020, net cash used by operating activities increased by $160.0 million. This increase was primarily due to a $213.6 million increase of net operating loss offset by changes in working capital, primarily a significant increase in accounts payable and accrued expenses as we have ramped up our research and development and other spending.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Investing Activities</w:t>
      </w:r>
    </w:p>
    <w:p>
      <w:pPr>
        <w:spacing w:after="0" w:line="234"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For the six months ended June 30, 2021 compared to 2020, cash used by investing activities increased $178.0 million primarily due to capital spending in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34" w:lineRule="exact"/>
        <w:rPr>
          <w:sz w:val="20"/>
          <w:szCs w:val="20"/>
          <w:color w:val="auto"/>
        </w:rPr>
      </w:pPr>
    </w:p>
    <w:p>
      <w:pPr>
        <w:jc w:val="both"/>
        <w:ind w:left="60" w:right="519"/>
        <w:spacing w:after="0"/>
        <w:rPr>
          <w:sz w:val="20"/>
          <w:szCs w:val="20"/>
          <w:color w:val="auto"/>
        </w:rPr>
      </w:pPr>
      <w:r>
        <w:rPr>
          <w:rFonts w:ascii="Arial" w:cs="Arial" w:eastAsia="Arial" w:hAnsi="Arial"/>
          <w:sz w:val="18"/>
          <w:szCs w:val="18"/>
          <w:color w:val="auto"/>
        </w:rPr>
        <w:t>For the six months ended June 30, 2021 compared to 2020, cash flows from financing activities increased $75.7 million primarily due to $ 82.0 million of cash proceeds from exercise of warrants net of a $5.3 million decrease in proceeds from the issuance of stock.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June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June 30, 2021, we had cash and cash equivalents of approximately $365.9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3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including our Executive Chairwoman and Interim Chief Financial Officer, as appropriate, to allow timely decisions regarding required disclosure.</w:t>
      </w:r>
    </w:p>
    <w:p>
      <w:pPr>
        <w:spacing w:after="0" w:line="197"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Executive Chairwoman and Interim Chief Financial Officer carried out an evaluation of the effectiveness of the design and operation of our disclosure controls and procedures as of June 30, 2021.</w:t>
      </w:r>
    </w:p>
    <w:p>
      <w:pPr>
        <w:spacing w:after="0" w:line="20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Based upon their evaluation, our Executive Chairwoman and Interim Chief Financial Officer concluded that our disclosure controls and procedures were not effective due to the material weaknesses described below and discussed in our Form 10-K/A for the year ended December 31, 2020.</w:t>
      </w:r>
    </w:p>
    <w:p>
      <w:pPr>
        <w:spacing w:after="0" w:line="20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In the course of preparing the Company’s financial statements for the Form 10-K/A, our management identified the following material weaknesses in internal control over financial reporting:</w:t>
      </w:r>
    </w:p>
    <w:p>
      <w:pPr>
        <w:spacing w:after="0" w:line="197" w:lineRule="exact"/>
        <w:rPr>
          <w:sz w:val="20"/>
          <w:szCs w:val="20"/>
          <w:color w:val="auto"/>
        </w:rPr>
      </w:pPr>
    </w:p>
    <w:p>
      <w:pPr>
        <w:ind w:left="720" w:right="379"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02" w:lineRule="exact"/>
        <w:rPr>
          <w:rFonts w:ascii="Arial" w:cs="Arial" w:eastAsia="Arial" w:hAnsi="Arial"/>
          <w:sz w:val="18"/>
          <w:szCs w:val="18"/>
          <w:color w:val="auto"/>
        </w:rPr>
      </w:pPr>
    </w:p>
    <w:p>
      <w:pPr>
        <w:ind w:left="720" w:right="79"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202" w:lineRule="exact"/>
        <w:rPr>
          <w:rFonts w:ascii="Arial" w:cs="Arial" w:eastAsia="Arial" w:hAnsi="Arial"/>
          <w:sz w:val="18"/>
          <w:szCs w:val="18"/>
          <w:color w:val="auto"/>
        </w:rPr>
      </w:pPr>
    </w:p>
    <w:p>
      <w:pPr>
        <w:ind w:left="720" w:right="619" w:hanging="319"/>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97"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As a consequence, we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the manual journal entries).</w:t>
      </w:r>
    </w:p>
    <w:p>
      <w:pPr>
        <w:spacing w:after="0" w:line="205"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auto"/>
        </w:rPr>
        <w:t>These control deficiencies resulted in the restatement of our December 31, 2020 financial statements as described in Note 2 to the Notes to Consolidated Financial Statements entitled “Restatement of Previously Issued Financial Statements” in the Form 10-K/A. These control deficiencies also caused other immaterial misstatements, some of which were corrected, in our consolidated financial statements as of and for the year ended December 31, 2020. These control deficiencies create a reasonable possibility that a material misstatement to the consolidated financial statements will not be prevented or detected on a timely basis, and therefore we conclude that the deficiencies represent material weaknesses in internal control over financial reporting and our internal control over financial reporting is not effective as of December 31, 2020.</w:t>
      </w:r>
    </w:p>
    <w:p>
      <w:pPr>
        <w:spacing w:after="0" w:line="208" w:lineRule="exact"/>
        <w:rPr>
          <w:sz w:val="20"/>
          <w:szCs w:val="20"/>
          <w:color w:val="auto"/>
        </w:rPr>
      </w:pPr>
    </w:p>
    <w:p>
      <w:pPr>
        <w:ind w:left="60" w:right="419"/>
        <w:spacing w:after="0" w:line="274"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its financial statements would not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be prevented or detected on a timely basis. These deficiencies could result in misstatements to our financial statements that would be material and would not be prevented or detected on a timely basis.</w:t>
      </w:r>
    </w:p>
    <w:p>
      <w:pPr>
        <w:spacing w:after="0" w:line="19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management has prepared a remediation plan to be instituted in 2021 under the oversight of the Audit Committee. The management team has also engaged a third-party consultant to assist in the implementation of our remediation plan. The plan involves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is no assurance that we will be successful in remediating the material weaknesses.</w:t>
      </w:r>
    </w:p>
    <w:p>
      <w:pPr>
        <w:spacing w:after="0" w:line="212"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Notwithstanding the identified material weaknesses, management believes that the condensed consolidated financial statements included in this Quarterly Report on Form 10-Q present fairly in all material respects our consolidated financial position, results of operations and cash flows for the period presented.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discussed above, we are designing and implementing certain measures to remediate the material weaknesses identified in the design and operation of our internal control over financial reporting. There were no other changes in our internal control over financial reporting (as such term is defined in Rules 13a-15(f) and 15d-15(f) of the Exchange Act)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ind w:left="60" w:right="379"/>
        <w:spacing w:after="0" w:line="252" w:lineRule="auto"/>
        <w:rPr>
          <w:sz w:val="20"/>
          <w:szCs w:val="20"/>
          <w:color w:val="auto"/>
        </w:rPr>
      </w:pPr>
      <w:r>
        <w:rPr>
          <w:rFonts w:ascii="Arial" w:cs="Arial" w:eastAsia="Arial" w:hAnsi="Arial"/>
          <w:sz w:val="18"/>
          <w:szCs w:val="18"/>
          <w:color w:val="auto"/>
        </w:rPr>
        <w:t>For a description of our legal proceedings, see Note 6 - Commitments and Contingencies of the notes to the condensed consolidated financial statements of this Quarterly Report on Form 10-Q</w:t>
      </w:r>
      <w:r>
        <w:rPr>
          <w:rFonts w:ascii="Arial" w:cs="Arial" w:eastAsia="Arial" w:hAnsi="Arial"/>
          <w:sz w:val="19"/>
          <w:szCs w:val="19"/>
          <w:color w:val="auto"/>
        </w:rPr>
        <w:t>.</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auto"/>
        </w:rPr>
        <w:t>It is not possible to predict the actual number of shares we will sell to YA under the Purchase Agreement, or the actual gross proceeds resulting from those sales.</w:t>
      </w:r>
    </w:p>
    <w:p>
      <w:pPr>
        <w:spacing w:after="0" w:line="1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On July 23, 2021, we entered into the Purchase Agreement with YA, pursuant to which YA has committed to purchase up to $400 million in shares of our Class A common stock (the “Total Commitment”), subject to certain limitations and conditions set forth in the Purchase Agreement. The shares of our Class A common stock that may be issued under the Purchase Agreement may be sold by us to YA at our discretion from time to time over an approximately 36-month period commencing on the date of the Purchase Agreement.</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generally have the right to control the timing and amount of any sales of our shares of Class A common stock to YA under the Purchase Agreement. Sales of our Class A common stock, if any, to YA under the Purchase Agreement will depend upon market conditions and other factors. We may ultimately decide to sell to YA all, some or none of the shares of our Class A common stock that may be available for us to sell to YA pursuant to the Purchase Agreement.</w:t>
      </w:r>
    </w:p>
    <w:p>
      <w:pPr>
        <w:spacing w:after="0" w:line="189"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auto"/>
        </w:rPr>
        <w:t>Because the purchase price per share to be paid by YA for the shares of Class A common stock that we may elect to sell to YA under the Purchase Agreement, if any, will fluctuate based on the market prices of our Class A common stock during the applicable purchase valuation period for each purchase made pursuant to the Purchase Agreement, if any, it is not possible for us to predict, as of the date hereof and prior to any such sales, the number of shares of Class A common stock that we will sell to YA under the Purchase Agreement, the purchase price per share that YA will pay for shares purchased from us under the Purchase Agreement, or the aggregate gross proceeds that we will receive from those purchases by YA under the Purchase Agreement, if any.</w:t>
      </w:r>
    </w:p>
    <w:p>
      <w:pPr>
        <w:spacing w:after="0" w:line="20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addition, unless we satisfy the exception set forth in the Purchase Agreement based on the average price of our sales thereunder or we obtain stockholder approval, we will not be able to issue shares of Class A common stock in excess of the Exchange Cap under the Purchase Agreement in accordance with applicable Nasdaq rules. Depending on the market prices of our Class A common stock in the future, this could be a significant limitation on the amount of funds we are able to raise pursuant to the Purchase Agreement. For example, at current market prices of our shares of Class A common stock, without stockholder approval, the Exchange Cap would limit the amount of funds we are able to raise to significantly less than the $400 million commitment under the Purchase Agreement. Other limitations in the Purchase Agreement, including the Beneficial Ownership Cap and our ability to meet the conditions necessary to deliver an Advance Notice, could also prevents us from being able to raise funds up to the Total Commitment.</w:t>
      </w:r>
    </w:p>
    <w:p>
      <w:pPr>
        <w:spacing w:after="0" w:line="20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Moreover, although the Purchase Agreement provides that we may sell up to an aggregate of $400 million of our Class A common stock to YA, only 35,144,690 shares of our Class A common stock are being registered for resale by YA under the registration statement filed for such purpose, consisting of (i) the 371,287 Commitment Shares that we issued to YA upon execution of the Purchase Agreement as consideration for its commitment to purchase our Class A common stock under the Purchase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Agreement and (ii) up to 34,773,403 shares of Class A common stock that we may elect to sell to YA, in our sole discretion, from time to time from and after the date of, and pursuant to, the Purchase Agreement. Even if we elect to sell to YA all of the shares of Class A common stock being registered for resale, depending on the market prices of our Class A common stock at the time of such sales, the actual gross proceeds from the sale of all such shares may be substantially less than the $400 million Total Commitment under the Purchase Agreement, which could materially adversely affect our liquidity.</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If we desire to issue and sell to YA under the Purchase Agreement more than the 35,144,690 shares being registered for resale, and the Exchange Cap provisions and other limitations in the Purchase Agreement would allow us to do so, we would need to file with the SEC one or more additional registration statements to register under the Securities Act the resale by YA of any such additional shares of our Class A common stock and the SEC would have to declare such registration statement or statements effective before we could sell additional shares.</w:t>
      </w:r>
    </w:p>
    <w:p>
      <w:pPr>
        <w:spacing w:after="0" w:line="20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Any issuance and sale by us under the Purchase Agreement of a substantial amount of shares of Class A common stock in addition to the shares of Class A common stock being registered for resale by YA could cause additional substantial dilution to our stockholders. The number of shares of our Class A common stock ultimately offered for sale by YA is dependent upon the number of shares of Class A common stock, if any, we ultimately sell to YA under the Purchase Agreement.</w:t>
      </w:r>
    </w:p>
    <w:p>
      <w:pPr>
        <w:spacing w:after="0" w:line="202"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Further, the resale by YA of a significant amount of shares at any given time, or the perception that these sales may occur, could cause the market price of our Class A common stock to decline and to be highly volatile.</w:t>
      </w:r>
    </w:p>
    <w:p>
      <w:pPr>
        <w:spacing w:after="0" w:line="181"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b w:val="1"/>
          <w:bCs w:val="1"/>
          <w:i w:val="1"/>
          <w:iCs w:val="1"/>
          <w:color w:val="auto"/>
        </w:rPr>
        <w:t>We may require additional financing to sustain our operations and without it we will not be able to continue operations.</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extent to which we rely on YA as a source of funding will depend on a number of factors, including the prevailing market price of our Class A common stock, our ability to meet the conditions necessary to deliver Advance Notices under the Purchase Agreement, the impacts of the Exchange Cap and the Beneficial Ownership Cap and the extent to which we are able to secure funding from other sources. Regardless of the amount of funds we ultimately raise under the Purchase Agreement, if any, we expect to continue to seek other sources of funding. Even if we were to sell to YA the Total Commitment under the Purchase Agreement, we will still need additional capital to fully implement our business plan.</w:t>
      </w:r>
    </w:p>
    <w:p>
      <w:pPr>
        <w:spacing w:after="0" w:line="167"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b w:val="1"/>
          <w:bCs w:val="1"/>
          <w:i w:val="1"/>
          <w:iCs w:val="1"/>
          <w:color w:val="auto"/>
        </w:rPr>
        <w:t>Future sales and issuances of our Class A common stock or other securities might result in significant dilution and could cause the price of our Class A common stock to decline.</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To raise capital, we may sell Class A common stock, convertible securities or other equity securities in one or more transactions other than those contemplated by the Purchase Agreement, at prices and in a manner we determine from time to time.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 Any sales of additional shares will dilute our stockholders.</w:t>
      </w:r>
    </w:p>
    <w:p>
      <w:pPr>
        <w:spacing w:after="0" w:line="208"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379"/>
        <w:spacing w:after="0" w:line="246" w:lineRule="auto"/>
        <w:rPr>
          <w:sz w:val="20"/>
          <w:szCs w:val="20"/>
          <w:color w:val="auto"/>
        </w:rPr>
      </w:pPr>
      <w:r>
        <w:rPr>
          <w:rFonts w:ascii="Arial" w:cs="Arial" w:eastAsia="Arial" w:hAnsi="Arial"/>
          <w:sz w:val="18"/>
          <w:szCs w:val="18"/>
          <w:color w:val="auto"/>
        </w:rPr>
        <w:t>to predict the effect that sales may have on the prevailing market price of our Class A common stock. In addition, the sale of substantial amounts of our Class A common stock could adversely impact its price.</w:t>
      </w:r>
    </w:p>
    <w:p>
      <w:pPr>
        <w:spacing w:after="0" w:line="175"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the Purchase Agreement, and uses may not improve our financial condition or market value.</w:t>
      </w:r>
    </w:p>
    <w:p>
      <w:pPr>
        <w:spacing w:after="0" w:line="16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Because we have not designated the amount of net proceeds from the Purchase Agreement to be used for any particular purpose, our management will have broad discretion as to the application of such proceeds. Our management may use the proceeds for working capital and general corporate purposes that may not improve our financial condition or advance our business objectives.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the other information discussed in this report, please consider the factors described in Part I, Item 1A., “Risk Factors” in our Form 10-K/A that could materially affect our business, financial condition or future results. There have not been any material changes to the risk factors described in our Form 10-K/A, but these are not the only risks facing our Company. Additional risks and uncertainties not currently known to us or that we currently deem to be immaterial also may adversely affect our business, financial condition or operating results.</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There were no sales of equity securities during the first half of 2021 that were not registered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346710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12"/>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10.1</w:t>
            </w:r>
          </w:p>
        </w:tc>
        <w:tc>
          <w:tcPr>
            <w:tcW w:w="7440" w:type="dxa"/>
            <w:vAlign w:val="bottom"/>
            <w:tcBorders>
              <w:bottom w:val="single" w:sz="8" w:color="0000EE"/>
            </w:tcBorders>
            <w:gridSpan w:val="10"/>
          </w:tcPr>
          <w:p>
            <w:pPr>
              <w:spacing w:after="0" w:line="155" w:lineRule="exact"/>
              <w:rPr>
                <w:rFonts w:ascii="Arial" w:cs="Arial" w:eastAsia="Arial" w:hAnsi="Arial"/>
                <w:sz w:val="16"/>
                <w:szCs w:val="16"/>
                <w:color w:val="0000EE"/>
              </w:rPr>
            </w:pPr>
            <w:hyperlink r:id="rId45">
              <w:r>
                <w:rPr>
                  <w:rFonts w:ascii="Arial" w:cs="Arial" w:eastAsia="Arial" w:hAnsi="Arial"/>
                  <w:sz w:val="16"/>
                  <w:szCs w:val="16"/>
                  <w:color w:val="0000EE"/>
                </w:rPr>
                <w:t>Management Services Agreement, dated as of June 8, 2021, between AP Services, LLC and Lordstown</w:t>
              </w:r>
            </w:hyperlink>
          </w:p>
        </w:tc>
        <w:tc>
          <w:tcPr>
            <w:tcW w:w="240" w:type="dxa"/>
            <w:vAlign w:val="bottom"/>
            <w:gridSpan w:val="7"/>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56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45">
              <w:r>
                <w:rPr>
                  <w:rFonts w:ascii="Arial" w:cs="Arial" w:eastAsia="Arial" w:hAnsi="Arial"/>
                  <w:sz w:val="16"/>
                  <w:szCs w:val="16"/>
                  <w:color w:val="0000EE"/>
                </w:rPr>
                <w:t>Motors Corp. (incorporated by reference to the Company’s Current Report on Form 8-K filed with the SEC</w:t>
              </w:r>
            </w:hyperlink>
          </w:p>
        </w:tc>
        <w:tc>
          <w:tcPr>
            <w:tcW w:w="1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1300" w:type="dxa"/>
            <w:vAlign w:val="bottom"/>
            <w:tcBorders>
              <w:bottom w:val="single" w:sz="8" w:color="0000EE"/>
            </w:tcBorders>
            <w:gridSpan w:val="4"/>
          </w:tcPr>
          <w:p>
            <w:pPr>
              <w:spacing w:after="0" w:line="169" w:lineRule="exact"/>
              <w:rPr>
                <w:rFonts w:ascii="Arial" w:cs="Arial" w:eastAsia="Arial" w:hAnsi="Arial"/>
                <w:sz w:val="16"/>
                <w:szCs w:val="16"/>
                <w:color w:val="0000EE"/>
                <w:w w:val="99"/>
              </w:rPr>
            </w:pPr>
            <w:hyperlink r:id="rId45">
              <w:r>
                <w:rPr>
                  <w:rFonts w:ascii="Arial" w:cs="Arial" w:eastAsia="Arial" w:hAnsi="Arial"/>
                  <w:sz w:val="16"/>
                  <w:szCs w:val="16"/>
                  <w:color w:val="0000EE"/>
                  <w:w w:val="99"/>
                </w:rPr>
                <w:t>on June 14, 2021)</w:t>
              </w:r>
            </w:hyperlink>
          </w:p>
        </w:tc>
        <w:tc>
          <w:tcPr>
            <w:tcW w:w="6380" w:type="dxa"/>
            <w:vAlign w:val="bottom"/>
            <w:gridSpan w:val="1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w:t>
            </w:r>
          </w:p>
        </w:tc>
        <w:tc>
          <w:tcPr>
            <w:tcW w:w="758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46">
              <w:r>
                <w:rPr>
                  <w:rFonts w:ascii="Arial" w:cs="Arial" w:eastAsia="Arial" w:hAnsi="Arial"/>
                  <w:sz w:val="16"/>
                  <w:szCs w:val="16"/>
                  <w:color w:val="0000EE"/>
                </w:rPr>
                <w:t>Separation and Release Agreement, dated June 13, 2021, between Lordstown Motors Corp. and Stephen</w:t>
              </w:r>
            </w:hyperlink>
          </w:p>
        </w:tc>
        <w:tc>
          <w:tcPr>
            <w:tcW w:w="100" w:type="dxa"/>
            <w:vAlign w:val="bottom"/>
            <w:gridSpan w:val="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8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r:id="rId46">
              <w:r>
                <w:rPr>
                  <w:rFonts w:ascii="Arial" w:cs="Arial" w:eastAsia="Arial" w:hAnsi="Arial"/>
                  <w:sz w:val="16"/>
                  <w:szCs w:val="16"/>
                  <w:color w:val="0000EE"/>
                </w:rPr>
                <w:t>S. Burns (incorporated by reference to the Company’s Current Report on Form 8-K filed with the SEC on</w:t>
              </w:r>
            </w:hyperlink>
          </w:p>
        </w:tc>
        <w:tc>
          <w:tcPr>
            <w:tcW w:w="20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line="169" w:lineRule="exact"/>
              <w:rPr>
                <w:rFonts w:ascii="Arial" w:cs="Arial" w:eastAsia="Arial" w:hAnsi="Arial"/>
                <w:sz w:val="16"/>
                <w:szCs w:val="16"/>
                <w:color w:val="0000EE"/>
                <w:w w:val="99"/>
              </w:rPr>
            </w:pPr>
            <w:hyperlink r:id="rId46">
              <w:r>
                <w:rPr>
                  <w:rFonts w:ascii="Arial" w:cs="Arial" w:eastAsia="Arial" w:hAnsi="Arial"/>
                  <w:sz w:val="16"/>
                  <w:szCs w:val="16"/>
                  <w:color w:val="0000EE"/>
                  <w:w w:val="99"/>
                </w:rPr>
                <w:t>June 14, 2021)</w:t>
              </w:r>
            </w:hyperlink>
          </w:p>
        </w:tc>
        <w:tc>
          <w:tcPr>
            <w:tcW w:w="6600" w:type="dxa"/>
            <w:vAlign w:val="bottom"/>
            <w:gridSpan w:val="14"/>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10.3</w:t>
            </w:r>
          </w:p>
        </w:tc>
        <w:tc>
          <w:tcPr>
            <w:tcW w:w="7680" w:type="dxa"/>
            <w:vAlign w:val="bottom"/>
            <w:gridSpan w:val="17"/>
          </w:tcPr>
          <w:p>
            <w:pPr>
              <w:spacing w:after="0" w:line="169" w:lineRule="exact"/>
              <w:rPr>
                <w:rFonts w:ascii="Arial" w:cs="Arial" w:eastAsia="Arial" w:hAnsi="Arial"/>
                <w:sz w:val="16"/>
                <w:szCs w:val="16"/>
                <w:color w:val="0000EE"/>
              </w:rPr>
            </w:pPr>
            <w:hyperlink r:id="rId47">
              <w:r>
                <w:rPr>
                  <w:rFonts w:ascii="Arial" w:cs="Arial" w:eastAsia="Arial" w:hAnsi="Arial"/>
                  <w:sz w:val="16"/>
                  <w:szCs w:val="16"/>
                  <w:color w:val="0000EE"/>
                </w:rPr>
                <w:t>Separation and Release Agreement, dated June 13, 2021, between Lordstown Motors Corp. and Julio</w:t>
              </w:r>
            </w:hyperlink>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6"/>
                <w:szCs w:val="16"/>
                <w:color w:val="0000EE"/>
              </w:rPr>
            </w:pPr>
            <w:hyperlink r:id="rId47">
              <w:r>
                <w:rPr>
                  <w:rFonts w:ascii="Arial" w:cs="Arial" w:eastAsia="Arial" w:hAnsi="Arial"/>
                  <w:sz w:val="16"/>
                  <w:szCs w:val="16"/>
                  <w:color w:val="0000EE"/>
                </w:rPr>
                <w:t>Rodriquez (incorporated by reference to the Company’s Current Report on Form 8-K filed with the SEC on</w:t>
              </w:r>
            </w:hyperlink>
          </w:p>
        </w:tc>
      </w:tr>
      <w:tr>
        <w:trPr>
          <w:trHeight w:val="169"/>
        </w:trPr>
        <w:tc>
          <w:tcPr>
            <w:tcW w:w="960" w:type="dxa"/>
            <w:vAlign w:val="bottom"/>
          </w:tcPr>
          <w:p>
            <w:pPr>
              <w:spacing w:after="0"/>
              <w:rPr>
                <w:sz w:val="14"/>
                <w:szCs w:val="14"/>
                <w:color w:val="auto"/>
              </w:rPr>
            </w:pPr>
          </w:p>
        </w:tc>
        <w:tc>
          <w:tcPr>
            <w:tcW w:w="10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r:id="rId47">
              <w:r>
                <w:rPr>
                  <w:rFonts w:ascii="Arial" w:cs="Arial" w:eastAsia="Arial" w:hAnsi="Arial"/>
                  <w:sz w:val="16"/>
                  <w:szCs w:val="16"/>
                  <w:color w:val="0000EE"/>
                  <w:w w:val="99"/>
                </w:rPr>
                <w:t>June 14, 2021)</w:t>
              </w:r>
            </w:hyperlink>
          </w:p>
        </w:tc>
        <w:tc>
          <w:tcPr>
            <w:tcW w:w="6500" w:type="dxa"/>
            <w:vAlign w:val="bottom"/>
            <w:tcBorders>
              <w:top w:val="single" w:sz="8" w:color="0000EE"/>
            </w:tcBorders>
            <w:gridSpan w:val="11"/>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7680" w:type="dxa"/>
            <w:vAlign w:val="bottom"/>
            <w:gridSpan w:val="17"/>
          </w:tcPr>
          <w:p>
            <w:pPr>
              <w:spacing w:after="0" w:line="169" w:lineRule="exact"/>
              <w:rPr>
                <w:rFonts w:ascii="Arial" w:cs="Arial" w:eastAsia="Arial" w:hAnsi="Arial"/>
                <w:sz w:val="16"/>
                <w:szCs w:val="16"/>
                <w:color w:val="0000EE"/>
              </w:rPr>
            </w:pPr>
            <w:hyperlink r:id="rId48">
              <w:r>
                <w:rPr>
                  <w:rFonts w:ascii="Arial" w:cs="Arial" w:eastAsia="Arial" w:hAnsi="Arial"/>
                  <w:sz w:val="16"/>
                  <w:szCs w:val="16"/>
                  <w:color w:val="0000EE"/>
                </w:rPr>
                <w:t>Letter Agreement, dated as of June 18, 2021, between Angela Strand and Lordstown Motors Corp.</w:t>
              </w:r>
            </w:hyperlink>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6"/>
                <w:szCs w:val="16"/>
                <w:color w:val="0000EE"/>
              </w:rPr>
            </w:pPr>
            <w:hyperlink r:id="rId48">
              <w:r>
                <w:rPr>
                  <w:rFonts w:ascii="Arial" w:cs="Arial" w:eastAsia="Arial" w:hAnsi="Arial"/>
                  <w:sz w:val="16"/>
                  <w:szCs w:val="16"/>
                  <w:color w:val="0000EE"/>
                </w:rPr>
                <w:t>(incorporated by reference to the Company’s Current Report on Form 8-K filed with the SEC on June 24,</w:t>
              </w:r>
            </w:hyperlink>
          </w:p>
        </w:tc>
      </w:tr>
      <w:tr>
        <w:trPr>
          <w:trHeight w:val="169"/>
        </w:trPr>
        <w:tc>
          <w:tcPr>
            <w:tcW w:w="96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2"/>
              </w:rPr>
            </w:pPr>
            <w:hyperlink r:id="rId48">
              <w:r>
                <w:rPr>
                  <w:rFonts w:ascii="Arial" w:cs="Arial" w:eastAsia="Arial" w:hAnsi="Arial"/>
                  <w:sz w:val="16"/>
                  <w:szCs w:val="16"/>
                  <w:color w:val="0000EE"/>
                  <w:w w:val="92"/>
                </w:rPr>
                <w:t>2021)</w:t>
              </w:r>
            </w:hyperlink>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3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760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49">
              <w:r>
                <w:rPr>
                  <w:rFonts w:ascii="Arial" w:cs="Arial" w:eastAsia="Arial" w:hAnsi="Arial"/>
                  <w:sz w:val="16"/>
                  <w:szCs w:val="16"/>
                  <w:color w:val="0000EE"/>
                </w:rPr>
                <w:t>Employment Agreement, dated as of June 18, 2021, between Jane Ritson-Parsons and Lordstown Motors</w:t>
              </w:r>
            </w:hyperlink>
          </w:p>
        </w:tc>
        <w:tc>
          <w:tcPr>
            <w:tcW w:w="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6"/>
                <w:szCs w:val="16"/>
                <w:color w:val="0000EE"/>
              </w:rPr>
            </w:pPr>
            <w:hyperlink r:id="rId49">
              <w:r>
                <w:rPr>
                  <w:rFonts w:ascii="Arial" w:cs="Arial" w:eastAsia="Arial" w:hAnsi="Arial"/>
                  <w:sz w:val="16"/>
                  <w:szCs w:val="16"/>
                  <w:color w:val="0000EE"/>
                </w:rPr>
                <w:t>Corp. (incorporated by reference to the Company’s Current Report on Form 8-K filed with the SEC on June</w:t>
              </w:r>
            </w:hyperlink>
          </w:p>
        </w:tc>
      </w:tr>
      <w:tr>
        <w:trPr>
          <w:trHeight w:val="169"/>
        </w:trPr>
        <w:tc>
          <w:tcPr>
            <w:tcW w:w="960" w:type="dxa"/>
            <w:vAlign w:val="bottom"/>
          </w:tcPr>
          <w:p>
            <w:pPr>
              <w:spacing w:after="0"/>
              <w:rPr>
                <w:sz w:val="14"/>
                <w:szCs w:val="14"/>
                <w:color w:val="auto"/>
              </w:rPr>
            </w:pPr>
          </w:p>
        </w:tc>
        <w:tc>
          <w:tcPr>
            <w:tcW w:w="6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7"/>
              </w:rPr>
            </w:pPr>
            <w:hyperlink r:id="rId49">
              <w:r>
                <w:rPr>
                  <w:rFonts w:ascii="Arial" w:cs="Arial" w:eastAsia="Arial" w:hAnsi="Arial"/>
                  <w:sz w:val="16"/>
                  <w:szCs w:val="16"/>
                  <w:color w:val="0000EE"/>
                  <w:w w:val="97"/>
                </w:rPr>
                <w:t>24, 2021)</w:t>
              </w:r>
            </w:hyperlink>
          </w:p>
        </w:tc>
        <w:tc>
          <w:tcPr>
            <w:tcW w:w="4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3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46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50">
              <w:r>
                <w:rPr>
                  <w:rFonts w:ascii="Arial" w:cs="Arial" w:eastAsia="Arial" w:hAnsi="Arial"/>
                  <w:sz w:val="16"/>
                  <w:szCs w:val="16"/>
                  <w:color w:val="0000EE"/>
                </w:rPr>
                <w:t>Amended and Restated Employment Agreement, dated as of June 18, 2021, between Rich Schmidt and</w:t>
              </w:r>
            </w:hyperlink>
          </w:p>
        </w:tc>
        <w:tc>
          <w:tcPr>
            <w:tcW w:w="220" w:type="dxa"/>
            <w:vAlign w:val="bottom"/>
            <w:gridSpan w:val="6"/>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8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r:id="rId50">
              <w:r>
                <w:rPr>
                  <w:rFonts w:ascii="Arial" w:cs="Arial" w:eastAsia="Arial" w:hAnsi="Arial"/>
                  <w:sz w:val="16"/>
                  <w:szCs w:val="16"/>
                  <w:color w:val="0000EE"/>
                </w:rPr>
                <w:t>Lordstown Motors Corp. (incorporated by reference to the Company’s Current Report on Form 8-K dated</w:t>
              </w:r>
            </w:hyperlink>
          </w:p>
        </w:tc>
        <w:tc>
          <w:tcPr>
            <w:tcW w:w="20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line="169" w:lineRule="exact"/>
              <w:rPr>
                <w:rFonts w:ascii="Arial" w:cs="Arial" w:eastAsia="Arial" w:hAnsi="Arial"/>
                <w:sz w:val="16"/>
                <w:szCs w:val="16"/>
                <w:color w:val="0000EE"/>
                <w:w w:val="99"/>
              </w:rPr>
            </w:pPr>
            <w:hyperlink r:id="rId50">
              <w:r>
                <w:rPr>
                  <w:rFonts w:ascii="Arial" w:cs="Arial" w:eastAsia="Arial" w:hAnsi="Arial"/>
                  <w:sz w:val="16"/>
                  <w:szCs w:val="16"/>
                  <w:color w:val="0000EE"/>
                  <w:w w:val="99"/>
                </w:rPr>
                <w:t>June 24, 2021)</w:t>
              </w:r>
            </w:hyperlink>
          </w:p>
        </w:tc>
        <w:tc>
          <w:tcPr>
            <w:tcW w:w="6600" w:type="dxa"/>
            <w:vAlign w:val="bottom"/>
            <w:gridSpan w:val="14"/>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6260" w:type="dxa"/>
            <w:vAlign w:val="bottom"/>
            <w:tcBorders>
              <w:bottom w:val="single" w:sz="8" w:color="auto"/>
            </w:tcBorders>
            <w:gridSpan w:val="7"/>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Certification of Principal Executive Officer pursuant to Rule 13a-14(a) or Rule 15d-14(a)</w:t>
              </w:r>
            </w:hyperlink>
          </w:p>
        </w:tc>
        <w:tc>
          <w:tcPr>
            <w:tcW w:w="1420" w:type="dxa"/>
            <w:vAlign w:val="bottom"/>
            <w:gridSpan w:val="10"/>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7680" w:type="dxa"/>
            <w:vAlign w:val="bottom"/>
            <w:gridSpan w:val="17"/>
          </w:tcPr>
          <w:p>
            <w:pPr>
              <w:spacing w:after="0" w:line="169" w:lineRule="exact"/>
              <w:rPr>
                <w:rFonts w:ascii="Arial" w:cs="Arial" w:eastAsia="Arial" w:hAnsi="Arial"/>
                <w:sz w:val="16"/>
                <w:szCs w:val="16"/>
                <w:color w:val="auto"/>
              </w:rPr>
            </w:pPr>
            <w:hyperlink w:anchor="page35">
              <w:r>
                <w:rPr>
                  <w:rFonts w:ascii="Arial" w:cs="Arial" w:eastAsia="Arial" w:hAnsi="Arial"/>
                  <w:sz w:val="16"/>
                  <w:szCs w:val="16"/>
                  <w:color w:val="auto"/>
                </w:rPr>
                <w:t>Certification of Principal Financial Officer pursuant to Rule 13a-14(a) or Rule 15d-14(a)</w:t>
              </w:r>
            </w:hyperlink>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2860" w:type="dxa"/>
            <w:vAlign w:val="bottom"/>
            <w:tcBorders>
              <w:top w:val="single" w:sz="8" w:color="auto"/>
              <w:bottom w:val="single" w:sz="8" w:color="auto"/>
            </w:tcBorders>
            <w:gridSpan w:val="5"/>
          </w:tcPr>
          <w:p>
            <w:pPr>
              <w:spacing w:after="0" w:line="169" w:lineRule="exact"/>
              <w:rPr>
                <w:rFonts w:ascii="Arial" w:cs="Arial" w:eastAsia="Arial" w:hAnsi="Arial"/>
                <w:sz w:val="16"/>
                <w:szCs w:val="16"/>
                <w:color w:val="auto"/>
              </w:rPr>
            </w:pPr>
            <w:hyperlink w:anchor="page36">
              <w:r>
                <w:rPr>
                  <w:rFonts w:ascii="Arial" w:cs="Arial" w:eastAsia="Arial" w:hAnsi="Arial"/>
                  <w:sz w:val="16"/>
                  <w:szCs w:val="16"/>
                  <w:color w:val="auto"/>
                </w:rPr>
                <w:t>Certification pursuant to 18 U.S.C. 1350</w:t>
              </w:r>
            </w:hyperlink>
          </w:p>
        </w:tc>
        <w:tc>
          <w:tcPr>
            <w:tcW w:w="3340" w:type="dxa"/>
            <w:vAlign w:val="bottom"/>
            <w:tcBorders>
              <w:top w:val="single" w:sz="8" w:color="auto"/>
            </w:tcBorders>
          </w:tcPr>
          <w:p>
            <w:pPr>
              <w:spacing w:after="0"/>
              <w:rPr>
                <w:sz w:val="14"/>
                <w:szCs w:val="14"/>
                <w:color w:val="auto"/>
              </w:rPr>
            </w:pPr>
          </w:p>
        </w:tc>
        <w:tc>
          <w:tcPr>
            <w:tcW w:w="1480" w:type="dxa"/>
            <w:vAlign w:val="bottom"/>
            <w:gridSpan w:val="11"/>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bottom w:val="single" w:sz="8" w:color="auto"/>
            </w:tcBorders>
            <w:gridSpan w:val="5"/>
          </w:tcPr>
          <w:p>
            <w:pPr>
              <w:spacing w:after="0" w:line="169" w:lineRule="exact"/>
              <w:rPr>
                <w:rFonts w:ascii="Arial" w:cs="Arial" w:eastAsia="Arial" w:hAnsi="Arial"/>
                <w:sz w:val="16"/>
                <w:szCs w:val="16"/>
                <w:color w:val="auto"/>
              </w:rPr>
            </w:pPr>
            <w:hyperlink w:anchor="page37">
              <w:r>
                <w:rPr>
                  <w:rFonts w:ascii="Arial" w:cs="Arial" w:eastAsia="Arial" w:hAnsi="Arial"/>
                  <w:sz w:val="16"/>
                  <w:szCs w:val="16"/>
                  <w:color w:val="auto"/>
                </w:rPr>
                <w:t>Certification pursuant to 18 U.S.C. 1350</w:t>
              </w:r>
            </w:hyperlink>
          </w:p>
        </w:tc>
        <w:tc>
          <w:tcPr>
            <w:tcW w:w="4820" w:type="dxa"/>
            <w:vAlign w:val="bottom"/>
            <w:gridSpan w:val="12"/>
          </w:tcPr>
          <w:p>
            <w:pPr>
              <w:spacing w:after="0"/>
              <w:rPr>
                <w:sz w:val="14"/>
                <w:szCs w:val="14"/>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6"/>
                <w:szCs w:val="16"/>
                <w:color w:val="auto"/>
              </w:rPr>
              <w:t>101.INS*</w:t>
            </w:r>
          </w:p>
        </w:tc>
        <w:tc>
          <w:tcPr>
            <w:tcW w:w="7680" w:type="dxa"/>
            <w:vAlign w:val="bottom"/>
            <w:gridSpan w:val="17"/>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w:t>
            </w:r>
          </w:p>
        </w:tc>
      </w:tr>
      <w:tr>
        <w:trPr>
          <w:trHeight w:val="189"/>
        </w:trPr>
        <w:tc>
          <w:tcPr>
            <w:tcW w:w="960" w:type="dxa"/>
            <w:vAlign w:val="bottom"/>
          </w:tcPr>
          <w:p>
            <w:pPr>
              <w:spacing w:after="0"/>
              <w:rPr>
                <w:sz w:val="16"/>
                <w:szCs w:val="16"/>
                <w:color w:val="auto"/>
              </w:rPr>
            </w:pPr>
          </w:p>
        </w:tc>
        <w:tc>
          <w:tcPr>
            <w:tcW w:w="7680" w:type="dxa"/>
            <w:vAlign w:val="bottom"/>
            <w:gridSpan w:val="17"/>
          </w:tcPr>
          <w:p>
            <w:pPr>
              <w:spacing w:after="0"/>
              <w:rPr>
                <w:sz w:val="20"/>
                <w:szCs w:val="20"/>
                <w:color w:val="auto"/>
              </w:rPr>
            </w:pPr>
            <w:r>
              <w:rPr>
                <w:rFonts w:ascii="Arial" w:cs="Arial" w:eastAsia="Arial" w:hAnsi="Arial"/>
                <w:sz w:val="16"/>
                <w:szCs w:val="16"/>
                <w:color w:val="auto"/>
              </w:rPr>
              <w:t>because its XBRL tags are embedded within the Inline XBRL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17"/>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1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17"/>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17"/>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60" w:type="dxa"/>
            <w:vAlign w:val="bottom"/>
          </w:tcPr>
          <w:p>
            <w:pPr>
              <w:spacing w:after="0"/>
              <w:rPr>
                <w:sz w:val="16"/>
                <w:szCs w:val="16"/>
                <w:color w:val="auto"/>
              </w:rPr>
            </w:pPr>
          </w:p>
        </w:tc>
        <w:tc>
          <w:tcPr>
            <w:tcW w:w="7680" w:type="dxa"/>
            <w:vAlign w:val="bottom"/>
            <w:gridSpan w:val="17"/>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361315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80"/>
        </w:trPr>
        <w:tc>
          <w:tcPr>
            <w:tcW w:w="3160" w:type="dxa"/>
            <w:vAlign w:val="bottom"/>
          </w:tcPr>
          <w:p>
            <w:pPr>
              <w:ind w:left="100"/>
              <w:spacing w:after="0"/>
              <w:rPr>
                <w:sz w:val="20"/>
                <w:szCs w:val="20"/>
                <w:color w:val="auto"/>
              </w:rPr>
            </w:pPr>
            <w:r>
              <w:rPr>
                <w:rFonts w:ascii="Arial" w:cs="Arial" w:eastAsia="Arial" w:hAnsi="Arial"/>
                <w:sz w:val="18"/>
                <w:szCs w:val="18"/>
                <w:color w:val="auto"/>
              </w:rPr>
              <w:t>Date: August 12, 2021</w:t>
            </w:r>
          </w:p>
        </w:tc>
        <w:tc>
          <w:tcPr>
            <w:tcW w:w="140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 Angela Strand</w:t>
            </w:r>
          </w:p>
        </w:tc>
      </w:tr>
      <w:tr>
        <w:trPr>
          <w:trHeight w:val="209"/>
        </w:trPr>
        <w:tc>
          <w:tcPr>
            <w:tcW w:w="3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Angela Strand</w:t>
            </w:r>
          </w:p>
        </w:tc>
        <w:tc>
          <w:tcPr>
            <w:tcW w:w="2980" w:type="dxa"/>
            <w:vAlign w:val="bottom"/>
            <w:gridSpan w:val="2"/>
          </w:tcPr>
          <w:p>
            <w:pPr>
              <w:spacing w:after="0"/>
              <w:rPr>
                <w:sz w:val="18"/>
                <w:szCs w:val="18"/>
                <w:color w:val="auto"/>
              </w:rPr>
            </w:pPr>
          </w:p>
        </w:tc>
      </w:tr>
      <w:tr>
        <w:trPr>
          <w:trHeight w:val="203"/>
        </w:trPr>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Executive Chairwoman</w:t>
            </w:r>
          </w:p>
        </w:tc>
      </w:tr>
      <w:tr>
        <w:trPr>
          <w:trHeight w:val="217"/>
        </w:trPr>
        <w:tc>
          <w:tcPr>
            <w:tcW w:w="3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3160" w:type="dxa"/>
            <w:vAlign w:val="bottom"/>
          </w:tcPr>
          <w:p>
            <w:pPr>
              <w:ind w:left="100"/>
              <w:spacing w:after="0"/>
              <w:rPr>
                <w:sz w:val="20"/>
                <w:szCs w:val="20"/>
                <w:color w:val="auto"/>
              </w:rPr>
            </w:pPr>
            <w:r>
              <w:rPr>
                <w:rFonts w:ascii="Arial" w:cs="Arial" w:eastAsia="Arial" w:hAnsi="Arial"/>
                <w:sz w:val="18"/>
                <w:szCs w:val="18"/>
                <w:color w:val="auto"/>
              </w:rPr>
              <w:t>Date: August 12, 2021</w:t>
            </w:r>
          </w:p>
        </w:tc>
        <w:tc>
          <w:tcPr>
            <w:tcW w:w="140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Rebecca A Roof</w:t>
            </w:r>
          </w:p>
        </w:tc>
        <w:tc>
          <w:tcPr>
            <w:tcW w:w="2800" w:type="dxa"/>
            <w:vAlign w:val="bottom"/>
          </w:tcPr>
          <w:p>
            <w:pPr>
              <w:spacing w:after="0"/>
              <w:rPr>
                <w:sz w:val="24"/>
                <w:szCs w:val="24"/>
                <w:color w:val="auto"/>
              </w:rPr>
            </w:pPr>
          </w:p>
        </w:tc>
      </w:tr>
      <w:tr>
        <w:trPr>
          <w:trHeight w:val="209"/>
        </w:trPr>
        <w:tc>
          <w:tcPr>
            <w:tcW w:w="3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Rebecca A Roof</w:t>
            </w:r>
          </w:p>
        </w:tc>
      </w:tr>
      <w:tr>
        <w:trPr>
          <w:trHeight w:val="203"/>
        </w:trPr>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Interim Chief Financial Officer</w:t>
            </w:r>
          </w:p>
        </w:tc>
      </w:tr>
      <w:tr>
        <w:trPr>
          <w:trHeight w:val="217"/>
        </w:trPr>
        <w:tc>
          <w:tcPr>
            <w:tcW w:w="3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51"/>
        </w:trPr>
        <w:tc>
          <w:tcPr>
            <w:tcW w:w="3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82"/>
        </w:trPr>
        <w:tc>
          <w:tcPr>
            <w:tcW w:w="3160" w:type="dxa"/>
            <w:vAlign w:val="bottom"/>
          </w:tcPr>
          <w:p>
            <w:pPr>
              <w:jc w:val="right"/>
              <w:ind w:right="1996"/>
              <w:spacing w:after="0"/>
              <w:rPr>
                <w:sz w:val="20"/>
                <w:szCs w:val="20"/>
                <w:color w:val="auto"/>
              </w:rPr>
            </w:pPr>
            <w:r>
              <w:rPr>
                <w:rFonts w:ascii="Arial" w:cs="Arial" w:eastAsia="Arial" w:hAnsi="Arial"/>
                <w:sz w:val="14"/>
                <w:szCs w:val="14"/>
                <w:color w:val="auto"/>
                <w:w w:val="92"/>
              </w:rPr>
              <w:t>4838-3851-2884.3</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45"/>
        </w:trPr>
        <w:tc>
          <w:tcPr>
            <w:tcW w:w="3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Angela Strand, certify that:</w:t>
      </w:r>
    </w:p>
    <w:p>
      <w:pPr>
        <w:spacing w:after="0" w:line="104" w:lineRule="exact"/>
        <w:rPr>
          <w:sz w:val="20"/>
          <w:szCs w:val="20"/>
          <w:color w:val="auto"/>
        </w:rPr>
      </w:pPr>
    </w:p>
    <w:p>
      <w:pPr>
        <w:ind w:left="700" w:hanging="6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0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12,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Angela Strand</w:t>
      </w:r>
    </w:p>
    <w:p>
      <w:pPr>
        <w:spacing w:after="0" w:line="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Angela Strand</w:t>
      </w:r>
    </w:p>
    <w:p>
      <w:pPr>
        <w:ind w:left="4580"/>
        <w:spacing w:after="0" w:line="234" w:lineRule="auto"/>
        <w:rPr>
          <w:sz w:val="20"/>
          <w:szCs w:val="20"/>
          <w:color w:val="auto"/>
        </w:rPr>
      </w:pPr>
      <w:r>
        <w:rPr>
          <w:rFonts w:ascii="Arial" w:cs="Arial" w:eastAsia="Arial" w:hAnsi="Arial"/>
          <w:sz w:val="18"/>
          <w:szCs w:val="18"/>
          <w:color w:val="auto"/>
        </w:rPr>
        <w:t>Executive Chairwoman</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Rebecca A Roof, certify that:</w:t>
      </w:r>
    </w:p>
    <w:p>
      <w:pPr>
        <w:spacing w:after="0" w:line="104" w:lineRule="exact"/>
        <w:rPr>
          <w:sz w:val="20"/>
          <w:szCs w:val="20"/>
          <w:color w:val="auto"/>
        </w:rPr>
      </w:pPr>
    </w:p>
    <w:p>
      <w:pPr>
        <w:ind w:left="700" w:hanging="6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0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12,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Rebecca A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-10160</wp:posOffset>
            </wp:positionV>
            <wp:extent cx="1228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Rebecca A Roof</w:t>
      </w:r>
    </w:p>
    <w:p>
      <w:pPr>
        <w:ind w:left="4580"/>
        <w:spacing w:after="0" w:line="234" w:lineRule="auto"/>
        <w:rPr>
          <w:sz w:val="20"/>
          <w:szCs w:val="20"/>
          <w:color w:val="auto"/>
        </w:rPr>
      </w:pPr>
      <w:r>
        <w:rPr>
          <w:rFonts w:ascii="Arial" w:cs="Arial" w:eastAsia="Arial" w:hAnsi="Arial"/>
          <w:sz w:val="18"/>
          <w:szCs w:val="18"/>
          <w:color w:val="auto"/>
        </w:rPr>
        <w:t>Interim Chief Financial Officer</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Lordstown Motors Corp. (the “Company”) on Form 10-Q for the period ended June 30, 2021, as filed with the Securities and Exchange Commission on the date hereof (the “Report”), I, Angela Strand, Executive Chairwoman of the Company, certify, pursuant to 18 U.S.C. §1350, as added by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12,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Angela Strand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-10160</wp:posOffset>
            </wp:positionV>
            <wp:extent cx="1445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44589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Angela Strand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Chairwoman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Lordstown Motors Corp. (the “Company”) on Form 10-Q for the period ended June 30, 2021, as filed with the Securities and Exchange Commission on the date hereof (the “Report”), I, Rebecca A Roof, Interim Chief Financial Officer of the Company, certify, pursuant to 18 U.S.C. §1350, as added by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12,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Rebecca A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-10160</wp:posOffset>
            </wp:positionV>
            <wp:extent cx="2051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05105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Rebecca A Roof</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1"/>
    </w:lvl>
  </w:abstractNum>
  <w:abstractNum w:abstractNumId="5">
    <w:nsid w:val="5BD062C2"/>
    <w:multiLevelType w:val="hybridMultilevel"/>
    <w:lvl w:ilvl="0">
      <w:lvlJc w:val="left"/>
      <w:lvlText w:val="(%1)"/>
      <w:numFmt w:val="lowerRoman"/>
      <w:start w:val="5"/>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45" Type="http://schemas.openxmlformats.org/officeDocument/2006/relationships/hyperlink" Target="https://www.sec.gov/Archives/edgar/data/1759546/000110465921080500/tm2119596d1_ex10-1.htm" TargetMode="External"/><Relationship Id="rId46" Type="http://schemas.openxmlformats.org/officeDocument/2006/relationships/hyperlink" Target="https://www.sec.gov/Archives/edgar/data/1759546/000110465921080500/tm2119596d1_ex10-2.htm" TargetMode="External"/><Relationship Id="rId47" Type="http://schemas.openxmlformats.org/officeDocument/2006/relationships/hyperlink" Target="https://www.sec.gov/Archives/edgar/data/1759546/000110465921080500/tm2119596d1_ex10-3.htm" TargetMode="External"/><Relationship Id="rId48" Type="http://schemas.openxmlformats.org/officeDocument/2006/relationships/hyperlink" Target="https://www.sec.gov/Archives/edgar/data/1759546/000110465921085206/tm2119909d2_ex10-1.htm" TargetMode="External"/><Relationship Id="rId49" Type="http://schemas.openxmlformats.org/officeDocument/2006/relationships/hyperlink" Target="https://www.sec.gov/Archives/edgar/data/1759546/000110465921085206/tm2119909d2_ex10-2.htm" TargetMode="External"/><Relationship Id="rId50" Type="http://schemas.openxmlformats.org/officeDocument/2006/relationships/hyperlink" Target="https://www.sec.gov/Archives/edgar/data/1759546/000110465921085206/tm2119909d2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2021-08-13T06:06:24Z</dcterms:created>
  <dcterms:modified xsi:type="dcterms:W3CDTF">2021-08-13T06:06:24Z</dcterms:modified>
</cp:coreProperties>
</file>