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628015</wp:posOffset>
            </wp:positionH>
            <wp:positionV relativeFrom="page">
              <wp:posOffset>431800</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page">
              <wp:posOffset>628015</wp:posOffset>
            </wp:positionH>
            <wp:positionV relativeFrom="page">
              <wp:posOffset>500380</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t>UNITED STATES SECURITIES AND EXCHANGE COMMISSION</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66040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6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92710</wp:posOffset>
            </wp:positionV>
            <wp:extent cx="157734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96" w:lineRule="exact"/>
        <w:rPr>
          <w:sz w:val="24"/>
          <w:szCs w:val="24"/>
          <w:color w:val="auto"/>
        </w:rPr>
      </w:pPr>
    </w:p>
    <w:p>
      <w:pPr>
        <w:ind w:left="320" w:right="360" w:hanging="312"/>
        <w:spacing w:after="0" w:line="281" w:lineRule="auto"/>
        <w:tabs>
          <w:tab w:leader="none" w:pos="32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77" w:lineRule="exact"/>
        <w:rPr>
          <w:sz w:val="24"/>
          <w:szCs w:val="24"/>
          <w:color w:val="auto"/>
        </w:rPr>
      </w:pPr>
    </w:p>
    <w:p>
      <w:pPr>
        <w:ind w:left="320" w:hanging="312"/>
        <w:spacing w:after="0"/>
        <w:tabs>
          <w:tab w:leader="none" w:pos="32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9900"/>
          </w:cols>
          <w:pgMar w:left="980" w:top="844" w:right="1019" w:bottom="1440" w:gutter="0" w:footer="0" w:header="0"/>
        </w:sectPr>
      </w:pPr>
    </w:p>
    <w:p>
      <w:pPr>
        <w:spacing w:after="0" w:line="67" w:lineRule="exact"/>
        <w:rPr>
          <w:sz w:val="24"/>
          <w:szCs w:val="24"/>
          <w:color w:val="auto"/>
        </w:rPr>
      </w:pPr>
    </w:p>
    <w:p>
      <w:pPr>
        <w:ind w:left="320"/>
        <w:spacing w:after="0"/>
        <w:rPr>
          <w:sz w:val="20"/>
          <w:szCs w:val="20"/>
          <w:color w:val="auto"/>
        </w:rPr>
      </w:pPr>
      <w:r>
        <w:rPr>
          <w:rFonts w:ascii="Arial" w:cs="Arial" w:eastAsia="Arial" w:hAnsi="Arial"/>
          <w:sz w:val="17"/>
          <w:szCs w:val="17"/>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4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to</w:t>
      </w:r>
    </w:p>
    <w:p>
      <w:pPr>
        <w:spacing w:after="0" w:line="39" w:lineRule="exact"/>
        <w:rPr>
          <w:sz w:val="24"/>
          <w:szCs w:val="24"/>
          <w:color w:val="auto"/>
        </w:rPr>
      </w:pPr>
    </w:p>
    <w:p>
      <w:pPr>
        <w:sectPr>
          <w:pgSz w:w="11900" w:h="16838" w:orient="portrait"/>
          <w:cols w:equalWidth="0" w:num="2">
            <w:col w:w="2980" w:space="720"/>
            <w:col w:w="6200"/>
          </w:cols>
          <w:pgMar w:left="980" w:top="844" w:right="1019" w:bottom="1440" w:gutter="0" w:footer="0" w:header="0"/>
          <w:type w:val="continuous"/>
        </w:sectPr>
      </w:pPr>
    </w:p>
    <w:p>
      <w:pPr>
        <w:jc w:val="center"/>
        <w:ind w:right="-39"/>
        <w:spacing w:after="0"/>
        <w:rPr>
          <w:sz w:val="20"/>
          <w:szCs w:val="20"/>
          <w:color w:val="auto"/>
        </w:rPr>
      </w:pPr>
      <w:r>
        <w:rPr>
          <w:rFonts w:ascii="Arial" w:cs="Arial" w:eastAsia="Arial" w:hAnsi="Arial"/>
          <w:sz w:val="17"/>
          <w:szCs w:val="17"/>
          <w:b w:val="1"/>
          <w:bCs w:val="1"/>
          <w:color w:val="auto"/>
        </w:rPr>
        <w:t>Commission File Number: 001-38821</w:t>
      </w:r>
    </w:p>
    <w:p>
      <w:pPr>
        <w:sectPr>
          <w:pgSz w:w="11900" w:h="16838" w:orient="portrait"/>
          <w:cols w:equalWidth="0" w:num="1">
            <w:col w:w="9900"/>
          </w:cols>
          <w:pgMar w:left="980" w:top="844" w:right="1019" w:bottom="1440" w:gutter="0" w:footer="0" w:header="0"/>
          <w:type w:val="continuous"/>
        </w:sectPr>
      </w:pPr>
    </w:p>
    <w:p>
      <w:pPr>
        <w:spacing w:after="0" w:line="100"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NU RIDE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54" w:lineRule="exact"/>
        <w:rPr>
          <w:sz w:val="24"/>
          <w:szCs w:val="24"/>
          <w:color w:val="auto"/>
        </w:rPr>
      </w:pPr>
    </w:p>
    <w:tbl>
      <w:tblPr>
        <w:tblLayout w:type="fixed"/>
        <w:tblInd w:w="220" w:type="dxa"/>
        <w:tblCellMar>
          <w:top w:w="0" w:type="dxa"/>
          <w:left w:w="0" w:type="dxa"/>
          <w:bottom w:w="0" w:type="dxa"/>
          <w:right w:w="0" w:type="dxa"/>
        </w:tblCellMar>
      </w:tblPr>
      <w:tr>
        <w:trPr>
          <w:trHeight w:val="207"/>
        </w:trPr>
        <w:tc>
          <w:tcPr>
            <w:tcW w:w="800" w:type="dxa"/>
            <w:vAlign w:val="bottom"/>
          </w:tcPr>
          <w:p>
            <w:pPr>
              <w:spacing w:after="0"/>
              <w:rPr>
                <w:sz w:val="17"/>
                <w:szCs w:val="17"/>
                <w:color w:val="auto"/>
              </w:rPr>
            </w:pPr>
          </w:p>
        </w:tc>
        <w:tc>
          <w:tcPr>
            <w:tcW w:w="1960" w:type="dxa"/>
            <w:vAlign w:val="bottom"/>
            <w:gridSpan w:val="2"/>
          </w:tcPr>
          <w:p>
            <w:pPr>
              <w:jc w:val="center"/>
              <w:ind w:right="939"/>
              <w:spacing w:after="0"/>
              <w:rPr>
                <w:sz w:val="20"/>
                <w:szCs w:val="20"/>
                <w:color w:val="auto"/>
              </w:rPr>
            </w:pPr>
            <w:r>
              <w:rPr>
                <w:rFonts w:ascii="Arial" w:cs="Arial" w:eastAsia="Arial" w:hAnsi="Arial"/>
                <w:sz w:val="18"/>
                <w:szCs w:val="18"/>
                <w:b w:val="1"/>
                <w:bCs w:val="1"/>
                <w:color w:val="auto"/>
                <w:w w:val="98"/>
              </w:rPr>
              <w:t>Delaware</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80" w:type="dxa"/>
            <w:vAlign w:val="bottom"/>
            <w:gridSpan w:val="2"/>
          </w:tcPr>
          <w:p>
            <w:pPr>
              <w:jc w:val="center"/>
              <w:ind w:left="2030"/>
              <w:spacing w:after="0"/>
              <w:rPr>
                <w:sz w:val="20"/>
                <w:szCs w:val="20"/>
                <w:color w:val="auto"/>
              </w:rPr>
            </w:pPr>
            <w:r>
              <w:rPr>
                <w:rFonts w:ascii="Arial" w:cs="Arial" w:eastAsia="Arial" w:hAnsi="Arial"/>
                <w:sz w:val="18"/>
                <w:szCs w:val="18"/>
                <w:b w:val="1"/>
                <w:bCs w:val="1"/>
                <w:color w:val="auto"/>
                <w:w w:val="99"/>
              </w:rPr>
              <w:t>83-2533239</w:t>
            </w:r>
          </w:p>
        </w:tc>
        <w:tc>
          <w:tcPr>
            <w:tcW w:w="20" w:type="dxa"/>
            <w:vAlign w:val="bottom"/>
          </w:tcPr>
          <w:p>
            <w:pPr>
              <w:spacing w:after="0"/>
              <w:rPr>
                <w:sz w:val="17"/>
                <w:szCs w:val="17"/>
                <w:color w:val="auto"/>
              </w:rPr>
            </w:pPr>
          </w:p>
        </w:tc>
      </w:tr>
      <w:tr>
        <w:trPr>
          <w:trHeight w:val="202"/>
        </w:trPr>
        <w:tc>
          <w:tcPr>
            <w:tcW w:w="2760" w:type="dxa"/>
            <w:vAlign w:val="bottom"/>
            <w:gridSpan w:val="3"/>
          </w:tcPr>
          <w:p>
            <w:pPr>
              <w:jc w:val="center"/>
              <w:ind w:right="139"/>
              <w:spacing w:after="0" w:line="202" w:lineRule="exact"/>
              <w:rPr>
                <w:sz w:val="20"/>
                <w:szCs w:val="20"/>
                <w:color w:val="auto"/>
              </w:rPr>
            </w:pPr>
            <w:r>
              <w:rPr>
                <w:rFonts w:ascii="Arial" w:cs="Arial" w:eastAsia="Arial" w:hAnsi="Arial"/>
                <w:sz w:val="18"/>
                <w:szCs w:val="18"/>
                <w:b w:val="1"/>
                <w:bCs w:val="1"/>
                <w:color w:val="auto"/>
                <w:w w:val="99"/>
              </w:rPr>
              <w:t>(State or Other Jurisdiction of</w:t>
            </w:r>
          </w:p>
        </w:tc>
        <w:tc>
          <w:tcPr>
            <w:tcW w:w="7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820" w:type="dxa"/>
            <w:vAlign w:val="bottom"/>
            <w:gridSpan w:val="2"/>
          </w:tcPr>
          <w:p>
            <w:pPr>
              <w:jc w:val="center"/>
              <w:ind w:left="1710"/>
              <w:spacing w:after="0" w:line="202" w:lineRule="exact"/>
              <w:rPr>
                <w:sz w:val="20"/>
                <w:szCs w:val="20"/>
                <w:color w:val="auto"/>
              </w:rPr>
            </w:pPr>
            <w:r>
              <w:rPr>
                <w:rFonts w:ascii="Arial" w:cs="Arial" w:eastAsia="Arial" w:hAnsi="Arial"/>
                <w:sz w:val="18"/>
                <w:szCs w:val="18"/>
                <w:b w:val="1"/>
                <w:bCs w:val="1"/>
                <w:color w:val="auto"/>
                <w:w w:val="99"/>
              </w:rPr>
              <w:t>(I.R.S. Employer</w:t>
            </w:r>
          </w:p>
        </w:tc>
      </w:tr>
      <w:tr>
        <w:trPr>
          <w:trHeight w:val="193"/>
        </w:trPr>
        <w:tc>
          <w:tcPr>
            <w:tcW w:w="2760" w:type="dxa"/>
            <w:vAlign w:val="bottom"/>
            <w:gridSpan w:val="3"/>
          </w:tcPr>
          <w:p>
            <w:pPr>
              <w:jc w:val="center"/>
              <w:ind w:right="79"/>
              <w:spacing w:after="0" w:line="193" w:lineRule="exact"/>
              <w:rPr>
                <w:sz w:val="20"/>
                <w:szCs w:val="20"/>
                <w:color w:val="auto"/>
              </w:rPr>
            </w:pPr>
            <w:r>
              <w:rPr>
                <w:rFonts w:ascii="Arial" w:cs="Arial" w:eastAsia="Arial" w:hAnsi="Arial"/>
                <w:sz w:val="18"/>
                <w:szCs w:val="18"/>
                <w:b w:val="1"/>
                <w:bCs w:val="1"/>
                <w:color w:val="auto"/>
                <w:w w:val="99"/>
              </w:rPr>
              <w:t>Incorporation or Organization)</w:t>
            </w:r>
          </w:p>
        </w:tc>
        <w:tc>
          <w:tcPr>
            <w:tcW w:w="7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20" w:type="dxa"/>
            <w:vAlign w:val="bottom"/>
            <w:gridSpan w:val="2"/>
          </w:tcPr>
          <w:p>
            <w:pPr>
              <w:jc w:val="center"/>
              <w:ind w:left="1770"/>
              <w:spacing w:after="0" w:line="193" w:lineRule="exact"/>
              <w:rPr>
                <w:sz w:val="20"/>
                <w:szCs w:val="20"/>
                <w:color w:val="auto"/>
              </w:rPr>
            </w:pPr>
            <w:r>
              <w:rPr>
                <w:rFonts w:ascii="Arial" w:cs="Arial" w:eastAsia="Arial" w:hAnsi="Arial"/>
                <w:sz w:val="18"/>
                <w:szCs w:val="18"/>
                <w:b w:val="1"/>
                <w:bCs w:val="1"/>
                <w:color w:val="auto"/>
                <w:w w:val="99"/>
              </w:rPr>
              <w:t>Identification No.)</w:t>
            </w:r>
          </w:p>
        </w:tc>
      </w:tr>
      <w:tr>
        <w:trPr>
          <w:trHeight w:val="212"/>
        </w:trPr>
        <w:tc>
          <w:tcPr>
            <w:tcW w:w="8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700" w:type="dxa"/>
            <w:vAlign w:val="bottom"/>
            <w:gridSpan w:val="5"/>
          </w:tcPr>
          <w:p>
            <w:pPr>
              <w:jc w:val="center"/>
              <w:ind w:right="3160"/>
              <w:spacing w:after="0" w:line="212" w:lineRule="exact"/>
              <w:rPr>
                <w:sz w:val="20"/>
                <w:szCs w:val="20"/>
                <w:color w:val="auto"/>
              </w:rPr>
            </w:pPr>
            <w:r>
              <w:rPr>
                <w:rFonts w:ascii="Arial" w:cs="Arial" w:eastAsia="Arial" w:hAnsi="Arial"/>
                <w:sz w:val="17"/>
                <w:szCs w:val="17"/>
                <w:b w:val="1"/>
                <w:bCs w:val="1"/>
                <w:color w:val="auto"/>
              </w:rPr>
              <w:t>1700 Broadway, 19</w:t>
            </w:r>
            <w:r>
              <w:rPr>
                <w:rFonts w:ascii="Arial" w:cs="Arial" w:eastAsia="Arial" w:hAnsi="Arial"/>
                <w:sz w:val="24"/>
                <w:szCs w:val="24"/>
                <w:b w:val="1"/>
                <w:bCs w:val="1"/>
                <w:color w:val="auto"/>
                <w:vertAlign w:val="superscript"/>
              </w:rPr>
              <w:t>th</w:t>
            </w:r>
            <w:r>
              <w:rPr>
                <w:rFonts w:ascii="Arial" w:cs="Arial" w:eastAsia="Arial" w:hAnsi="Arial"/>
                <w:sz w:val="17"/>
                <w:szCs w:val="17"/>
                <w:b w:val="1"/>
                <w:bCs w:val="1"/>
                <w:color w:val="auto"/>
              </w:rPr>
              <w:t xml:space="preserve"> Floor</w:t>
            </w:r>
          </w:p>
        </w:tc>
      </w:tr>
      <w:tr>
        <w:trPr>
          <w:trHeight w:val="203"/>
        </w:trPr>
        <w:tc>
          <w:tcPr>
            <w:tcW w:w="8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700" w:type="dxa"/>
            <w:vAlign w:val="bottom"/>
            <w:gridSpan w:val="5"/>
          </w:tcPr>
          <w:p>
            <w:pPr>
              <w:jc w:val="center"/>
              <w:ind w:right="3160"/>
              <w:spacing w:after="0" w:line="202" w:lineRule="exact"/>
              <w:rPr>
                <w:sz w:val="20"/>
                <w:szCs w:val="20"/>
                <w:color w:val="auto"/>
              </w:rPr>
            </w:pPr>
            <w:r>
              <w:rPr>
                <w:rFonts w:ascii="Arial" w:cs="Arial" w:eastAsia="Arial" w:hAnsi="Arial"/>
                <w:sz w:val="18"/>
                <w:szCs w:val="18"/>
                <w:b w:val="1"/>
                <w:bCs w:val="1"/>
                <w:color w:val="auto"/>
                <w:w w:val="98"/>
              </w:rPr>
              <w:t>New York, New York 10019</w:t>
            </w:r>
          </w:p>
        </w:tc>
      </w:tr>
      <w:tr>
        <w:trPr>
          <w:trHeight w:val="247"/>
        </w:trPr>
        <w:tc>
          <w:tcPr>
            <w:tcW w:w="8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20" w:type="dxa"/>
            <w:vAlign w:val="bottom"/>
            <w:gridSpan w:val="6"/>
          </w:tcPr>
          <w:p>
            <w:pPr>
              <w:jc w:val="center"/>
              <w:ind w:right="2420"/>
              <w:spacing w:after="0"/>
              <w:rPr>
                <w:sz w:val="20"/>
                <w:szCs w:val="20"/>
                <w:color w:val="auto"/>
              </w:rPr>
            </w:pPr>
            <w:r>
              <w:rPr>
                <w:rFonts w:ascii="Arial" w:cs="Arial" w:eastAsia="Arial" w:hAnsi="Arial"/>
                <w:sz w:val="18"/>
                <w:szCs w:val="18"/>
                <w:b w:val="1"/>
                <w:bCs w:val="1"/>
                <w:color w:val="auto"/>
                <w:w w:val="99"/>
              </w:rPr>
              <w:t>(Address of principal executive offices)</w:t>
            </w:r>
          </w:p>
        </w:tc>
      </w:tr>
      <w:tr>
        <w:trPr>
          <w:trHeight w:val="229"/>
        </w:trPr>
        <w:tc>
          <w:tcPr>
            <w:tcW w:w="8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6820" w:type="dxa"/>
            <w:vAlign w:val="bottom"/>
            <w:gridSpan w:val="7"/>
          </w:tcPr>
          <w:p>
            <w:pPr>
              <w:jc w:val="center"/>
              <w:ind w:right="2060"/>
              <w:spacing w:after="0"/>
              <w:rPr>
                <w:sz w:val="20"/>
                <w:szCs w:val="20"/>
                <w:color w:val="auto"/>
              </w:rPr>
            </w:pPr>
            <w:r>
              <w:rPr>
                <w:rFonts w:ascii="Arial" w:cs="Arial" w:eastAsia="Arial" w:hAnsi="Arial"/>
                <w:sz w:val="14"/>
                <w:szCs w:val="14"/>
                <w:b w:val="1"/>
                <w:bCs w:val="1"/>
                <w:color w:val="auto"/>
              </w:rPr>
              <w:t>Registrant’s telephone number, including area code: (212) 202-2200</w:t>
            </w:r>
          </w:p>
        </w:tc>
      </w:tr>
      <w:tr>
        <w:trPr>
          <w:trHeight w:val="270"/>
        </w:trPr>
        <w:tc>
          <w:tcPr>
            <w:tcW w:w="80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6420" w:type="dxa"/>
            <w:vAlign w:val="bottom"/>
            <w:gridSpan w:val="6"/>
          </w:tcPr>
          <w:p>
            <w:pPr>
              <w:jc w:val="center"/>
              <w:ind w:right="2460"/>
              <w:spacing w:after="0"/>
              <w:rPr>
                <w:sz w:val="20"/>
                <w:szCs w:val="20"/>
                <w:color w:val="auto"/>
              </w:rPr>
            </w:pPr>
            <w:r>
              <w:rPr>
                <w:rFonts w:ascii="Arial" w:cs="Arial" w:eastAsia="Arial" w:hAnsi="Arial"/>
                <w:sz w:val="14"/>
                <w:szCs w:val="14"/>
                <w:b w:val="1"/>
                <w:bCs w:val="1"/>
                <w:color w:val="auto"/>
              </w:rPr>
              <w:t>Securities registered pursuant to Section 12(b) of the Act:</w:t>
            </w:r>
          </w:p>
        </w:tc>
      </w:tr>
      <w:tr>
        <w:trPr>
          <w:trHeight w:val="245"/>
        </w:trPr>
        <w:tc>
          <w:tcPr>
            <w:tcW w:w="800" w:type="dxa"/>
            <w:vAlign w:val="bottom"/>
          </w:tcPr>
          <w:p>
            <w:pPr>
              <w:spacing w:after="0"/>
              <w:rPr>
                <w:sz w:val="21"/>
                <w:szCs w:val="21"/>
                <w:color w:val="auto"/>
              </w:rPr>
            </w:pPr>
          </w:p>
        </w:tc>
        <w:tc>
          <w:tcPr>
            <w:tcW w:w="1960" w:type="dxa"/>
            <w:vAlign w:val="bottom"/>
            <w:gridSpan w:val="2"/>
          </w:tcPr>
          <w:p>
            <w:pPr>
              <w:jc w:val="center"/>
              <w:ind w:right="319"/>
              <w:spacing w:after="0"/>
              <w:rPr>
                <w:sz w:val="20"/>
                <w:szCs w:val="20"/>
                <w:color w:val="auto"/>
              </w:rPr>
            </w:pPr>
            <w:r>
              <w:rPr>
                <w:rFonts w:ascii="Arial" w:cs="Arial" w:eastAsia="Arial" w:hAnsi="Arial"/>
                <w:sz w:val="18"/>
                <w:szCs w:val="18"/>
                <w:b w:val="1"/>
                <w:bCs w:val="1"/>
                <w:color w:val="auto"/>
              </w:rPr>
              <w:t>Title of each class</w:t>
            </w:r>
          </w:p>
        </w:tc>
        <w:tc>
          <w:tcPr>
            <w:tcW w:w="720" w:type="dxa"/>
            <w:vAlign w:val="bottom"/>
          </w:tcPr>
          <w:p>
            <w:pPr>
              <w:spacing w:after="0"/>
              <w:rPr>
                <w:sz w:val="21"/>
                <w:szCs w:val="21"/>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Trading symbol</w:t>
            </w:r>
          </w:p>
        </w:tc>
        <w:tc>
          <w:tcPr>
            <w:tcW w:w="4100" w:type="dxa"/>
            <w:vAlign w:val="bottom"/>
            <w:gridSpan w:val="3"/>
          </w:tcPr>
          <w:p>
            <w:pPr>
              <w:jc w:val="center"/>
              <w:ind w:left="17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191"/>
        </w:trPr>
        <w:tc>
          <w:tcPr>
            <w:tcW w:w="800" w:type="dxa"/>
            <w:vAlign w:val="bottom"/>
          </w:tcPr>
          <w:p>
            <w:pPr>
              <w:ind w:left="400"/>
              <w:spacing w:after="0" w:line="191" w:lineRule="exact"/>
              <w:rPr>
                <w:sz w:val="20"/>
                <w:szCs w:val="20"/>
                <w:color w:val="auto"/>
              </w:rPr>
            </w:pPr>
            <w:r>
              <w:rPr>
                <w:rFonts w:ascii="Arial" w:cs="Arial" w:eastAsia="Arial" w:hAnsi="Arial"/>
                <w:sz w:val="18"/>
                <w:szCs w:val="18"/>
                <w:b w:val="1"/>
                <w:bCs w:val="1"/>
                <w:color w:val="auto"/>
                <w:w w:val="79"/>
              </w:rPr>
              <w:t>Class</w:t>
            </w:r>
          </w:p>
        </w:tc>
        <w:tc>
          <w:tcPr>
            <w:tcW w:w="1560" w:type="dxa"/>
            <w:vAlign w:val="bottom"/>
            <w:tcBorders>
              <w:top w:val="single" w:sz="8" w:color="auto"/>
            </w:tcBorders>
          </w:tcPr>
          <w:p>
            <w:pPr>
              <w:ind w:left="120"/>
              <w:spacing w:after="0" w:line="191" w:lineRule="exact"/>
              <w:rPr>
                <w:sz w:val="20"/>
                <w:szCs w:val="20"/>
                <w:color w:val="auto"/>
              </w:rPr>
            </w:pPr>
            <w:r>
              <w:rPr>
                <w:rFonts w:ascii="Arial" w:cs="Arial" w:eastAsia="Arial" w:hAnsi="Arial"/>
                <w:sz w:val="18"/>
                <w:szCs w:val="18"/>
                <w:b w:val="1"/>
                <w:bCs w:val="1"/>
                <w:color w:val="auto"/>
                <w:w w:val="94"/>
              </w:rPr>
              <w:t>A common stock,</w:t>
            </w:r>
          </w:p>
        </w:tc>
        <w:tc>
          <w:tcPr>
            <w:tcW w:w="400" w:type="dxa"/>
            <w:vAlign w:val="bottom"/>
          </w:tcPr>
          <w:p>
            <w:pPr>
              <w:ind w:left="120"/>
              <w:spacing w:after="0" w:line="191" w:lineRule="exact"/>
              <w:rPr>
                <w:sz w:val="20"/>
                <w:szCs w:val="20"/>
                <w:color w:val="auto"/>
              </w:rPr>
            </w:pPr>
            <w:r>
              <w:rPr>
                <w:rFonts w:ascii="Arial" w:cs="Arial" w:eastAsia="Arial" w:hAnsi="Arial"/>
                <w:sz w:val="18"/>
                <w:szCs w:val="18"/>
                <w:b w:val="1"/>
                <w:bCs w:val="1"/>
                <w:color w:val="auto"/>
                <w:w w:val="92"/>
              </w:rPr>
              <w:t>par</w:t>
            </w:r>
          </w:p>
        </w:tc>
        <w:tc>
          <w:tcPr>
            <w:tcW w:w="720" w:type="dxa"/>
            <w:vAlign w:val="bottom"/>
          </w:tcPr>
          <w:p>
            <w:pPr>
              <w:spacing w:after="0"/>
              <w:rPr>
                <w:sz w:val="16"/>
                <w:szCs w:val="16"/>
                <w:color w:val="auto"/>
              </w:rPr>
            </w:pPr>
          </w:p>
        </w:tc>
        <w:tc>
          <w:tcPr>
            <w:tcW w:w="13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7"/>
              </w:rPr>
              <w:t>NRDE</w:t>
            </w: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80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99"/>
              </w:rPr>
              <w:t>OTC Pink*</w:t>
            </w:r>
          </w:p>
        </w:tc>
        <w:tc>
          <w:tcPr>
            <w:tcW w:w="20" w:type="dxa"/>
            <w:vAlign w:val="bottom"/>
          </w:tcPr>
          <w:p>
            <w:pPr>
              <w:spacing w:after="0"/>
              <w:rPr>
                <w:sz w:val="16"/>
                <w:szCs w:val="16"/>
                <w:color w:val="auto"/>
              </w:rPr>
            </w:pPr>
          </w:p>
        </w:tc>
      </w:tr>
      <w:tr>
        <w:trPr>
          <w:trHeight w:val="247"/>
        </w:trPr>
        <w:tc>
          <w:tcPr>
            <w:tcW w:w="2760" w:type="dxa"/>
            <w:vAlign w:val="bottom"/>
            <w:gridSpan w:val="3"/>
          </w:tcPr>
          <w:p>
            <w:pPr>
              <w:jc w:val="center"/>
              <w:ind w:left="290"/>
              <w:spacing w:after="0"/>
              <w:rPr>
                <w:sz w:val="20"/>
                <w:szCs w:val="20"/>
                <w:color w:val="auto"/>
              </w:rPr>
            </w:pPr>
            <w:r>
              <w:rPr>
                <w:rFonts w:ascii="Arial" w:cs="Arial" w:eastAsia="Arial" w:hAnsi="Arial"/>
                <w:sz w:val="18"/>
                <w:szCs w:val="18"/>
                <w:b w:val="1"/>
                <w:bCs w:val="1"/>
                <w:color w:val="auto"/>
                <w:w w:val="99"/>
              </w:rPr>
              <w:t>value $0.0001 per share</w:t>
            </w:r>
          </w:p>
        </w:tc>
        <w:tc>
          <w:tcPr>
            <w:tcW w:w="7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800" w:type="dxa"/>
            <w:vAlign w:val="bottom"/>
          </w:tcPr>
          <w:p>
            <w:pPr>
              <w:spacing w:after="0"/>
              <w:rPr>
                <w:sz w:val="21"/>
                <w:szCs w:val="21"/>
                <w:color w:val="auto"/>
              </w:rPr>
            </w:pPr>
          </w:p>
        </w:tc>
        <w:tc>
          <w:tcPr>
            <w:tcW w:w="20" w:type="dxa"/>
            <w:vAlign w:val="bottom"/>
          </w:tcPr>
          <w:p>
            <w:pPr>
              <w:spacing w:after="0"/>
              <w:rPr>
                <w:sz w:val="21"/>
                <w:szCs w:val="21"/>
                <w:color w:val="auto"/>
              </w:rPr>
            </w:pPr>
          </w:p>
        </w:tc>
      </w:tr>
    </w:tbl>
    <w:p>
      <w:pPr>
        <w:spacing w:after="0" w:line="33" w:lineRule="exact"/>
        <w:rPr>
          <w:sz w:val="24"/>
          <w:szCs w:val="24"/>
          <w:color w:val="auto"/>
        </w:rPr>
      </w:pPr>
    </w:p>
    <w:p>
      <w:pPr>
        <w:ind w:firstLine="324"/>
        <w:spacing w:after="0" w:line="178" w:lineRule="exact"/>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20" w:firstLine="324"/>
        <w:spacing w:after="0" w:line="178"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74" w:lineRule="exact"/>
        <w:rPr>
          <w:sz w:val="24"/>
          <w:szCs w:val="24"/>
          <w:color w:val="auto"/>
        </w:rPr>
      </w:pPr>
    </w:p>
    <w:p>
      <w:pPr>
        <w:ind w:right="120" w:firstLine="324"/>
        <w:spacing w:after="0" w:line="26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00"/>
          </w:cols>
          <w:pgMar w:left="980" w:top="844" w:right="1019" w:bottom="1440" w:gutter="0" w:footer="0" w:header="0"/>
          <w:type w:val="continuous"/>
        </w:sectPr>
      </w:pPr>
    </w:p>
    <w:p>
      <w:pPr>
        <w:spacing w:after="0" w:line="33" w:lineRule="exact"/>
        <w:rPr>
          <w:sz w:val="24"/>
          <w:szCs w:val="24"/>
          <w:color w:val="auto"/>
        </w:rPr>
      </w:pPr>
    </w:p>
    <w:p>
      <w:pPr>
        <w:ind w:left="860"/>
        <w:spacing w:after="0" w:line="161"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MS PGothic" w:cs="MS PGothic" w:eastAsia="MS PGothic" w:hAnsi="MS PGothic"/>
          <w:sz w:val="14"/>
          <w:szCs w:val="14"/>
          <w:color w:val="auto"/>
        </w:rPr>
        <w:t>☐</w:t>
      </w:r>
    </w:p>
    <w:p>
      <w:pPr>
        <w:spacing w:after="0" w:line="62" w:lineRule="exact"/>
        <w:rPr>
          <w:sz w:val="24"/>
          <w:szCs w:val="24"/>
          <w:color w:val="auto"/>
        </w:rPr>
      </w:pPr>
    </w:p>
    <w:p>
      <w:pPr>
        <w:ind w:left="1600"/>
        <w:spacing w:after="0" w:line="16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MS PGothic" w:cs="MS PGothic" w:eastAsia="MS PGothic" w:hAnsi="MS PGothic"/>
          <w:sz w:val="14"/>
          <w:szCs w:val="14"/>
          <w:color w:val="auto"/>
          <w:highlight w:val="black"/>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Accelerated filer</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880"/>
        <w:spacing w:after="0" w:line="161"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MS PGothic" w:cs="MS PGothic" w:eastAsia="MS PGothic" w:hAnsi="MS PGothic"/>
          <w:sz w:val="14"/>
          <w:szCs w:val="14"/>
          <w:color w:val="auto"/>
          <w:highlight w:val="black"/>
        </w:rPr>
        <w:t>☒</w:t>
      </w:r>
    </w:p>
    <w:p>
      <w:pPr>
        <w:spacing w:after="0" w:line="6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66" w:lineRule="exact"/>
        <w:rPr>
          <w:sz w:val="24"/>
          <w:szCs w:val="24"/>
          <w:color w:val="auto"/>
        </w:rPr>
      </w:pPr>
    </w:p>
    <w:p>
      <w:pPr>
        <w:sectPr>
          <w:pgSz w:w="11900" w:h="16838" w:orient="portrait"/>
          <w:cols w:equalWidth="0" w:num="3">
            <w:col w:w="3500" w:space="720"/>
            <w:col w:w="1620" w:space="720"/>
            <w:col w:w="3340"/>
          </w:cols>
          <w:pgMar w:left="980" w:top="844" w:right="1019" w:bottom="1440" w:gutter="0" w:footer="0" w:header="0"/>
          <w:type w:val="continuous"/>
        </w:sectPr>
      </w:pPr>
    </w:p>
    <w:p>
      <w:pPr>
        <w:ind w:right="180" w:firstLine="324"/>
        <w:spacing w:after="0" w:line="186"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43" w:lineRule="exact"/>
        <w:rPr>
          <w:sz w:val="24"/>
          <w:szCs w:val="24"/>
          <w:color w:val="auto"/>
        </w:rPr>
      </w:pPr>
    </w:p>
    <w:p>
      <w:pPr>
        <w:ind w:left="340" w:right="1540"/>
        <w:spacing w:after="0" w:line="253"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August 12, 2024, 16,096,296 shares of the registrant’s Class A common stock were outstanding.</w:t>
      </w:r>
    </w:p>
    <w:p>
      <w:pPr>
        <w:spacing w:after="0" w:line="80" w:lineRule="exact"/>
        <w:rPr>
          <w:sz w:val="24"/>
          <w:szCs w:val="24"/>
          <w:color w:val="auto"/>
        </w:rPr>
      </w:pPr>
    </w:p>
    <w:p>
      <w:pPr>
        <w:ind w:left="340" w:right="280" w:hanging="8"/>
        <w:spacing w:after="0" w:line="285" w:lineRule="auto"/>
        <w:tabs>
          <w:tab w:leader="none" w:pos="436"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registrant’s Class A common stock began trading exclusively on the over-the-counter market on July 7, 2023 under the symbol “RIDEQ.” On March 14, 2024, upon the Registrants emergence from Chapter 11 bankruptcy proceedings, the ticker symbol changed to “NRDE”.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457200</wp:posOffset>
            </wp:positionV>
            <wp:extent cx="629221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11430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54610</wp:posOffset>
            </wp:positionV>
            <wp:extent cx="629221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00"/>
          </w:cols>
          <w:pgMar w:left="980" w:top="844" w:right="1019"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 Ride Inc.</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f/k/a Lordstown Motors Corp.</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00" w:type="dxa"/>
            <w:vAlign w:val="bottom"/>
          </w:tcPr>
          <w:p>
            <w:pPr>
              <w:jc w:val="right"/>
              <w:ind w:right="25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21"/>
        </w:trPr>
        <w:tc>
          <w:tcPr>
            <w:tcW w:w="2860" w:type="dxa"/>
            <w:vAlign w:val="bottom"/>
            <w:gridSpan w:val="11"/>
            <w:vMerge w:val="restart"/>
          </w:tcPr>
          <w:p>
            <w:pPr>
              <w:spacing w:after="0"/>
              <w:rPr>
                <w:sz w:val="20"/>
                <w:szCs w:val="20"/>
                <w:color w:val="auto"/>
              </w:rPr>
            </w:pPr>
            <w:r>
              <w:rPr>
                <w:rFonts w:ascii="Arial" w:cs="Arial" w:eastAsia="Arial" w:hAnsi="Arial"/>
                <w:sz w:val="18"/>
                <w:szCs w:val="18"/>
                <w:color w:val="0000EE"/>
                <w:w w:val="98"/>
              </w:rPr>
              <w:t>PART I FINANCIAL INFORMATION</w:t>
            </w:r>
          </w:p>
        </w:tc>
        <w:tc>
          <w:tcPr>
            <w:tcW w:w="4940" w:type="dxa"/>
            <w:vAlign w:val="bottom"/>
            <w:gridSpan w:val="16"/>
            <w:vMerge w:val="restart"/>
          </w:tcPr>
          <w:p>
            <w:pPr>
              <w:spacing w:after="0"/>
              <w:rPr>
                <w:sz w:val="19"/>
                <w:szCs w:val="19"/>
                <w:color w:val="auto"/>
              </w:rPr>
            </w:pPr>
          </w:p>
        </w:tc>
        <w:tc>
          <w:tcPr>
            <w:tcW w:w="11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NUMBER</w:t>
            </w:r>
          </w:p>
        </w:tc>
        <w:tc>
          <w:tcPr>
            <w:tcW w:w="0" w:type="dxa"/>
            <w:vAlign w:val="bottom"/>
          </w:tcPr>
          <w:p>
            <w:pPr>
              <w:spacing w:after="0"/>
              <w:rPr>
                <w:sz w:val="1"/>
                <w:szCs w:val="1"/>
                <w:color w:val="auto"/>
              </w:rPr>
            </w:pPr>
          </w:p>
        </w:tc>
      </w:tr>
      <w:tr>
        <w:trPr>
          <w:trHeight w:val="174"/>
        </w:trPr>
        <w:tc>
          <w:tcPr>
            <w:tcW w:w="2860" w:type="dxa"/>
            <w:vAlign w:val="bottom"/>
            <w:tcBorders>
              <w:bottom w:val="single" w:sz="8" w:color="0000EE"/>
            </w:tcBorders>
            <w:gridSpan w:val="11"/>
            <w:vMerge w:val="continue"/>
          </w:tcPr>
          <w:p>
            <w:pPr>
              <w:spacing w:after="0"/>
              <w:rPr>
                <w:sz w:val="14"/>
                <w:szCs w:val="14"/>
                <w:color w:val="auto"/>
              </w:rPr>
            </w:pPr>
          </w:p>
        </w:tc>
        <w:tc>
          <w:tcPr>
            <w:tcW w:w="4940" w:type="dxa"/>
            <w:vAlign w:val="bottom"/>
            <w:gridSpan w:val="16"/>
            <w:vMerge w:val="continue"/>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2680" w:type="dxa"/>
            <w:vAlign w:val="bottom"/>
            <w:tcBorders>
              <w:bottom w:val="single" w:sz="8" w:color="0000EE"/>
            </w:tcBorders>
            <w:gridSpan w:val="14"/>
          </w:tcPr>
          <w:p>
            <w:pPr>
              <w:spacing w:after="0"/>
              <w:rPr>
                <w:sz w:val="20"/>
                <w:szCs w:val="20"/>
                <w:color w:val="auto"/>
              </w:rPr>
            </w:pPr>
            <w:r>
              <w:rPr>
                <w:rFonts w:ascii="Arial" w:cs="Arial" w:eastAsia="Arial" w:hAnsi="Arial"/>
                <w:sz w:val="18"/>
                <w:szCs w:val="18"/>
                <w:color w:val="0000EE"/>
                <w:w w:val="99"/>
              </w:rPr>
              <w:t>Financial Statements (Unaudited)</w:t>
            </w:r>
          </w:p>
        </w:tc>
        <w:tc>
          <w:tcPr>
            <w:tcW w:w="4060" w:type="dxa"/>
            <w:vAlign w:val="bottom"/>
            <w:gridSpan w:val="10"/>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Condensed Consolidated Balance Sheets as of June 30, 2024 and December 31,</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0" w:type="dxa"/>
            <w:vAlign w:val="bottom"/>
            <w:tcBorders>
              <w:top w:val="single" w:sz="8" w:color="0000EE"/>
              <w:bottom w:val="single" w:sz="8" w:color="0000EE"/>
            </w:tcBorders>
          </w:tcPr>
          <w:p>
            <w:pPr>
              <w:spacing w:after="0" w:line="182" w:lineRule="exact"/>
              <w:rPr>
                <w:sz w:val="20"/>
                <w:szCs w:val="20"/>
                <w:color w:val="auto"/>
              </w:rPr>
            </w:pPr>
            <w:r>
              <w:rPr>
                <w:rFonts w:ascii="Arial" w:cs="Arial" w:eastAsia="Arial" w:hAnsi="Arial"/>
                <w:sz w:val="18"/>
                <w:szCs w:val="18"/>
                <w:color w:val="0000EE"/>
                <w:w w:val="94"/>
              </w:rPr>
              <w:t>2023</w:t>
            </w:r>
          </w:p>
        </w:tc>
        <w:tc>
          <w:tcPr>
            <w:tcW w:w="24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20" w:type="dxa"/>
            <w:vAlign w:val="bottom"/>
            <w:tcBorders>
              <w:top w:val="single" w:sz="8" w:color="0000EE"/>
            </w:tcBorders>
          </w:tcPr>
          <w:p>
            <w:pPr>
              <w:spacing w:after="0"/>
              <w:rPr>
                <w:sz w:val="15"/>
                <w:szCs w:val="15"/>
                <w:color w:val="auto"/>
              </w:rPr>
            </w:pPr>
          </w:p>
        </w:tc>
        <w:tc>
          <w:tcPr>
            <w:tcW w:w="40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26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50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720" w:type="dxa"/>
            <w:vAlign w:val="bottom"/>
            <w:tcBorders>
              <w:top w:val="single" w:sz="8" w:color="0000EE"/>
            </w:tcBorders>
          </w:tcPr>
          <w:p>
            <w:pPr>
              <w:spacing w:after="0"/>
              <w:rPr>
                <w:sz w:val="15"/>
                <w:szCs w:val="15"/>
                <w:color w:val="auto"/>
              </w:rPr>
            </w:pPr>
          </w:p>
        </w:tc>
        <w:tc>
          <w:tcPr>
            <w:tcW w:w="1080" w:type="dxa"/>
            <w:vAlign w:val="bottom"/>
            <w:tcBorders>
              <w:top w:val="single" w:sz="8" w:color="0000EE"/>
            </w:tcBorders>
          </w:tcPr>
          <w:p>
            <w:pPr>
              <w:spacing w:after="0"/>
              <w:rPr>
                <w:sz w:val="15"/>
                <w:szCs w:val="15"/>
                <w:color w:val="auto"/>
              </w:rPr>
            </w:pPr>
          </w:p>
        </w:tc>
        <w:tc>
          <w:tcPr>
            <w:tcW w:w="240" w:type="dxa"/>
            <w:vAlign w:val="bottom"/>
            <w:tcBorders>
              <w:top w:val="single" w:sz="8" w:color="0000EE"/>
            </w:tcBorders>
          </w:tcPr>
          <w:p>
            <w:pPr>
              <w:spacing w:after="0"/>
              <w:rPr>
                <w:sz w:val="15"/>
                <w:szCs w:val="15"/>
                <w:color w:val="auto"/>
              </w:rPr>
            </w:pPr>
          </w:p>
        </w:tc>
        <w:tc>
          <w:tcPr>
            <w:tcW w:w="140" w:type="dxa"/>
            <w:vAlign w:val="bottom"/>
            <w:tcBorders>
              <w:top w:val="single" w:sz="8" w:color="0000EE"/>
            </w:tcBorders>
          </w:tcPr>
          <w:p>
            <w:pPr>
              <w:spacing w:after="0"/>
              <w:rPr>
                <w:sz w:val="15"/>
                <w:szCs w:val="15"/>
                <w:color w:val="auto"/>
              </w:rPr>
            </w:pPr>
          </w:p>
        </w:tc>
        <w:tc>
          <w:tcPr>
            <w:tcW w:w="13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Operations for the three and six months</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12"/>
          </w:tcPr>
          <w:p>
            <w:pPr>
              <w:spacing w:after="0" w:line="182" w:lineRule="exact"/>
              <w:rPr>
                <w:sz w:val="20"/>
                <w:szCs w:val="20"/>
                <w:color w:val="auto"/>
              </w:rPr>
            </w:pPr>
            <w:r>
              <w:rPr>
                <w:rFonts w:ascii="Arial" w:cs="Arial" w:eastAsia="Arial" w:hAnsi="Arial"/>
                <w:sz w:val="18"/>
                <w:szCs w:val="18"/>
                <w:color w:val="0000EE"/>
                <w:w w:val="99"/>
              </w:rPr>
              <w:t>ended June 30, 2024 and 2023</w:t>
            </w:r>
          </w:p>
        </w:tc>
        <w:tc>
          <w:tcPr>
            <w:tcW w:w="3900" w:type="dxa"/>
            <w:vAlign w:val="bottom"/>
            <w:tcBorders>
              <w:top w:val="single" w:sz="8" w:color="0000EE"/>
            </w:tcBorders>
            <w:gridSpan w:val="10"/>
          </w:tcPr>
          <w:p>
            <w:pPr>
              <w:spacing w:after="0"/>
              <w:rPr>
                <w:sz w:val="15"/>
                <w:szCs w:val="15"/>
                <w:color w:val="auto"/>
              </w:rPr>
            </w:pPr>
          </w:p>
        </w:tc>
        <w:tc>
          <w:tcPr>
            <w:tcW w:w="340" w:type="dxa"/>
            <w:vAlign w:val="bottom"/>
            <w:gridSpan w:val="2"/>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Stockholders’ Equity for the three and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240" w:type="dxa"/>
            <w:vAlign w:val="bottom"/>
            <w:tcBorders>
              <w:top w:val="single" w:sz="8" w:color="0000EE"/>
            </w:tcBorders>
            <w:gridSpan w:val="21"/>
          </w:tcPr>
          <w:p>
            <w:pPr>
              <w:spacing w:after="0" w:line="182" w:lineRule="exact"/>
              <w:rPr>
                <w:sz w:val="20"/>
                <w:szCs w:val="20"/>
                <w:color w:val="auto"/>
              </w:rPr>
            </w:pPr>
            <w:r>
              <w:rPr>
                <w:rFonts w:ascii="Arial" w:cs="Arial" w:eastAsia="Arial" w:hAnsi="Arial"/>
                <w:sz w:val="18"/>
                <w:szCs w:val="18"/>
                <w:color w:val="0000EE"/>
              </w:rPr>
              <w:t>six months ended June 30, 2024 and 2023</w:t>
            </w:r>
          </w:p>
        </w:tc>
        <w:tc>
          <w:tcPr>
            <w:tcW w:w="500" w:type="dxa"/>
            <w:vAlign w:val="bottom"/>
            <w:gridSpan w:val="3"/>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Condensed Consolidated Statements of Cash Flows for the six months ended</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83"/>
        </w:trPr>
        <w:tc>
          <w:tcPr>
            <w:tcW w:w="5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60" w:type="dxa"/>
            <w:vAlign w:val="bottom"/>
            <w:tcBorders>
              <w:top w:val="single" w:sz="8" w:color="0000EE"/>
              <w:bottom w:val="single" w:sz="8" w:color="0000EE"/>
            </w:tcBorders>
            <w:gridSpan w:val="10"/>
          </w:tcPr>
          <w:p>
            <w:pPr>
              <w:spacing w:after="0" w:line="182" w:lineRule="exact"/>
              <w:rPr>
                <w:sz w:val="20"/>
                <w:szCs w:val="20"/>
                <w:color w:val="auto"/>
              </w:rPr>
            </w:pPr>
            <w:r>
              <w:rPr>
                <w:rFonts w:ascii="Arial" w:cs="Arial" w:eastAsia="Arial" w:hAnsi="Arial"/>
                <w:sz w:val="18"/>
                <w:szCs w:val="18"/>
                <w:color w:val="0000EE"/>
                <w:w w:val="99"/>
              </w:rPr>
              <w:t>June 30, 2024 and 2023</w:t>
            </w:r>
          </w:p>
        </w:tc>
        <w:tc>
          <w:tcPr>
            <w:tcW w:w="4240" w:type="dxa"/>
            <w:vAlign w:val="bottom"/>
            <w:tcBorders>
              <w:top w:val="single" w:sz="8" w:color="0000EE"/>
            </w:tcBorders>
            <w:gridSpan w:val="10"/>
          </w:tcPr>
          <w:p>
            <w:pPr>
              <w:spacing w:after="0"/>
              <w:rPr>
                <w:sz w:val="15"/>
                <w:szCs w:val="15"/>
                <w:color w:val="auto"/>
              </w:rPr>
            </w:pPr>
          </w:p>
        </w:tc>
        <w:tc>
          <w:tcPr>
            <w:tcW w:w="540" w:type="dxa"/>
            <w:vAlign w:val="bottom"/>
            <w:gridSpan w:val="4"/>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480" w:type="dxa"/>
            <w:vAlign w:val="bottom"/>
            <w:tcBorders>
              <w:bottom w:val="single" w:sz="8" w:color="0000EE"/>
            </w:tcBorders>
            <w:gridSpan w:val="16"/>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260" w:type="dxa"/>
            <w:vAlign w:val="bottom"/>
            <w:gridSpan w:val="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385"/>
        </w:trPr>
        <w:tc>
          <w:tcPr>
            <w:tcW w:w="106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6740" w:type="dxa"/>
            <w:vAlign w:val="bottom"/>
            <w:gridSpan w:val="24"/>
          </w:tcPr>
          <w:p>
            <w:pPr>
              <w:spacing w:after="0"/>
              <w:rPr>
                <w:sz w:val="20"/>
                <w:szCs w:val="20"/>
                <w:color w:val="auto"/>
              </w:rPr>
            </w:pPr>
            <w:r>
              <w:rPr>
                <w:rFonts w:ascii="Arial" w:cs="Arial" w:eastAsia="Arial" w:hAnsi="Arial"/>
                <w:sz w:val="18"/>
                <w:szCs w:val="18"/>
                <w:color w:val="0000EE"/>
              </w:rPr>
              <w:t>Management’s Discussion and Analysis of Financial Condition and Results of</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83"/>
        </w:trPr>
        <w:tc>
          <w:tcPr>
            <w:tcW w:w="56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160" w:type="dxa"/>
            <w:vAlign w:val="bottom"/>
            <w:tcBorders>
              <w:top w:val="single" w:sz="8" w:color="0000EE"/>
            </w:tcBorders>
            <w:gridSpan w:val="19"/>
          </w:tcPr>
          <w:p>
            <w:pPr>
              <w:spacing w:after="0" w:line="182" w:lineRule="exact"/>
              <w:rPr>
                <w:sz w:val="20"/>
                <w:szCs w:val="20"/>
                <w:color w:val="auto"/>
              </w:rPr>
            </w:pPr>
            <w:r>
              <w:rPr>
                <w:rFonts w:ascii="Arial" w:cs="Arial" w:eastAsia="Arial" w:hAnsi="Arial"/>
                <w:sz w:val="18"/>
                <w:szCs w:val="18"/>
                <w:color w:val="0000EE"/>
              </w:rPr>
              <w:t>Operations</w:t>
            </w:r>
          </w:p>
        </w:tc>
        <w:tc>
          <w:tcPr>
            <w:tcW w:w="580" w:type="dxa"/>
            <w:vAlign w:val="bottom"/>
            <w:gridSpan w:val="5"/>
          </w:tcPr>
          <w:p>
            <w:pPr>
              <w:spacing w:after="0"/>
              <w:rPr>
                <w:sz w:val="15"/>
                <w:szCs w:val="15"/>
                <w:color w:val="auto"/>
              </w:rPr>
            </w:pPr>
          </w:p>
        </w:tc>
        <w:tc>
          <w:tcPr>
            <w:tcW w:w="1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20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3.</w:t>
            </w:r>
          </w:p>
        </w:tc>
        <w:tc>
          <w:tcPr>
            <w:tcW w:w="500" w:type="dxa"/>
            <w:vAlign w:val="bottom"/>
            <w:gridSpan w:val="2"/>
          </w:tcPr>
          <w:p>
            <w:pPr>
              <w:spacing w:after="0"/>
              <w:rPr>
                <w:sz w:val="24"/>
                <w:szCs w:val="24"/>
                <w:color w:val="auto"/>
              </w:rPr>
            </w:pPr>
          </w:p>
        </w:tc>
        <w:tc>
          <w:tcPr>
            <w:tcW w:w="4720" w:type="dxa"/>
            <w:vAlign w:val="bottom"/>
            <w:tcBorders>
              <w:bottom w:val="single" w:sz="8" w:color="0000EE"/>
            </w:tcBorders>
            <w:gridSpan w:val="17"/>
          </w:tcPr>
          <w:p>
            <w:pPr>
              <w:spacing w:after="0"/>
              <w:rPr>
                <w:sz w:val="20"/>
                <w:szCs w:val="20"/>
                <w:color w:val="auto"/>
              </w:rPr>
            </w:pPr>
            <w:r>
              <w:rPr>
                <w:rFonts w:ascii="Arial" w:cs="Arial" w:eastAsia="Arial" w:hAnsi="Arial"/>
                <w:sz w:val="18"/>
                <w:szCs w:val="18"/>
                <w:color w:val="0000EE"/>
                <w:w w:val="99"/>
              </w:rPr>
              <w:t>Quantitative and Qualitative Disclosures About Market Risk</w:t>
            </w:r>
          </w:p>
        </w:tc>
        <w:tc>
          <w:tcPr>
            <w:tcW w:w="2020" w:type="dxa"/>
            <w:vAlign w:val="bottom"/>
            <w:gridSpan w:val="7"/>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500" w:type="dxa"/>
            <w:vAlign w:val="bottom"/>
            <w:gridSpan w:val="2"/>
          </w:tcPr>
          <w:p>
            <w:pPr>
              <w:spacing w:after="0"/>
              <w:rPr>
                <w:sz w:val="24"/>
                <w:szCs w:val="24"/>
                <w:color w:val="auto"/>
              </w:rPr>
            </w:pPr>
          </w:p>
        </w:tc>
        <w:tc>
          <w:tcPr>
            <w:tcW w:w="200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Controls and Procedures</w:t>
            </w:r>
          </w:p>
        </w:tc>
        <w:tc>
          <w:tcPr>
            <w:tcW w:w="4740" w:type="dxa"/>
            <w:vAlign w:val="bottom"/>
            <w:gridSpan w:val="13"/>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588"/>
        </w:trPr>
        <w:tc>
          <w:tcPr>
            <w:tcW w:w="2600" w:type="dxa"/>
            <w:vAlign w:val="bottom"/>
            <w:tcBorders>
              <w:bottom w:val="single" w:sz="8" w:color="0000EE"/>
            </w:tcBorders>
            <w:gridSpan w:val="10"/>
          </w:tcPr>
          <w:p>
            <w:pPr>
              <w:spacing w:after="0"/>
              <w:rPr>
                <w:sz w:val="20"/>
                <w:szCs w:val="20"/>
                <w:color w:val="auto"/>
              </w:rPr>
            </w:pPr>
            <w:r>
              <w:rPr>
                <w:rFonts w:ascii="Arial" w:cs="Arial" w:eastAsia="Arial" w:hAnsi="Arial"/>
                <w:sz w:val="18"/>
                <w:szCs w:val="18"/>
                <w:color w:val="0000EE"/>
                <w:w w:val="98"/>
              </w:rPr>
              <w:t>PART II OTHER INFORMATION</w:t>
            </w:r>
          </w:p>
        </w:tc>
        <w:tc>
          <w:tcPr>
            <w:tcW w:w="5200" w:type="dxa"/>
            <w:vAlign w:val="bottom"/>
            <w:gridSpan w:val="17"/>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1.</w:t>
            </w:r>
          </w:p>
        </w:tc>
        <w:tc>
          <w:tcPr>
            <w:tcW w:w="500" w:type="dxa"/>
            <w:vAlign w:val="bottom"/>
            <w:gridSpan w:val="2"/>
          </w:tcPr>
          <w:p>
            <w:pPr>
              <w:spacing w:after="0"/>
              <w:rPr>
                <w:sz w:val="24"/>
                <w:szCs w:val="24"/>
                <w:color w:val="auto"/>
              </w:rPr>
            </w:pPr>
          </w:p>
        </w:tc>
        <w:tc>
          <w:tcPr>
            <w:tcW w:w="1500" w:type="dxa"/>
            <w:vAlign w:val="bottom"/>
            <w:tcBorders>
              <w:bottom w:val="single" w:sz="8" w:color="0000EE"/>
            </w:tcBorders>
            <w:gridSpan w:val="6"/>
          </w:tcPr>
          <w:p>
            <w:pPr>
              <w:spacing w:after="0"/>
              <w:rPr>
                <w:sz w:val="20"/>
                <w:szCs w:val="20"/>
                <w:color w:val="auto"/>
              </w:rPr>
            </w:pPr>
            <w:r>
              <w:rPr>
                <w:rFonts w:ascii="Arial" w:cs="Arial" w:eastAsia="Arial" w:hAnsi="Arial"/>
                <w:sz w:val="18"/>
                <w:szCs w:val="18"/>
                <w:color w:val="0000EE"/>
                <w:w w:val="99"/>
              </w:rPr>
              <w:t>Legal Proceedings</w:t>
            </w:r>
          </w:p>
        </w:tc>
        <w:tc>
          <w:tcPr>
            <w:tcW w:w="5240" w:type="dxa"/>
            <w:vAlign w:val="bottom"/>
            <w:gridSpan w:val="18"/>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680" w:type="dxa"/>
            <w:vAlign w:val="bottom"/>
            <w:gridSpan w:val="2"/>
          </w:tcPr>
          <w:p>
            <w:pPr>
              <w:spacing w:after="0"/>
              <w:rPr>
                <w:sz w:val="20"/>
                <w:szCs w:val="20"/>
                <w:color w:val="auto"/>
              </w:rPr>
            </w:pPr>
            <w:r>
              <w:rPr>
                <w:rFonts w:ascii="Arial" w:cs="Arial" w:eastAsia="Arial" w:hAnsi="Arial"/>
                <w:sz w:val="18"/>
                <w:szCs w:val="18"/>
                <w:color w:val="0000EE"/>
                <w:w w:val="98"/>
              </w:rPr>
              <w:t>Item 1A.</w:t>
            </w:r>
          </w:p>
        </w:tc>
        <w:tc>
          <w:tcPr>
            <w:tcW w:w="380" w:type="dxa"/>
            <w:vAlign w:val="bottom"/>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Risk Factors</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0"/>
        </w:trPr>
        <w:tc>
          <w:tcPr>
            <w:tcW w:w="680" w:type="dxa"/>
            <w:vAlign w:val="bottom"/>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40" w:type="dxa"/>
            <w:vAlign w:val="bottom"/>
            <w:gridSpan w:val="4"/>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2340" w:type="dxa"/>
            <w:vAlign w:val="bottom"/>
            <w:gridSpan w:val="5"/>
          </w:tcPr>
          <w:p>
            <w:pPr>
              <w:spacing w:after="0" w:line="20" w:lineRule="exact"/>
              <w:rPr>
                <w:sz w:val="1"/>
                <w:szCs w:val="1"/>
                <w:color w:val="auto"/>
              </w:rPr>
            </w:pPr>
          </w:p>
        </w:tc>
        <w:tc>
          <w:tcPr>
            <w:tcW w:w="1880" w:type="dxa"/>
            <w:vAlign w:val="bottom"/>
            <w:gridSpan w:val="6"/>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560" w:type="dxa"/>
            <w:vAlign w:val="bottom"/>
            <w:tcBorders>
              <w:bottom w:val="single" w:sz="8" w:color="0000EE"/>
            </w:tcBorders>
          </w:tcPr>
          <w:p>
            <w:pPr>
              <w:spacing w:after="0"/>
              <w:rPr>
                <w:sz w:val="20"/>
                <w:szCs w:val="20"/>
                <w:color w:val="auto"/>
              </w:rPr>
            </w:pPr>
            <w:r>
              <w:rPr>
                <w:rFonts w:ascii="Arial" w:cs="Arial" w:eastAsia="Arial" w:hAnsi="Arial"/>
                <w:sz w:val="18"/>
                <w:szCs w:val="18"/>
                <w:color w:val="0000EE"/>
                <w:w w:val="98"/>
              </w:rPr>
              <w:t>Item 2.</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860" w:type="dxa"/>
            <w:vAlign w:val="bottom"/>
            <w:tcBorders>
              <w:bottom w:val="single" w:sz="8" w:color="0000EE"/>
            </w:tcBorders>
            <w:gridSpan w:val="18"/>
          </w:tcPr>
          <w:p>
            <w:pPr>
              <w:spacing w:after="0"/>
              <w:rPr>
                <w:sz w:val="20"/>
                <w:szCs w:val="20"/>
                <w:color w:val="auto"/>
              </w:rPr>
            </w:pPr>
            <w:r>
              <w:rPr>
                <w:rFonts w:ascii="Arial" w:cs="Arial" w:eastAsia="Arial" w:hAnsi="Arial"/>
                <w:sz w:val="18"/>
                <w:szCs w:val="18"/>
                <w:color w:val="0000EE"/>
                <w:w w:val="99"/>
              </w:rPr>
              <w:t>Unregistered Sales of Equity Securities and Use of Proceeds</w:t>
            </w:r>
          </w:p>
        </w:tc>
        <w:tc>
          <w:tcPr>
            <w:tcW w:w="1880" w:type="dxa"/>
            <w:vAlign w:val="bottom"/>
            <w:gridSpan w:val="6"/>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8"/>
              </w:rPr>
              <w:t>Item 3.</w:t>
            </w:r>
          </w:p>
        </w:tc>
        <w:tc>
          <w:tcPr>
            <w:tcW w:w="500" w:type="dxa"/>
            <w:vAlign w:val="bottom"/>
            <w:gridSpan w:val="2"/>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Defaults upon Senior Securities</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4.</w:t>
            </w:r>
          </w:p>
        </w:tc>
        <w:tc>
          <w:tcPr>
            <w:tcW w:w="500" w:type="dxa"/>
            <w:vAlign w:val="bottom"/>
            <w:gridSpan w:val="2"/>
          </w:tcPr>
          <w:p>
            <w:pPr>
              <w:spacing w:after="0"/>
              <w:rPr>
                <w:sz w:val="24"/>
                <w:szCs w:val="24"/>
                <w:color w:val="auto"/>
              </w:rPr>
            </w:pPr>
          </w:p>
        </w:tc>
        <w:tc>
          <w:tcPr>
            <w:tcW w:w="1940" w:type="dxa"/>
            <w:vAlign w:val="bottom"/>
            <w:tcBorders>
              <w:top w:val="single" w:sz="8" w:color="0000EE"/>
              <w:bottom w:val="single" w:sz="8" w:color="0000EE"/>
            </w:tcBorders>
            <w:gridSpan w:val="9"/>
          </w:tcPr>
          <w:p>
            <w:pPr>
              <w:spacing w:after="0"/>
              <w:rPr>
                <w:sz w:val="20"/>
                <w:szCs w:val="20"/>
                <w:color w:val="auto"/>
              </w:rPr>
            </w:pPr>
            <w:r>
              <w:rPr>
                <w:rFonts w:ascii="Arial" w:cs="Arial" w:eastAsia="Arial" w:hAnsi="Arial"/>
                <w:sz w:val="18"/>
                <w:szCs w:val="18"/>
                <w:color w:val="0000EE"/>
                <w:w w:val="99"/>
              </w:rPr>
              <w:t>Mine Safety Disclosures</w:t>
            </w:r>
          </w:p>
        </w:tc>
        <w:tc>
          <w:tcPr>
            <w:tcW w:w="580" w:type="dxa"/>
            <w:vAlign w:val="bottom"/>
            <w:tcBorders>
              <w:top w:val="single" w:sz="8" w:color="0000EE"/>
            </w:tcBorders>
            <w:gridSpan w:val="4"/>
          </w:tcPr>
          <w:p>
            <w:pPr>
              <w:spacing w:after="0"/>
              <w:rPr>
                <w:sz w:val="24"/>
                <w:szCs w:val="24"/>
                <w:color w:val="auto"/>
              </w:rPr>
            </w:pPr>
          </w:p>
        </w:tc>
        <w:tc>
          <w:tcPr>
            <w:tcW w:w="4220" w:type="dxa"/>
            <w:vAlign w:val="bottom"/>
            <w:gridSpan w:val="11"/>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0"/>
                <w:szCs w:val="20"/>
                <w:color w:val="auto"/>
              </w:rPr>
            </w:pPr>
            <w:r>
              <w:rPr>
                <w:rFonts w:ascii="Arial" w:cs="Arial" w:eastAsia="Arial" w:hAnsi="Arial"/>
                <w:sz w:val="18"/>
                <w:szCs w:val="18"/>
                <w:color w:val="0000EE"/>
                <w:w w:val="98"/>
              </w:rPr>
              <w:t>Item 5.</w:t>
            </w:r>
          </w:p>
        </w:tc>
        <w:tc>
          <w:tcPr>
            <w:tcW w:w="500" w:type="dxa"/>
            <w:vAlign w:val="bottom"/>
            <w:gridSpan w:val="2"/>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Other Information</w:t>
            </w:r>
          </w:p>
        </w:tc>
        <w:tc>
          <w:tcPr>
            <w:tcW w:w="11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85"/>
        </w:trPr>
        <w:tc>
          <w:tcPr>
            <w:tcW w:w="560" w:type="dxa"/>
            <w:vAlign w:val="bottom"/>
            <w:tcBorders>
              <w:top w:val="single" w:sz="8" w:color="0000EE"/>
              <w:bottom w:val="single" w:sz="8" w:color="0000EE"/>
            </w:tcBorders>
          </w:tcPr>
          <w:p>
            <w:pPr>
              <w:spacing w:after="0"/>
              <w:rPr>
                <w:sz w:val="20"/>
                <w:szCs w:val="20"/>
                <w:color w:val="auto"/>
              </w:rPr>
            </w:pPr>
            <w:r>
              <w:rPr>
                <w:rFonts w:ascii="Arial" w:cs="Arial" w:eastAsia="Arial" w:hAnsi="Arial"/>
                <w:sz w:val="18"/>
                <w:szCs w:val="18"/>
                <w:color w:val="0000EE"/>
                <w:w w:val="98"/>
              </w:rPr>
              <w:t>Item 6.</w:t>
            </w:r>
          </w:p>
        </w:tc>
        <w:tc>
          <w:tcPr>
            <w:tcW w:w="500" w:type="dxa"/>
            <w:vAlign w:val="bottom"/>
            <w:gridSpan w:val="2"/>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sz w:val="20"/>
                <w:szCs w:val="20"/>
                <w:color w:val="auto"/>
              </w:rPr>
            </w:pPr>
            <w:r>
              <w:rPr>
                <w:rFonts w:ascii="Arial" w:cs="Arial" w:eastAsia="Arial" w:hAnsi="Arial"/>
                <w:sz w:val="18"/>
                <w:szCs w:val="18"/>
                <w:color w:val="0000EE"/>
                <w:w w:val="98"/>
              </w:rPr>
              <w:t>Exhibits</w:t>
            </w:r>
          </w:p>
        </w:tc>
        <w:tc>
          <w:tcPr>
            <w:tcW w:w="760" w:type="dxa"/>
            <w:vAlign w:val="bottom"/>
            <w:tcBorders>
              <w:top w:val="single" w:sz="8" w:color="0000EE"/>
            </w:tcBorders>
            <w:gridSpan w:val="3"/>
          </w:tcPr>
          <w:p>
            <w:pPr>
              <w:spacing w:after="0"/>
              <w:rPr>
                <w:sz w:val="24"/>
                <w:szCs w:val="24"/>
                <w:color w:val="auto"/>
              </w:rPr>
            </w:pPr>
          </w:p>
        </w:tc>
        <w:tc>
          <w:tcPr>
            <w:tcW w:w="5340" w:type="dxa"/>
            <w:vAlign w:val="bottom"/>
            <w:gridSpan w:val="19"/>
          </w:tcPr>
          <w:p>
            <w:pPr>
              <w:spacing w:after="0"/>
              <w:rPr>
                <w:sz w:val="24"/>
                <w:szCs w:val="24"/>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5"/>
        </w:trPr>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740" w:type="dxa"/>
            <w:vAlign w:val="bottom"/>
            <w:gridSpan w:val="24"/>
          </w:tcPr>
          <w:p>
            <w:pPr>
              <w:spacing w:after="0"/>
              <w:rPr>
                <w:sz w:val="20"/>
                <w:szCs w:val="20"/>
                <w:color w:val="auto"/>
              </w:rPr>
            </w:pPr>
            <w:r>
              <w:rPr>
                <w:rFonts w:ascii="Arial" w:cs="Arial" w:eastAsia="Arial" w:hAnsi="Arial"/>
                <w:sz w:val="18"/>
                <w:szCs w:val="18"/>
                <w:color w:val="0000EE"/>
              </w:rPr>
              <w:t>SIGNATURE</w:t>
            </w:r>
          </w:p>
        </w:tc>
        <w:tc>
          <w:tcPr>
            <w:tcW w:w="110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66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12"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This report, including, without limitation, statements under the heading “Management’s Discussion and Analysis of Financial Condition and Results of Operations,” includes forward-looking statements within the meaning of Section 27A of the Securities Act of 1933, as amended (the “Securities Act”), and Section 21E of the Securities Exchange Act of 1934, as amended (the “Exchange Act”). These forward-looking statements can be identified by the use of forward-looking terminology, including the words “believes,” “estimates,” “anticipates,” “expects,” “intends,” “plans,” “may,” “will,” “potential,” “projects,” “predicts,” “continue,” “could” or “should,” or, in each case, their negative or other variations or comparable terminology, although not all forward-looking statements are accompanied by such terms. There can be no assurance that actual results will not materially differ from expectations. Such statements include, but are not limited to, any statements regarding our intentions, beliefs or current expectations concerning, among other things, our results of operations, financial condition, liquidity, financial or operational prospects, growth, strategies, and possible business combinations and the financing thereof, and related matters, and any other statements that are not statements of current or historical facts.</w:t>
      </w:r>
    </w:p>
    <w:p>
      <w:pPr>
        <w:spacing w:after="0" w:line="156" w:lineRule="exact"/>
        <w:rPr>
          <w:sz w:val="20"/>
          <w:szCs w:val="20"/>
          <w:color w:val="auto"/>
        </w:rPr>
      </w:pPr>
    </w:p>
    <w:p>
      <w:pPr>
        <w:ind w:left="60" w:right="79"/>
        <w:spacing w:after="0" w:line="253" w:lineRule="auto"/>
        <w:rPr>
          <w:sz w:val="20"/>
          <w:szCs w:val="20"/>
          <w:color w:val="auto"/>
        </w:rPr>
      </w:pPr>
      <w:r>
        <w:rPr>
          <w:rFonts w:ascii="Arial" w:cs="Arial" w:eastAsia="Arial" w:hAnsi="Arial"/>
          <w:sz w:val="17"/>
          <w:szCs w:val="17"/>
          <w:color w:val="auto"/>
        </w:rPr>
        <w:t>By their nature, forward-looking statements involve risks and uncertainties because they relate to events and depend on circumstances that may or may not occur in the future. Forward-looking statements are based upon assumptions and are not guarantees of future performance. Actual results may differ materially from those contained in forward-looking statements due to various factors, including, but not limited to: limited management, labor, and financial resources; our reliance upon third parties for key aspects of our business; our ability to maintain adequate internal controls; our ability to maintain a market in our securities; our ability to continue as a going concern; and our ability obtain financing, if and when needed, on terms that are acceptable, as well as those risks and factors described in the “Risk Factors” section of our Annual Report on Form 10-K for the year ended December 31, 2023 and our Quarterly Report on Form 10-Q for the quarter ended March 31, 2024. You are cautioned not to place undue reliance on these forward -looking statements, which speak only as of the date of this report, and we undertake no obligation to update or revise any forward-looking statements, whether as a result of new information, future events or otherwise, except as may be required by law.</w:t>
      </w:r>
    </w:p>
    <w:p>
      <w:pPr>
        <w:spacing w:after="0" w:line="133" w:lineRule="exact"/>
        <w:rPr>
          <w:sz w:val="20"/>
          <w:szCs w:val="20"/>
          <w:color w:val="auto"/>
        </w:rPr>
      </w:pPr>
    </w:p>
    <w:p>
      <w:pPr>
        <w:ind w:left="60" w:right="239"/>
        <w:spacing w:after="0"/>
        <w:rPr>
          <w:sz w:val="20"/>
          <w:szCs w:val="20"/>
          <w:color w:val="auto"/>
        </w:rPr>
      </w:pPr>
      <w:r>
        <w:rPr>
          <w:rFonts w:ascii="Arial" w:cs="Arial" w:eastAsia="Arial" w:hAnsi="Arial"/>
          <w:sz w:val="18"/>
          <w:szCs w:val="18"/>
          <w:color w:val="auto"/>
        </w:rPr>
        <w:t>You are cautioned that trading in shares of our Class A common stock is highly speculative. Trading prices for our Class A common stock may bear little or no relation to actual value, if any. In addition, our Second Amended and Restated Certificate of Incorporation contains certain trading restrictions, which are designed to support our efforts to preserve our net operating loss carryforwards and other tax attributes and generally restrict transactions involving any person or group of persons that is or as a result of such a transaction would become a substantial stockholder (i.e., would beneficially own, directly or indirectly, 4.5% or more of all issued and outstanding shares of Class A common stock). Accordingly, we urge extreme caution with respect to existing and future investments in our Class A common stock.</w:t>
      </w:r>
    </w:p>
    <w:p>
      <w:pPr>
        <w:spacing w:after="0" w:line="14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Unless the context indicates otherwise, references in this report to the “Company,” “Lordstown,” “Debtors,” “we,” “us,” “our” and similar terms refer to Nu Ride Inc. (f/k/a Lordstown Motors Corp.; f/k/a DiamondPeak Holdings Corp.) and its consolidated subsidiaries (including Legacy Lordstown (as defined below)). References to “DiamondPeak” refer to our predecessor company prior to the consummation of merger completed on October 23, 2020 pursuant to the Agreement and Plan of Merger, dated as of August 1, 2020 (the “Business Combination Agreement”), by and among DiamondPeak, DPL Merger Sub Corp. (“Merger Sub”) and Lordstown Motors Corp. (“Legacy Lordstown” and now known as Lordstown EV Corporation), pursuant to which Merger Sub merged with and into Legacy Lordstown, with Legacy Lordstown surviving the merger as a wholly-owned subsidiary of DiamondPeak (the “Merger” and, together with the other transactions contemplated by the Business Combination Agreement, the “Business Combination”).</w:t>
      </w:r>
    </w:p>
    <w:p>
      <w:pPr>
        <w:spacing w:after="0" w:line="15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Unless the context indicates otherwise, all shares of our Class A common stock are presented after giving effect to the 1:15 reverse stock split of the outstanding Class A common stock, which became effective on May 24,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FINANCIAL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share and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4"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31"/>
              <w:spacing w:after="0"/>
              <w:rPr>
                <w:sz w:val="20"/>
                <w:szCs w:val="20"/>
                <w:color w:val="auto"/>
              </w:rPr>
            </w:pPr>
            <w:r>
              <w:rPr>
                <w:rFonts w:ascii="Arial" w:cs="Arial" w:eastAsia="Arial" w:hAnsi="Arial"/>
                <w:sz w:val="14"/>
                <w:szCs w:val="14"/>
                <w:b w:val="1"/>
                <w:bCs w:val="1"/>
                <w:color w:val="auto"/>
              </w:rPr>
              <w:t>June 30, 2024</w:t>
            </w:r>
          </w:p>
        </w:tc>
        <w:tc>
          <w:tcPr>
            <w:tcW w:w="180" w:type="dxa"/>
            <w:vAlign w:val="bottom"/>
            <w:tcBorders>
              <w:bottom w:val="single" w:sz="8" w:color="CCEEFF"/>
            </w:tcBorders>
          </w:tcPr>
          <w:p>
            <w:pPr>
              <w:spacing w:after="0"/>
              <w:rPr>
                <w:sz w:val="14"/>
                <w:szCs w:val="14"/>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2500"/>
              <w:spacing w:after="0" w:line="19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Current Assets</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Cash and cash equivalents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20,943</w:t>
            </w:r>
          </w:p>
        </w:tc>
        <w:tc>
          <w:tcPr>
            <w:tcW w:w="44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87,096</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Restricted cash</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41,309</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Prepaid insurance</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393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2,825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Other current assets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1,068</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assets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63,713</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92,139</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Other non-current assets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63,713</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92,169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ind w:left="20"/>
              <w:spacing w:after="0" w:line="196" w:lineRule="exact"/>
              <w:rPr>
                <w:sz w:val="20"/>
                <w:szCs w:val="20"/>
                <w:color w:val="auto"/>
              </w:rPr>
            </w:pPr>
            <w:r>
              <w:rPr>
                <w:rFonts w:ascii="Arial" w:cs="Arial" w:eastAsia="Arial" w:hAnsi="Arial"/>
                <w:sz w:val="18"/>
                <w:szCs w:val="18"/>
                <w:b w:val="1"/>
                <w:bCs w:val="1"/>
                <w:color w:val="auto"/>
              </w:rPr>
              <w:t>LIABILITIES, MEZZANINE EQUITY AND STOCKHOLDERS’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Current Liabilities</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Accounts payable</w:t>
            </w:r>
          </w:p>
        </w:tc>
        <w:tc>
          <w:tcPr>
            <w:tcW w:w="26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333</w:t>
            </w:r>
          </w:p>
        </w:tc>
        <w:tc>
          <w:tcPr>
            <w:tcW w:w="440" w:type="dxa"/>
            <w:vAlign w:val="bottom"/>
            <w:gridSpan w:val="2"/>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933</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Accrued legal and professional</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1,111</w:t>
            </w: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12,815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8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281</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200"/>
              <w:spacing w:after="0" w:line="196" w:lineRule="exact"/>
              <w:rPr>
                <w:sz w:val="20"/>
                <w:szCs w:val="20"/>
                <w:color w:val="auto"/>
              </w:rPr>
            </w:pPr>
            <w:r>
              <w:rPr>
                <w:rFonts w:ascii="Arial" w:cs="Arial" w:eastAsia="Arial" w:hAnsi="Arial"/>
                <w:sz w:val="18"/>
                <w:szCs w:val="18"/>
                <w:color w:val="auto"/>
              </w:rPr>
              <w:t>Total current liabilities</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1,725</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15,398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Pr>
          <w:p>
            <w:pPr>
              <w:spacing w:after="0" w:line="196" w:lineRule="exact"/>
              <w:rPr>
                <w:sz w:val="20"/>
                <w:szCs w:val="20"/>
                <w:color w:val="auto"/>
              </w:rPr>
            </w:pPr>
            <w:r>
              <w:rPr>
                <w:rFonts w:ascii="Arial" w:cs="Arial" w:eastAsia="Arial" w:hAnsi="Arial"/>
                <w:sz w:val="18"/>
                <w:szCs w:val="18"/>
                <w:color w:val="auto"/>
              </w:rPr>
              <w:t>Liabilities subject to compromise</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19,367</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30,467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200"/>
              <w:spacing w:after="0" w:line="202" w:lineRule="exact"/>
              <w:rPr>
                <w:sz w:val="20"/>
                <w:szCs w:val="20"/>
                <w:color w:val="auto"/>
              </w:rPr>
            </w:pPr>
            <w:r>
              <w:rPr>
                <w:rFonts w:ascii="Arial" w:cs="Arial" w:eastAsia="Arial" w:hAnsi="Arial"/>
                <w:sz w:val="18"/>
                <w:szCs w:val="18"/>
                <w:color w:val="auto"/>
              </w:rPr>
              <w:t>Total liabilities</w:t>
            </w:r>
          </w:p>
        </w:tc>
        <w:tc>
          <w:tcPr>
            <w:tcW w:w="26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21,092</w:t>
            </w:r>
          </w:p>
        </w:tc>
        <w:tc>
          <w:tcPr>
            <w:tcW w:w="440" w:type="dxa"/>
            <w:vAlign w:val="bottom"/>
            <w:gridSpan w:val="2"/>
            <w:shd w:val="clear" w:color="auto" w:fill="CCEEFF"/>
          </w:tcPr>
          <w:p>
            <w:pPr>
              <w:jc w:val="right"/>
              <w:ind w:right="107"/>
              <w:spacing w:after="0" w:line="202" w:lineRule="exact"/>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45,865</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586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Commitments and contingencies (Note 8)</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Mezzanine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6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Series A Convertible Preferred stock, $0.0001 par value, 12,000,000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shares authorized; 300,000 shares issued and outstanding as of</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June 30, 2024 and December 31, 2023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34,078</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32,755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spacing w:after="0" w:line="202" w:lineRule="exact"/>
              <w:rPr>
                <w:sz w:val="20"/>
                <w:szCs w:val="20"/>
                <w:color w:val="auto"/>
              </w:rPr>
            </w:pPr>
            <w:r>
              <w:rPr>
                <w:rFonts w:ascii="Arial" w:cs="Arial" w:eastAsia="Arial" w:hAnsi="Arial"/>
                <w:sz w:val="18"/>
                <w:szCs w:val="18"/>
                <w:color w:val="auto"/>
              </w:rPr>
              <w:t>Stockholders’ equity</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5860" w:type="dxa"/>
            <w:vAlign w:val="bottom"/>
            <w:shd w:val="clear" w:color="auto" w:fill="CCEEFF"/>
          </w:tcPr>
          <w:p>
            <w:pPr>
              <w:ind w:left="80"/>
              <w:spacing w:after="0" w:line="183" w:lineRule="exact"/>
              <w:rPr>
                <w:sz w:val="20"/>
                <w:szCs w:val="20"/>
                <w:color w:val="auto"/>
              </w:rPr>
            </w:pPr>
            <w:r>
              <w:rPr>
                <w:rFonts w:ascii="Arial" w:cs="Arial" w:eastAsia="Arial" w:hAnsi="Arial"/>
                <w:sz w:val="18"/>
                <w:szCs w:val="18"/>
                <w:color w:val="auto"/>
              </w:rPr>
              <w:t>Class A common stock, $0.0001 par value, 450,000,000 shares</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authorized;16,096,296 and 15,953,212 shares issued and outstanding</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860" w:type="dxa"/>
            <w:vAlign w:val="bottom"/>
            <w:shd w:val="clear" w:color="auto" w:fill="CCEEFF"/>
          </w:tcPr>
          <w:p>
            <w:pPr>
              <w:ind w:left="80"/>
              <w:spacing w:after="0"/>
              <w:rPr>
                <w:sz w:val="20"/>
                <w:szCs w:val="20"/>
                <w:color w:val="auto"/>
              </w:rPr>
            </w:pPr>
            <w:r>
              <w:rPr>
                <w:rFonts w:ascii="Arial" w:cs="Arial" w:eastAsia="Arial" w:hAnsi="Arial"/>
                <w:sz w:val="18"/>
                <w:szCs w:val="18"/>
                <w:color w:val="auto"/>
              </w:rPr>
              <w:t>as of June 30, 2024 and December 31, 2023, respectively</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440" w:type="dxa"/>
            <w:vAlign w:val="bottom"/>
            <w:gridSpan w:val="2"/>
            <w:shd w:val="clear" w:color="auto" w:fill="CCEEFF"/>
          </w:tcPr>
          <w:p>
            <w:pPr>
              <w:jc w:val="right"/>
              <w:ind w:right="107"/>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tcPr>
          <w:p>
            <w:pPr>
              <w:ind w:left="80"/>
              <w:spacing w:after="0" w:line="202" w:lineRule="exact"/>
              <w:rPr>
                <w:sz w:val="20"/>
                <w:szCs w:val="20"/>
                <w:color w:val="auto"/>
              </w:rPr>
            </w:pPr>
            <w:r>
              <w:rPr>
                <w:rFonts w:ascii="Arial" w:cs="Arial" w:eastAsia="Arial" w:hAnsi="Arial"/>
                <w:sz w:val="18"/>
                <w:szCs w:val="18"/>
                <w:color w:val="auto"/>
              </w:rPr>
              <w:t>Additional paid in capital</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line="202" w:lineRule="exact"/>
              <w:rPr>
                <w:sz w:val="20"/>
                <w:szCs w:val="20"/>
                <w:color w:val="auto"/>
              </w:rPr>
            </w:pPr>
            <w:r>
              <w:rPr>
                <w:rFonts w:ascii="Arial" w:cs="Arial" w:eastAsia="Arial" w:hAnsi="Arial"/>
                <w:sz w:val="18"/>
                <w:szCs w:val="18"/>
                <w:color w:val="auto"/>
              </w:rPr>
              <w:t>1,185,793</w:t>
            </w: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jc w:val="right"/>
              <w:spacing w:after="0" w:line="202" w:lineRule="exact"/>
              <w:rPr>
                <w:sz w:val="20"/>
                <w:szCs w:val="20"/>
                <w:color w:val="auto"/>
              </w:rPr>
            </w:pPr>
            <w:r>
              <w:rPr>
                <w:rFonts w:ascii="Arial" w:cs="Arial" w:eastAsia="Arial" w:hAnsi="Arial"/>
                <w:sz w:val="18"/>
                <w:szCs w:val="18"/>
                <w:color w:val="auto"/>
              </w:rPr>
              <w:t>1,183,804</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586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rPr>
              <w:t>Accumulated deficit</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(1,177,274)</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(1,170,279)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tcBorders>
              <w:bottom w:val="single" w:sz="8" w:color="CCEEFF"/>
            </w:tcBorders>
          </w:tcPr>
          <w:p>
            <w:pPr>
              <w:ind w:left="200"/>
              <w:spacing w:after="0" w:line="196" w:lineRule="exact"/>
              <w:rPr>
                <w:sz w:val="20"/>
                <w:szCs w:val="20"/>
                <w:color w:val="auto"/>
              </w:rPr>
            </w:pPr>
            <w:r>
              <w:rPr>
                <w:rFonts w:ascii="Arial" w:cs="Arial" w:eastAsia="Arial" w:hAnsi="Arial"/>
                <w:sz w:val="18"/>
                <w:szCs w:val="18"/>
                <w:color w:val="auto"/>
              </w:rPr>
              <w:t>Total stockholders’ equity</w:t>
            </w:r>
          </w:p>
        </w:tc>
        <w:tc>
          <w:tcPr>
            <w:tcW w:w="12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8,543</w:t>
            </w:r>
          </w:p>
        </w:tc>
        <w:tc>
          <w:tcPr>
            <w:tcW w:w="1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13,549</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860" w:type="dxa"/>
            <w:vAlign w:val="bottom"/>
            <w:shd w:val="clear" w:color="auto" w:fill="CCEEFF"/>
          </w:tcPr>
          <w:p>
            <w:pPr>
              <w:ind w:left="300"/>
              <w:spacing w:after="0" w:line="196" w:lineRule="exact"/>
              <w:rPr>
                <w:sz w:val="20"/>
                <w:szCs w:val="20"/>
                <w:color w:val="auto"/>
              </w:rPr>
            </w:pPr>
            <w:r>
              <w:rPr>
                <w:rFonts w:ascii="Arial" w:cs="Arial" w:eastAsia="Arial" w:hAnsi="Arial"/>
                <w:sz w:val="18"/>
                <w:szCs w:val="18"/>
                <w:color w:val="auto"/>
              </w:rPr>
              <w:t>Total liabilities, mezzanine equity and stockholders’ equity</w:t>
            </w:r>
          </w:p>
        </w:tc>
        <w:tc>
          <w:tcPr>
            <w:tcW w:w="12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63,713</w:t>
            </w:r>
          </w:p>
        </w:tc>
        <w:tc>
          <w:tcPr>
            <w:tcW w:w="18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b w:val="1"/>
                <w:bCs w:val="1"/>
                <w:color w:val="auto"/>
                <w:w w:val="71"/>
              </w:rPr>
              <w:t>$</w:t>
            </w:r>
          </w:p>
        </w:tc>
        <w:tc>
          <w:tcPr>
            <w:tcW w:w="11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92,169</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for per share data)</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440" w:type="dxa"/>
            <w:vAlign w:val="bottom"/>
            <w:gridSpan w:val="2"/>
          </w:tcPr>
          <w:p>
            <w:pPr>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0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b w:val="1"/>
                <w:bCs w:val="1"/>
                <w:color w:val="auto"/>
              </w:rPr>
              <w:t>June 30, 2023</w:t>
            </w: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96"/>
        </w:trPr>
        <w:tc>
          <w:tcPr>
            <w:tcW w:w="3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2,151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c>
          <w:tcPr>
            <w:tcW w:w="0" w:type="dxa"/>
            <w:vAlign w:val="bottom"/>
          </w:tcPr>
          <w:p>
            <w:pPr>
              <w:spacing w:after="0"/>
              <w:rPr>
                <w:sz w:val="1"/>
                <w:szCs w:val="1"/>
                <w:color w:val="auto"/>
              </w:rPr>
            </w:pPr>
          </w:p>
        </w:tc>
      </w:tr>
      <w:tr>
        <w:trPr>
          <w:trHeight w:val="203"/>
        </w:trPr>
        <w:tc>
          <w:tcPr>
            <w:tcW w:w="3000" w:type="dxa"/>
            <w:vAlign w:val="bottom"/>
          </w:tcPr>
          <w:p>
            <w:pPr>
              <w:spacing w:after="0" w:line="202" w:lineRule="exact"/>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60,739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91,550</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Operating (income) expense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00" w:type="dxa"/>
            <w:vAlign w:val="bottom"/>
          </w:tcPr>
          <w:p>
            <w:pPr>
              <w:ind w:left="100"/>
              <w:spacing w:after="0" w:line="183" w:lineRule="exact"/>
              <w:rPr>
                <w:sz w:val="20"/>
                <w:szCs w:val="20"/>
                <w:color w:val="auto"/>
              </w:rPr>
            </w:pPr>
            <w:r>
              <w:rPr>
                <w:rFonts w:ascii="Arial" w:cs="Arial" w:eastAsia="Arial" w:hAnsi="Arial"/>
                <w:sz w:val="18"/>
                <w:szCs w:val="18"/>
                <w:color w:val="auto"/>
              </w:rPr>
              <w:t>Selling, general and administrative</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100"/>
              <w:spacing w:after="0"/>
              <w:rPr>
                <w:sz w:val="20"/>
                <w:szCs w:val="20"/>
                <w:color w:val="auto"/>
              </w:rPr>
            </w:pPr>
            <w:r>
              <w:rPr>
                <w:rFonts w:ascii="Arial" w:cs="Arial" w:eastAsia="Arial" w:hAnsi="Arial"/>
                <w:sz w:val="18"/>
                <w:szCs w:val="18"/>
                <w:color w:val="auto"/>
              </w:rPr>
              <w:t>expenses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1,482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57,688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72,375</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ind w:left="100"/>
              <w:spacing w:after="0" w:line="183" w:lineRule="exact"/>
              <w:rPr>
                <w:sz w:val="20"/>
                <w:szCs w:val="20"/>
                <w:color w:val="auto"/>
              </w:rPr>
            </w:pPr>
            <w:r>
              <w:rPr>
                <w:rFonts w:ascii="Arial" w:cs="Arial" w:eastAsia="Arial" w:hAnsi="Arial"/>
                <w:sz w:val="18"/>
                <w:szCs w:val="18"/>
                <w:color w:val="auto"/>
              </w:rPr>
              <w:t>Research and development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expenses</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c>
          <w:tcPr>
            <w:tcW w:w="0" w:type="dxa"/>
            <w:vAlign w:val="bottom"/>
          </w:tcPr>
          <w:p>
            <w:pPr>
              <w:spacing w:after="0"/>
              <w:rPr>
                <w:sz w:val="1"/>
                <w:szCs w:val="1"/>
                <w:color w:val="auto"/>
              </w:rPr>
            </w:pPr>
          </w:p>
        </w:tc>
      </w:tr>
      <w:tr>
        <w:trPr>
          <w:trHeight w:val="184"/>
        </w:trPr>
        <w:tc>
          <w:tcPr>
            <w:tcW w:w="3000" w:type="dxa"/>
            <w:vAlign w:val="bottom"/>
          </w:tcPr>
          <w:p>
            <w:pPr>
              <w:ind w:left="100"/>
              <w:spacing w:after="0" w:line="183" w:lineRule="exact"/>
              <w:rPr>
                <w:sz w:val="20"/>
                <w:szCs w:val="20"/>
                <w:color w:val="auto"/>
              </w:rPr>
            </w:pPr>
            <w:r>
              <w:rPr>
                <w:rFonts w:ascii="Arial" w:cs="Arial" w:eastAsia="Arial" w:hAnsi="Arial"/>
                <w:sz w:val="18"/>
                <w:szCs w:val="18"/>
                <w:color w:val="auto"/>
              </w:rPr>
              <w:t>Legal settlement and litigation</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Pr>
          <w:p>
            <w:pPr>
              <w:ind w:left="100"/>
              <w:spacing w:after="0"/>
              <w:rPr>
                <w:sz w:val="20"/>
                <w:szCs w:val="20"/>
                <w:color w:val="auto"/>
              </w:rPr>
            </w:pPr>
            <w:r>
              <w:rPr>
                <w:rFonts w:ascii="Arial" w:cs="Arial" w:eastAsia="Arial" w:hAnsi="Arial"/>
                <w:sz w:val="18"/>
                <w:szCs w:val="18"/>
                <w:color w:val="auto"/>
              </w:rPr>
              <w:t>charges (benefit), net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Reorganization items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4,785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4"/>
        </w:trPr>
        <w:tc>
          <w:tcPr>
            <w:tcW w:w="3000" w:type="dxa"/>
            <w:vAlign w:val="bottom"/>
          </w:tcPr>
          <w:p>
            <w:pPr>
              <w:ind w:left="100"/>
              <w:spacing w:after="0" w:line="183" w:lineRule="exact"/>
              <w:rPr>
                <w:sz w:val="20"/>
                <w:szCs w:val="20"/>
                <w:color w:val="auto"/>
              </w:rPr>
            </w:pPr>
            <w:r>
              <w:rPr>
                <w:rFonts w:ascii="Arial" w:cs="Arial" w:eastAsia="Arial" w:hAnsi="Arial"/>
                <w:sz w:val="18"/>
                <w:szCs w:val="18"/>
                <w:color w:val="auto"/>
              </w:rPr>
              <w:t>Impairment of property plant &amp;</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equipment and intangibles</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25,041</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139,481</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ind w:left="100"/>
              <w:spacing w:after="0" w:line="164" w:lineRule="exact"/>
              <w:rPr>
                <w:sz w:val="20"/>
                <w:szCs w:val="20"/>
                <w:color w:val="auto"/>
              </w:rPr>
            </w:pPr>
            <w:r>
              <w:rPr>
                <w:rFonts w:ascii="Arial" w:cs="Arial" w:eastAsia="Arial" w:hAnsi="Arial"/>
                <w:sz w:val="18"/>
                <w:szCs w:val="18"/>
                <w:color w:val="auto"/>
              </w:rPr>
              <w:t>Total operating (income) expense,</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net</w:t>
            </w:r>
          </w:p>
        </w:tc>
        <w:tc>
          <w:tcPr>
            <w:tcW w:w="2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95,032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8,951</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238,584</w:t>
            </w:r>
          </w:p>
        </w:tc>
        <w:tc>
          <w:tcPr>
            <w:tcW w:w="0" w:type="dxa"/>
            <w:vAlign w:val="bottom"/>
          </w:tcPr>
          <w:p>
            <w:pPr>
              <w:spacing w:after="0"/>
              <w:rPr>
                <w:sz w:val="1"/>
                <w:szCs w:val="1"/>
                <w:color w:val="auto"/>
              </w:rPr>
            </w:pPr>
          </w:p>
        </w:tc>
      </w:tr>
      <w:tr>
        <w:trPr>
          <w:trHeight w:val="196"/>
        </w:trPr>
        <w:tc>
          <w:tcPr>
            <w:tcW w:w="3000" w:type="dxa"/>
            <w:vAlign w:val="bottom"/>
          </w:tcPr>
          <w:p>
            <w:pPr>
              <w:spacing w:after="0" w:line="196" w:lineRule="exact"/>
              <w:rPr>
                <w:sz w:val="20"/>
                <w:szCs w:val="20"/>
                <w:color w:val="auto"/>
              </w:rPr>
            </w:pPr>
            <w:r>
              <w:rPr>
                <w:rFonts w:ascii="Arial" w:cs="Arial" w:eastAsia="Arial" w:hAnsi="Arial"/>
                <w:sz w:val="18"/>
                <w:szCs w:val="18"/>
                <w:color w:val="auto"/>
              </w:rPr>
              <w:t>Income (loss) from operations</w:t>
            </w: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533</w:t>
            </w:r>
          </w:p>
        </w:tc>
        <w:tc>
          <w:tcPr>
            <w:tcW w:w="120" w:type="dxa"/>
            <w:vAlign w:val="bottom"/>
          </w:tcPr>
          <w:p>
            <w:pPr>
              <w:spacing w:after="0"/>
              <w:rPr>
                <w:sz w:val="17"/>
                <w:szCs w:val="17"/>
                <w:color w:val="auto"/>
              </w:rPr>
            </w:pPr>
          </w:p>
        </w:tc>
        <w:tc>
          <w:tcPr>
            <w:tcW w:w="18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(153,620)</w:t>
            </w:r>
          </w:p>
        </w:tc>
        <w:tc>
          <w:tcPr>
            <w:tcW w:w="12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(8,951)</w:t>
            </w:r>
          </w:p>
        </w:tc>
        <w:tc>
          <w:tcPr>
            <w:tcW w:w="160" w:type="dxa"/>
            <w:vAlign w:val="bottom"/>
          </w:tcPr>
          <w:p>
            <w:pPr>
              <w:spacing w:after="0"/>
              <w:rPr>
                <w:sz w:val="17"/>
                <w:szCs w:val="17"/>
                <w:color w:val="auto"/>
              </w:rPr>
            </w:pPr>
          </w:p>
        </w:tc>
        <w:tc>
          <w:tcPr>
            <w:tcW w:w="140" w:type="dxa"/>
            <w:vAlign w:val="bottom"/>
            <w:tcBorders>
              <w:top w:val="single" w:sz="8" w:color="auto"/>
            </w:tcBorders>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(327,794)</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20"/>
              <w:spacing w:after="0" w:line="202" w:lineRule="exact"/>
              <w:rPr>
                <w:sz w:val="20"/>
                <w:szCs w:val="20"/>
                <w:color w:val="auto"/>
              </w:rPr>
            </w:pPr>
            <w:r>
              <w:rPr>
                <w:rFonts w:ascii="Arial" w:cs="Arial" w:eastAsia="Arial" w:hAnsi="Arial"/>
                <w:sz w:val="18"/>
                <w:szCs w:val="18"/>
                <w:color w:val="auto"/>
              </w:rPr>
              <w:t>Loss on sale of assets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(2,609)</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(2,609)</w:t>
            </w: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Other (expense) income</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1,010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1,645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2,119</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4,036</w:t>
            </w:r>
          </w:p>
        </w:tc>
        <w:tc>
          <w:tcPr>
            <w:tcW w:w="0" w:type="dxa"/>
            <w:vAlign w:val="bottom"/>
          </w:tcPr>
          <w:p>
            <w:pPr>
              <w:spacing w:after="0"/>
              <w:rPr>
                <w:sz w:val="1"/>
                <w:szCs w:val="1"/>
                <w:color w:val="auto"/>
              </w:rPr>
            </w:pPr>
          </w:p>
        </w:tc>
      </w:tr>
      <w:tr>
        <w:trPr>
          <w:trHeight w:val="196"/>
        </w:trPr>
        <w:tc>
          <w:tcPr>
            <w:tcW w:w="3000" w:type="dxa"/>
            <w:vAlign w:val="bottom"/>
            <w:shd w:val="clear" w:color="auto" w:fill="CCEEFF"/>
          </w:tcPr>
          <w:p>
            <w:pPr>
              <w:ind w:left="100"/>
              <w:spacing w:after="0" w:line="196" w:lineRule="exact"/>
              <w:rPr>
                <w:sz w:val="20"/>
                <w:szCs w:val="20"/>
                <w:color w:val="auto"/>
              </w:rPr>
            </w:pPr>
            <w:r>
              <w:rPr>
                <w:rFonts w:ascii="Arial" w:cs="Arial" w:eastAsia="Arial" w:hAnsi="Arial"/>
                <w:sz w:val="18"/>
                <w:szCs w:val="18"/>
                <w:color w:val="auto"/>
              </w:rPr>
              <w:t>Income (loss) before income taxes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(326,210)</w:t>
            </w:r>
          </w:p>
        </w:tc>
        <w:tc>
          <w:tcPr>
            <w:tcW w:w="0" w:type="dxa"/>
            <w:vAlign w:val="bottom"/>
          </w:tcPr>
          <w:p>
            <w:pPr>
              <w:spacing w:after="0"/>
              <w:rPr>
                <w:sz w:val="1"/>
                <w:szCs w:val="1"/>
                <w:color w:val="auto"/>
              </w:rPr>
            </w:pPr>
          </w:p>
        </w:tc>
      </w:tr>
      <w:tr>
        <w:trPr>
          <w:trHeight w:val="203"/>
        </w:trPr>
        <w:tc>
          <w:tcPr>
            <w:tcW w:w="3000" w:type="dxa"/>
            <w:vAlign w:val="bottom"/>
            <w:tcBorders>
              <w:bottom w:val="single" w:sz="8" w:color="CCEEFF"/>
            </w:tcBorders>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3000" w:type="dxa"/>
            <w:vAlign w:val="bottom"/>
            <w:shd w:val="clear" w:color="auto" w:fill="CCEEFF"/>
          </w:tcPr>
          <w:p>
            <w:pPr>
              <w:ind w:left="540"/>
              <w:spacing w:after="0" w:line="196" w:lineRule="exact"/>
              <w:rPr>
                <w:sz w:val="20"/>
                <w:szCs w:val="20"/>
                <w:color w:val="auto"/>
              </w:rPr>
            </w:pPr>
            <w:r>
              <w:rPr>
                <w:rFonts w:ascii="Arial" w:cs="Arial" w:eastAsia="Arial" w:hAnsi="Arial"/>
                <w:sz w:val="18"/>
                <w:szCs w:val="18"/>
                <w:color w:val="auto"/>
              </w:rPr>
              <w:t>Net income (loss)</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1,478</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(154,491)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(6,995)</w:t>
            </w:r>
          </w:p>
        </w:tc>
        <w:tc>
          <w:tcPr>
            <w:tcW w:w="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(326,210)</w:t>
            </w:r>
          </w:p>
        </w:tc>
        <w:tc>
          <w:tcPr>
            <w:tcW w:w="0" w:type="dxa"/>
            <w:vAlign w:val="bottom"/>
          </w:tcPr>
          <w:p>
            <w:pPr>
              <w:spacing w:after="0"/>
              <w:rPr>
                <w:sz w:val="1"/>
                <w:szCs w:val="1"/>
                <w:color w:val="auto"/>
              </w:rPr>
            </w:pPr>
          </w:p>
        </w:tc>
      </w:tr>
      <w:tr>
        <w:trPr>
          <w:trHeight w:val="184"/>
        </w:trPr>
        <w:tc>
          <w:tcPr>
            <w:tcW w:w="3000" w:type="dxa"/>
            <w:vAlign w:val="bottom"/>
          </w:tcPr>
          <w:p>
            <w:pPr>
              <w:spacing w:after="0" w:line="183" w:lineRule="exact"/>
              <w:rPr>
                <w:sz w:val="20"/>
                <w:szCs w:val="20"/>
                <w:color w:val="auto"/>
              </w:rPr>
            </w:pPr>
            <w:r>
              <w:rPr>
                <w:rFonts w:ascii="Arial" w:cs="Arial" w:eastAsia="Arial" w:hAnsi="Arial"/>
                <w:sz w:val="18"/>
                <w:szCs w:val="18"/>
                <w:color w:val="auto"/>
              </w:rPr>
              <w:t>Less accrued preferred stock</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dividend</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1,323</w:t>
            </w:r>
          </w:p>
        </w:tc>
        <w:tc>
          <w:tcPr>
            <w:tcW w:w="16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(1,223)</w:t>
            </w:r>
          </w:p>
        </w:tc>
        <w:tc>
          <w:tcPr>
            <w:tcW w:w="0" w:type="dxa"/>
            <w:vAlign w:val="bottom"/>
          </w:tcPr>
          <w:p>
            <w:pPr>
              <w:spacing w:after="0"/>
              <w:rPr>
                <w:sz w:val="1"/>
                <w:szCs w:val="1"/>
                <w:color w:val="auto"/>
              </w:rPr>
            </w:pPr>
          </w:p>
        </w:tc>
      </w:tr>
      <w:tr>
        <w:trPr>
          <w:trHeight w:val="164"/>
        </w:trPr>
        <w:tc>
          <w:tcPr>
            <w:tcW w:w="3000" w:type="dxa"/>
            <w:vAlign w:val="bottom"/>
            <w:shd w:val="clear" w:color="auto" w:fill="CCEEFF"/>
          </w:tcPr>
          <w:p>
            <w:pPr>
              <w:spacing w:after="0" w:line="163" w:lineRule="exact"/>
              <w:rPr>
                <w:sz w:val="20"/>
                <w:szCs w:val="20"/>
                <w:color w:val="auto"/>
              </w:rPr>
            </w:pPr>
            <w:r>
              <w:rPr>
                <w:rFonts w:ascii="Arial" w:cs="Arial" w:eastAsia="Arial" w:hAnsi="Arial"/>
                <w:sz w:val="18"/>
                <w:szCs w:val="18"/>
                <w:color w:val="auto"/>
              </w:rPr>
              <w:t>Net income (loss) attributable to</w:t>
            </w:r>
          </w:p>
        </w:tc>
        <w:tc>
          <w:tcPr>
            <w:tcW w:w="260" w:type="dxa"/>
            <w:vAlign w:val="bottom"/>
            <w:gridSpan w:val="2"/>
            <w:vMerge w:val="restart"/>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810</w:t>
            </w:r>
          </w:p>
        </w:tc>
        <w:tc>
          <w:tcPr>
            <w:tcW w:w="30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(153,873)</w:t>
            </w:r>
          </w:p>
        </w:tc>
        <w:tc>
          <w:tcPr>
            <w:tcW w:w="2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(8,318)</w:t>
            </w:r>
          </w:p>
        </w:tc>
        <w:tc>
          <w:tcPr>
            <w:tcW w:w="300" w:type="dxa"/>
            <w:vAlign w:val="bottom"/>
            <w:gridSpan w:val="2"/>
            <w:vMerge w:val="restart"/>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(324,987)</w:t>
            </w:r>
          </w:p>
        </w:tc>
        <w:tc>
          <w:tcPr>
            <w:tcW w:w="0" w:type="dxa"/>
            <w:vAlign w:val="bottom"/>
          </w:tcPr>
          <w:p>
            <w:pPr>
              <w:spacing w:after="0"/>
              <w:rPr>
                <w:sz w:val="1"/>
                <w:szCs w:val="1"/>
                <w:color w:val="auto"/>
              </w:rPr>
            </w:pPr>
          </w:p>
        </w:tc>
      </w:tr>
      <w:tr>
        <w:trPr>
          <w:trHeight w:val="208"/>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common shareholders</w:t>
            </w:r>
          </w:p>
        </w:tc>
        <w:tc>
          <w:tcPr>
            <w:tcW w:w="26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24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300" w:type="dxa"/>
            <w:vAlign w:val="bottom"/>
            <w:gridSpan w:val="2"/>
            <w:vMerge w:val="continue"/>
            <w:shd w:val="clear" w:color="auto" w:fill="CCEEFF"/>
          </w:tcPr>
          <w:p>
            <w:pPr>
              <w:spacing w:after="0"/>
              <w:rPr>
                <w:sz w:val="18"/>
                <w:szCs w:val="18"/>
                <w:color w:val="auto"/>
              </w:rPr>
            </w:pPr>
          </w:p>
        </w:tc>
        <w:tc>
          <w:tcPr>
            <w:tcW w:w="11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0" w:type="dxa"/>
            <w:vAlign w:val="bottom"/>
            <w:tcBorders>
              <w:top w:val="single" w:sz="8" w:color="CCEEFF"/>
              <w:bottom w:val="single" w:sz="8" w:color="CCEEFF"/>
            </w:tcBorders>
            <w:vMerge w:val="restart"/>
          </w:tcPr>
          <w:p>
            <w:pPr>
              <w:spacing w:after="0" w:line="177" w:lineRule="exact"/>
              <w:rPr>
                <w:sz w:val="20"/>
                <w:szCs w:val="20"/>
                <w:color w:val="auto"/>
              </w:rPr>
            </w:pPr>
            <w:r>
              <w:rPr>
                <w:rFonts w:ascii="Arial" w:cs="Arial" w:eastAsia="Arial" w:hAnsi="Arial"/>
                <w:sz w:val="18"/>
                <w:szCs w:val="18"/>
                <w:color w:val="auto"/>
              </w:rPr>
              <w:t>Net income (loss) per share</w:t>
            </w: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7"/>
        </w:trPr>
        <w:tc>
          <w:tcPr>
            <w:tcW w:w="30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1"/>
        </w:trPr>
        <w:tc>
          <w:tcPr>
            <w:tcW w:w="3000" w:type="dxa"/>
            <w:vAlign w:val="bottom"/>
          </w:tcPr>
          <w:p>
            <w:pPr>
              <w:spacing w:after="0"/>
              <w:rPr>
                <w:sz w:val="20"/>
                <w:szCs w:val="20"/>
                <w:color w:val="auto"/>
              </w:rPr>
            </w:pPr>
            <w:r>
              <w:rPr>
                <w:rFonts w:ascii="Arial" w:cs="Arial" w:eastAsia="Arial" w:hAnsi="Arial"/>
                <w:sz w:val="18"/>
                <w:szCs w:val="18"/>
                <w:color w:val="auto"/>
              </w:rPr>
              <w:t>attributable to common shareholders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CEEFF"/>
          </w:tcPr>
          <w:p>
            <w:pPr>
              <w:ind w:left="320"/>
              <w:spacing w:after="0" w:line="202" w:lineRule="exact"/>
              <w:rPr>
                <w:sz w:val="20"/>
                <w:szCs w:val="20"/>
                <w:color w:val="auto"/>
              </w:rPr>
            </w:pPr>
            <w:r>
              <w:rPr>
                <w:rFonts w:ascii="Arial" w:cs="Arial" w:eastAsia="Arial" w:hAnsi="Arial"/>
                <w:sz w:val="18"/>
                <w:szCs w:val="18"/>
                <w:color w:val="auto"/>
              </w:rPr>
              <w:t>Basic</w:t>
            </w:r>
          </w:p>
        </w:tc>
        <w:tc>
          <w:tcPr>
            <w:tcW w:w="260" w:type="dxa"/>
            <w:vAlign w:val="bottom"/>
            <w:gridSpan w:val="2"/>
            <w:shd w:val="clear" w:color="auto" w:fill="CCEEFF"/>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0.05</w:t>
            </w:r>
          </w:p>
        </w:tc>
        <w:tc>
          <w:tcPr>
            <w:tcW w:w="300" w:type="dxa"/>
            <w:vAlign w:val="bottom"/>
            <w:gridSpan w:val="2"/>
            <w:shd w:val="clear" w:color="auto" w:fill="CCEEFF"/>
          </w:tcPr>
          <w:p>
            <w:pPr>
              <w:ind w:left="120"/>
              <w:spacing w:after="0" w:line="202" w:lineRule="exact"/>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(9.69)</w:t>
            </w:r>
          </w:p>
        </w:tc>
        <w:tc>
          <w:tcPr>
            <w:tcW w:w="24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(0.52)</w:t>
            </w:r>
          </w:p>
        </w:tc>
        <w:tc>
          <w:tcPr>
            <w:tcW w:w="300" w:type="dxa"/>
            <w:vAlign w:val="bottom"/>
            <w:gridSpan w:val="2"/>
            <w:shd w:val="clear" w:color="auto" w:fill="CCEEFF"/>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03"/>
        </w:trPr>
        <w:tc>
          <w:tcPr>
            <w:tcW w:w="3000" w:type="dxa"/>
            <w:vAlign w:val="bottom"/>
          </w:tcPr>
          <w:p>
            <w:pPr>
              <w:ind w:left="320"/>
              <w:spacing w:after="0" w:line="202" w:lineRule="exact"/>
              <w:rPr>
                <w:sz w:val="20"/>
                <w:szCs w:val="20"/>
                <w:color w:val="auto"/>
              </w:rPr>
            </w:pPr>
            <w:r>
              <w:rPr>
                <w:rFonts w:ascii="Arial" w:cs="Arial" w:eastAsia="Arial" w:hAnsi="Arial"/>
                <w:sz w:val="18"/>
                <w:szCs w:val="18"/>
                <w:color w:val="auto"/>
              </w:rPr>
              <w:t>Diluted</w:t>
            </w:r>
          </w:p>
        </w:tc>
        <w:tc>
          <w:tcPr>
            <w:tcW w:w="260" w:type="dxa"/>
            <w:vAlign w:val="bottom"/>
            <w:gridSpan w:val="2"/>
          </w:tcPr>
          <w:p>
            <w:pPr>
              <w:jc w:val="right"/>
              <w:ind w:right="7"/>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0.05</w:t>
            </w:r>
          </w:p>
        </w:tc>
        <w:tc>
          <w:tcPr>
            <w:tcW w:w="300" w:type="dxa"/>
            <w:vAlign w:val="bottom"/>
            <w:gridSpan w:val="2"/>
          </w:tcPr>
          <w:p>
            <w:pPr>
              <w:ind w:left="120"/>
              <w:spacing w:after="0" w:line="202" w:lineRule="exact"/>
              <w:rPr>
                <w:sz w:val="20"/>
                <w:szCs w:val="20"/>
                <w:color w:val="auto"/>
              </w:rPr>
            </w:pPr>
            <w:r>
              <w:rPr>
                <w:rFonts w:ascii="Arial" w:cs="Arial" w:eastAsia="Arial" w:hAnsi="Arial"/>
                <w:sz w:val="18"/>
                <w:szCs w:val="18"/>
                <w:color w:val="auto"/>
              </w:rPr>
              <w:t>$</w:t>
            </w: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(9.69)</w:t>
            </w:r>
          </w:p>
        </w:tc>
        <w:tc>
          <w:tcPr>
            <w:tcW w:w="24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(0.52)</w:t>
            </w:r>
          </w:p>
        </w:tc>
        <w:tc>
          <w:tcPr>
            <w:tcW w:w="300" w:type="dxa"/>
            <w:vAlign w:val="bottom"/>
            <w:gridSpan w:val="2"/>
          </w:tcPr>
          <w:p>
            <w:pPr>
              <w:ind w:left="160"/>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184"/>
        </w:trPr>
        <w:tc>
          <w:tcPr>
            <w:tcW w:w="3000" w:type="dxa"/>
            <w:vAlign w:val="bottom"/>
            <w:shd w:val="clear" w:color="auto" w:fill="CCEEFF"/>
          </w:tcPr>
          <w:p>
            <w:pPr>
              <w:spacing w:after="0" w:line="183" w:lineRule="exact"/>
              <w:rPr>
                <w:sz w:val="20"/>
                <w:szCs w:val="20"/>
                <w:color w:val="auto"/>
              </w:rPr>
            </w:pPr>
            <w:r>
              <w:rPr>
                <w:rFonts w:ascii="Arial" w:cs="Arial" w:eastAsia="Arial" w:hAnsi="Arial"/>
                <w:sz w:val="18"/>
                <w:szCs w:val="18"/>
                <w:color w:val="auto"/>
              </w:rPr>
              <w:t>Weighted-average number of</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common shares outstanding</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000" w:type="dxa"/>
            <w:vAlign w:val="bottom"/>
            <w:tcBorders>
              <w:bottom w:val="single" w:sz="8" w:color="CCEEFF"/>
            </w:tcBorders>
          </w:tcPr>
          <w:p>
            <w:pPr>
              <w:ind w:left="320"/>
              <w:spacing w:after="0" w:line="196" w:lineRule="exact"/>
              <w:rPr>
                <w:sz w:val="20"/>
                <w:szCs w:val="20"/>
                <w:color w:val="auto"/>
              </w:rPr>
            </w:pPr>
            <w:r>
              <w:rPr>
                <w:rFonts w:ascii="Arial" w:cs="Arial" w:eastAsia="Arial" w:hAnsi="Arial"/>
                <w:sz w:val="18"/>
                <w:szCs w:val="18"/>
                <w:color w:val="auto"/>
              </w:rPr>
              <w:t>Basic</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16,096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15,940</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16,014</w:t>
            </w:r>
          </w:p>
        </w:tc>
        <w:tc>
          <w:tcPr>
            <w:tcW w:w="1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183"/>
        </w:trPr>
        <w:tc>
          <w:tcPr>
            <w:tcW w:w="3000" w:type="dxa"/>
            <w:vAlign w:val="bottom"/>
            <w:tcBorders>
              <w:bottom w:val="single" w:sz="8" w:color="CCEEFF"/>
            </w:tcBorders>
            <w:shd w:val="clear" w:color="auto" w:fill="CCEEFF"/>
          </w:tcPr>
          <w:p>
            <w:pPr>
              <w:ind w:left="320"/>
              <w:spacing w:after="0" w:line="183" w:lineRule="exact"/>
              <w:rPr>
                <w:sz w:val="20"/>
                <w:szCs w:val="20"/>
                <w:color w:val="auto"/>
              </w:rPr>
            </w:pPr>
            <w:r>
              <w:rPr>
                <w:rFonts w:ascii="Arial" w:cs="Arial" w:eastAsia="Arial" w:hAnsi="Arial"/>
                <w:sz w:val="18"/>
                <w:szCs w:val="18"/>
                <w:color w:val="auto"/>
              </w:rPr>
              <w:t>Diluted</w:t>
            </w:r>
          </w:p>
        </w:tc>
        <w:tc>
          <w:tcPr>
            <w:tcW w:w="10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17,537</w:t>
            </w:r>
          </w:p>
        </w:tc>
        <w:tc>
          <w:tcPr>
            <w:tcW w:w="12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2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15,940</w:t>
            </w:r>
          </w:p>
        </w:tc>
        <w:tc>
          <w:tcPr>
            <w:tcW w:w="1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16,014</w:t>
            </w:r>
          </w:p>
        </w:tc>
        <w:tc>
          <w:tcPr>
            <w:tcW w:w="1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15,936</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f/k/a Lordstown Motors Corp.</w:t>
      </w: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adjusted to reflect May 2023 reverse stock split)</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44"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700" w:type="dxa"/>
            <w:vAlign w:val="bottom"/>
            <w:tcBorders>
              <w:bottom w:val="single" w:sz="8" w:color="auto"/>
            </w:tcBorders>
            <w:gridSpan w:val="16"/>
          </w:tcPr>
          <w:p>
            <w:pPr>
              <w:jc w:val="center"/>
              <w:ind w:left="163"/>
              <w:spacing w:after="0"/>
              <w:rPr>
                <w:sz w:val="20"/>
                <w:szCs w:val="20"/>
                <w:color w:val="auto"/>
              </w:rPr>
            </w:pPr>
            <w:r>
              <w:rPr>
                <w:rFonts w:ascii="Arial" w:cs="Arial" w:eastAsia="Arial" w:hAnsi="Arial"/>
                <w:sz w:val="14"/>
                <w:szCs w:val="14"/>
                <w:b w:val="1"/>
                <w:bCs w:val="1"/>
                <w:color w:val="auto"/>
              </w:rPr>
              <w:t>Three Months Ended June 30, 2024</w:t>
            </w: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4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101"/>
              <w:spacing w:after="0" w:line="147" w:lineRule="exact"/>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1040" w:type="dxa"/>
            <w:vAlign w:val="bottom"/>
            <w:gridSpan w:val="6"/>
          </w:tcPr>
          <w:p>
            <w:pPr>
              <w:jc w:val="center"/>
              <w:ind w:right="14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100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rPr>
              <w:t>Stockholders’</w:t>
            </w:r>
          </w:p>
        </w:tc>
      </w:tr>
      <w:tr>
        <w:trPr>
          <w:trHeight w:val="155"/>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gridSpan w:val="2"/>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4"/>
          </w:tcPr>
          <w:p>
            <w:pPr>
              <w:jc w:val="center"/>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22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7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April 1, 2024</w:t>
            </w:r>
          </w:p>
        </w:tc>
        <w:tc>
          <w:tcPr>
            <w:tcW w:w="6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right w:val="single" w:sz="8" w:color="auto"/>
            </w:tcBorders>
            <w:gridSpan w:val="2"/>
            <w:shd w:val="clear" w:color="auto" w:fill="CCEEFF"/>
          </w:tcPr>
          <w:p>
            <w:pPr>
              <w:jc w:val="right"/>
              <w:ind w:right="21"/>
              <w:spacing w:after="0" w:line="183" w:lineRule="exact"/>
              <w:rPr>
                <w:sz w:val="20"/>
                <w:szCs w:val="20"/>
                <w:color w:val="auto"/>
              </w:rPr>
            </w:pPr>
            <w:r>
              <w:rPr>
                <w:rFonts w:ascii="Arial" w:cs="Arial" w:eastAsia="Arial" w:hAnsi="Arial"/>
                <w:sz w:val="16"/>
                <w:szCs w:val="16"/>
                <w:color w:val="auto"/>
                <w:w w:val="99"/>
              </w:rPr>
              <w:t>$ 33,410</w:t>
            </w:r>
          </w:p>
        </w:tc>
        <w:tc>
          <w:tcPr>
            <w:tcW w:w="10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16,096</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gridSpan w:val="2"/>
            <w:shd w:val="clear" w:color="auto" w:fill="CCEEFF"/>
          </w:tcPr>
          <w:p>
            <w:pPr>
              <w:jc w:val="right"/>
              <w:ind w:right="8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88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$1,186,438</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940" w:type="dxa"/>
            <w:vAlign w:val="bottom"/>
            <w:tcBorders>
              <w:top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(1,178,752)</w:t>
            </w: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gridSpan w:val="3"/>
            <w:shd w:val="clear" w:color="auto" w:fill="CCEEFF"/>
          </w:tcPr>
          <w:p>
            <w:pPr>
              <w:jc w:val="right"/>
              <w:ind w:right="26"/>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7,710</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w:t>
            </w:r>
          </w:p>
        </w:tc>
        <w:tc>
          <w:tcPr>
            <w:tcW w:w="20" w:type="dxa"/>
            <w:vAlign w:val="bottom"/>
          </w:tcPr>
          <w:p>
            <w:pPr>
              <w:spacing w:after="0"/>
              <w:rPr>
                <w:sz w:val="16"/>
                <w:szCs w:val="16"/>
                <w:color w:val="auto"/>
              </w:rPr>
            </w:pPr>
          </w:p>
        </w:tc>
      </w:tr>
      <w:tr>
        <w:trPr>
          <w:trHeight w:val="175"/>
        </w:trPr>
        <w:tc>
          <w:tcPr>
            <w:tcW w:w="20" w:type="dxa"/>
            <w:vAlign w:val="bottom"/>
            <w:shd w:val="clear" w:color="auto" w:fill="CCEEFF"/>
          </w:tcPr>
          <w:p>
            <w:pPr>
              <w:spacing w:after="0"/>
              <w:rPr>
                <w:sz w:val="15"/>
                <w:szCs w:val="15"/>
                <w:color w:val="auto"/>
              </w:rPr>
            </w:pPr>
          </w:p>
        </w:tc>
        <w:tc>
          <w:tcPr>
            <w:tcW w:w="2760" w:type="dxa"/>
            <w:vAlign w:val="bottom"/>
            <w:shd w:val="clear" w:color="auto" w:fill="CCEEFF"/>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20" w:type="dxa"/>
            <w:vAlign w:val="bottom"/>
            <w:tcBorders>
              <w:right w:val="single" w:sz="8" w:color="auto"/>
            </w:tcBorders>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shd w:val="clear" w:color="auto" w:fill="CCEEFF"/>
          </w:tcPr>
          <w:p>
            <w:pPr>
              <w:spacing w:after="0"/>
              <w:rPr>
                <w:sz w:val="17"/>
                <w:szCs w:val="17"/>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shd w:val="clear" w:color="auto" w:fill="CCEEFF"/>
          </w:tcPr>
          <w:p>
            <w:pPr>
              <w:spacing w:after="0"/>
              <w:rPr>
                <w:sz w:val="17"/>
                <w:szCs w:val="17"/>
                <w:color w:val="auto"/>
              </w:rPr>
            </w:pPr>
          </w:p>
        </w:tc>
        <w:tc>
          <w:tcPr>
            <w:tcW w:w="72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shd w:val="clear" w:color="auto" w:fill="CCEEFF"/>
          </w:tcPr>
          <w:p>
            <w:pPr>
              <w:jc w:val="right"/>
              <w:ind w:right="21"/>
              <w:spacing w:after="0"/>
              <w:rPr>
                <w:sz w:val="20"/>
                <w:szCs w:val="20"/>
                <w:color w:val="auto"/>
              </w:rPr>
            </w:pPr>
            <w:r>
              <w:rPr>
                <w:rFonts w:ascii="Arial" w:cs="Arial" w:eastAsia="Arial" w:hAnsi="Arial"/>
                <w:sz w:val="16"/>
                <w:szCs w:val="16"/>
                <w:color w:val="auto"/>
              </w:rPr>
              <w:t>668</w:t>
            </w: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0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900" w:type="dxa"/>
            <w:vAlign w:val="bottom"/>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(668)</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(668)</w:t>
            </w:r>
          </w:p>
        </w:tc>
        <w:tc>
          <w:tcPr>
            <w:tcW w:w="20" w:type="dxa"/>
            <w:vAlign w:val="bottom"/>
          </w:tcPr>
          <w:p>
            <w:pPr>
              <w:spacing w:after="0"/>
              <w:rPr>
                <w:sz w:val="17"/>
                <w:szCs w:val="17"/>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Net income</w:t>
            </w:r>
          </w:p>
        </w:tc>
        <w:tc>
          <w:tcPr>
            <w:tcW w:w="20" w:type="dxa"/>
            <w:vAlign w:val="bottom"/>
          </w:tcPr>
          <w:p>
            <w:pPr>
              <w:spacing w:after="0"/>
              <w:rPr>
                <w:sz w:val="16"/>
                <w:szCs w:val="16"/>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980" w:type="dxa"/>
            <w:vAlign w:val="bottom"/>
            <w:gridSpan w:val="4"/>
          </w:tcPr>
          <w:p>
            <w:pPr>
              <w:jc w:val="right"/>
              <w:ind w:right="1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1,478</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1,478</w:t>
            </w:r>
          </w:p>
        </w:tc>
        <w:tc>
          <w:tcPr>
            <w:tcW w:w="20" w:type="dxa"/>
            <w:vAlign w:val="bottom"/>
          </w:tcPr>
          <w:p>
            <w:pPr>
              <w:spacing w:after="0"/>
              <w:rPr>
                <w:sz w:val="16"/>
                <w:szCs w:val="16"/>
                <w:color w:val="auto"/>
              </w:rPr>
            </w:pPr>
          </w:p>
        </w:tc>
      </w:tr>
      <w:tr>
        <w:trPr>
          <w:trHeight w:val="183"/>
        </w:trPr>
        <w:tc>
          <w:tcPr>
            <w:tcW w:w="278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June 30, 2024</w:t>
            </w:r>
          </w:p>
        </w:tc>
        <w:tc>
          <w:tcPr>
            <w:tcW w:w="62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740" w:type="dxa"/>
            <w:vAlign w:val="bottom"/>
            <w:tcBorders>
              <w:top w:val="single" w:sz="8" w:color="auto"/>
              <w:bottom w:val="single" w:sz="8" w:color="auto"/>
              <w:right w:val="single" w:sz="8" w:color="auto"/>
            </w:tcBorders>
            <w:gridSpan w:val="2"/>
            <w:shd w:val="clear" w:color="auto" w:fill="CCEEFF"/>
          </w:tcPr>
          <w:p>
            <w:pPr>
              <w:jc w:val="right"/>
              <w:ind w:right="21"/>
              <w:spacing w:after="0" w:line="183" w:lineRule="exact"/>
              <w:rPr>
                <w:sz w:val="20"/>
                <w:szCs w:val="20"/>
                <w:color w:val="auto"/>
              </w:rPr>
            </w:pPr>
            <w:r>
              <w:rPr>
                <w:rFonts w:ascii="Arial" w:cs="Arial" w:eastAsia="Arial" w:hAnsi="Arial"/>
                <w:sz w:val="16"/>
                <w:szCs w:val="16"/>
                <w:color w:val="auto"/>
                <w:w w:val="99"/>
              </w:rPr>
              <w:t>$ 34,078</w:t>
            </w: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16,096</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260" w:type="dxa"/>
            <w:vAlign w:val="bottom"/>
            <w:tcBorders>
              <w:top w:val="single" w:sz="8" w:color="auto"/>
              <w:bottom w:val="single" w:sz="8" w:color="auto"/>
            </w:tcBorders>
            <w:gridSpan w:val="2"/>
            <w:shd w:val="clear" w:color="auto" w:fill="CCEEFF"/>
          </w:tcPr>
          <w:p>
            <w:pPr>
              <w:jc w:val="right"/>
              <w:ind w:right="8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CCEEFF"/>
              <w:bottom w:val="single" w:sz="8" w:color="CCEEFF"/>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1,185,793</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gridSpan w:val="4"/>
            <w:shd w:val="clear" w:color="auto" w:fill="CCEEFF"/>
          </w:tcPr>
          <w:p>
            <w:pPr>
              <w:jc w:val="right"/>
              <w:spacing w:after="0" w:line="183" w:lineRule="exact"/>
              <w:rPr>
                <w:sz w:val="20"/>
                <w:szCs w:val="20"/>
                <w:color w:val="auto"/>
              </w:rPr>
            </w:pPr>
            <w:r>
              <w:rPr>
                <w:rFonts w:ascii="Arial" w:cs="Arial" w:eastAsia="Arial" w:hAnsi="Arial"/>
                <w:sz w:val="16"/>
                <w:szCs w:val="16"/>
                <w:color w:val="auto"/>
                <w:w w:val="96"/>
              </w:rPr>
              <w:t>$ (1,177,274)</w:t>
            </w: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gridSpan w:val="3"/>
            <w:shd w:val="clear" w:color="auto" w:fill="CCEEFF"/>
          </w:tcPr>
          <w:p>
            <w:pPr>
              <w:jc w:val="right"/>
              <w:ind w:right="26"/>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8,543</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6"/>
          </w:tcPr>
          <w:p>
            <w:pPr>
              <w:jc w:val="center"/>
              <w:ind w:left="183"/>
              <w:spacing w:after="0"/>
              <w:rPr>
                <w:sz w:val="20"/>
                <w:szCs w:val="20"/>
                <w:color w:val="auto"/>
              </w:rPr>
            </w:pPr>
            <w:r>
              <w:rPr>
                <w:rFonts w:ascii="Arial" w:cs="Arial" w:eastAsia="Arial" w:hAnsi="Arial"/>
                <w:sz w:val="14"/>
                <w:szCs w:val="14"/>
                <w:b w:val="1"/>
                <w:bCs w:val="1"/>
                <w:color w:val="auto"/>
              </w:rPr>
              <w:t>Three Months Ended June 30, 2023</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0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81"/>
              <w:spacing w:after="0" w:line="147" w:lineRule="exact"/>
              <w:rPr>
                <w:sz w:val="20"/>
                <w:szCs w:val="20"/>
                <w:color w:val="auto"/>
              </w:rPr>
            </w:pPr>
            <w:r>
              <w:rPr>
                <w:rFonts w:ascii="Arial" w:cs="Arial" w:eastAsia="Arial" w:hAnsi="Arial"/>
                <w:sz w:val="14"/>
                <w:szCs w:val="14"/>
                <w:b w:val="1"/>
                <w:bCs w:val="1"/>
                <w:color w:val="auto"/>
                <w:w w:val="95"/>
              </w:rPr>
              <w:t>Total</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tcPr>
          <w:p>
            <w:pPr>
              <w:jc w:val="center"/>
              <w:ind w:right="10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0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4"/>
          </w:tcPr>
          <w:p>
            <w:pPr>
              <w:jc w:val="center"/>
              <w:ind w:right="30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3"/>
        </w:trPr>
        <w:tc>
          <w:tcPr>
            <w:tcW w:w="27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April 1, 2023</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right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99"/>
              </w:rPr>
              <w:t>$ 30,866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15,935</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1,180,723</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gridSpan w:val="3"/>
            <w:shd w:val="clear" w:color="auto" w:fill="CCEEFF"/>
          </w:tcPr>
          <w:p>
            <w:pPr>
              <w:jc w:val="right"/>
              <w:spacing w:after="0" w:line="183" w:lineRule="exact"/>
              <w:rPr>
                <w:sz w:val="20"/>
                <w:szCs w:val="20"/>
                <w:color w:val="auto"/>
              </w:rPr>
            </w:pPr>
            <w:r>
              <w:rPr>
                <w:rFonts w:ascii="Arial" w:cs="Arial" w:eastAsia="Arial" w:hAnsi="Arial"/>
                <w:sz w:val="16"/>
                <w:szCs w:val="16"/>
                <w:color w:val="auto"/>
              </w:rPr>
              <w:t>(998,932)</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181,815</w:t>
            </w: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000" w:type="dxa"/>
            <w:vAlign w:val="bottom"/>
            <w:gridSpan w:val="5"/>
          </w:tcPr>
          <w:p>
            <w:pPr>
              <w:jc w:val="right"/>
              <w:ind w:right="100"/>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(20)</w:t>
            </w:r>
          </w:p>
        </w:tc>
        <w:tc>
          <w:tcPr>
            <w:tcW w:w="20" w:type="dxa"/>
            <w:vAlign w:val="bottom"/>
          </w:tcPr>
          <w:p>
            <w:pPr>
              <w:spacing w:after="0"/>
              <w:rPr>
                <w:sz w:val="16"/>
                <w:szCs w:val="16"/>
                <w:color w:val="auto"/>
              </w:rPr>
            </w:pPr>
          </w:p>
        </w:tc>
      </w:tr>
      <w:tr>
        <w:trPr>
          <w:trHeight w:val="189"/>
        </w:trPr>
        <w:tc>
          <w:tcPr>
            <w:tcW w:w="20" w:type="dxa"/>
            <w:vAlign w:val="bottom"/>
            <w:shd w:val="clear" w:color="auto" w:fill="CCEEFF"/>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2,284</w:t>
            </w:r>
          </w:p>
        </w:tc>
        <w:tc>
          <w:tcPr>
            <w:tcW w:w="20" w:type="dxa"/>
            <w:vAlign w:val="bottom"/>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60" w:type="dxa"/>
            <w:vAlign w:val="bottom"/>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6"/>
                <w:szCs w:val="16"/>
                <w:color w:val="auto"/>
              </w:rPr>
              <w:t>618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6"/>
                <w:szCs w:val="16"/>
                <w:color w:val="auto"/>
              </w:rPr>
              <w:t>(617)</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6"/>
                <w:szCs w:val="16"/>
                <w:color w:val="auto"/>
              </w:rPr>
              <w:t>(617)</w:t>
            </w:r>
          </w:p>
        </w:tc>
      </w:tr>
      <w:tr>
        <w:trPr>
          <w:trHeight w:val="189"/>
        </w:trPr>
        <w:tc>
          <w:tcPr>
            <w:tcW w:w="20" w:type="dxa"/>
            <w:vAlign w:val="bottom"/>
            <w:shd w:val="clear" w:color="auto" w:fill="CCEEFF"/>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80"/>
              <w:spacing w:after="0"/>
              <w:rPr>
                <w:sz w:val="20"/>
                <w:szCs w:val="20"/>
                <w:color w:val="auto"/>
              </w:rPr>
            </w:pPr>
            <w:r>
              <w:rPr>
                <w:rFonts w:ascii="Arial" w:cs="Arial" w:eastAsia="Arial" w:hAnsi="Arial"/>
                <w:sz w:val="16"/>
                <w:szCs w:val="16"/>
                <w:color w:val="auto"/>
              </w:rPr>
              <w:t>(154,491)</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(154,491)</w:t>
            </w:r>
          </w:p>
        </w:tc>
        <w:tc>
          <w:tcPr>
            <w:tcW w:w="20" w:type="dxa"/>
            <w:vAlign w:val="bottom"/>
          </w:tcPr>
          <w:p>
            <w:pPr>
              <w:spacing w:after="0"/>
              <w:rPr>
                <w:sz w:val="16"/>
                <w:szCs w:val="16"/>
                <w:color w:val="auto"/>
              </w:rPr>
            </w:pPr>
          </w:p>
        </w:tc>
      </w:tr>
      <w:tr>
        <w:trPr>
          <w:trHeight w:val="183"/>
        </w:trPr>
        <w:tc>
          <w:tcPr>
            <w:tcW w:w="27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June 30, 2023</w:t>
            </w:r>
          </w:p>
        </w:tc>
        <w:tc>
          <w:tcPr>
            <w:tcW w:w="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bottom w:val="single" w:sz="8" w:color="auto"/>
              <w:right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w w:val="99"/>
              </w:rPr>
              <w:t>$ 31,484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65"/>
              <w:spacing w:after="0" w:line="183" w:lineRule="exact"/>
              <w:rPr>
                <w:sz w:val="20"/>
                <w:szCs w:val="20"/>
                <w:color w:val="auto"/>
              </w:rPr>
            </w:pPr>
            <w:r>
              <w:rPr>
                <w:rFonts w:ascii="Arial" w:cs="Arial" w:eastAsia="Arial" w:hAnsi="Arial"/>
                <w:sz w:val="16"/>
                <w:szCs w:val="16"/>
                <w:color w:val="auto"/>
                <w:w w:val="89"/>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6"/>
              </w:rPr>
              <w:t>$ 1,182,370</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w w:val="96"/>
              </w:rPr>
              <w:t>$ (1,153,423)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ind w:right="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28,971</w:t>
            </w:r>
          </w:p>
        </w:tc>
        <w:tc>
          <w:tcPr>
            <w:tcW w:w="2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6"/>
          </w:tcPr>
          <w:p>
            <w:pPr>
              <w:jc w:val="center"/>
              <w:ind w:left="163"/>
              <w:spacing w:after="0"/>
              <w:rPr>
                <w:sz w:val="20"/>
                <w:szCs w:val="20"/>
                <w:color w:val="auto"/>
              </w:rPr>
            </w:pPr>
            <w:r>
              <w:rPr>
                <w:rFonts w:ascii="Arial" w:cs="Arial" w:eastAsia="Arial" w:hAnsi="Arial"/>
                <w:sz w:val="14"/>
                <w:szCs w:val="14"/>
                <w:b w:val="1"/>
                <w:bCs w:val="1"/>
                <w:color w:val="auto"/>
              </w:rPr>
              <w:t>Six Months Ended June 30, 2024</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r>
      <w:tr>
        <w:trPr>
          <w:trHeight w:val="175"/>
        </w:trPr>
        <w:tc>
          <w:tcPr>
            <w:tcW w:w="2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5"/>
                <w:szCs w:val="15"/>
                <w:color w:val="auto"/>
              </w:rPr>
            </w:pPr>
          </w:p>
        </w:tc>
        <w:tc>
          <w:tcPr>
            <w:tcW w:w="7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gridSpan w:val="4"/>
          </w:tcPr>
          <w:p>
            <w:pPr>
              <w:jc w:val="center"/>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63"/>
        </w:trPr>
        <w:tc>
          <w:tcPr>
            <w:tcW w:w="20" w:type="dxa"/>
            <w:vAlign w:val="bottom"/>
          </w:tcPr>
          <w:p>
            <w:pPr>
              <w:spacing w:after="0"/>
              <w:rPr>
                <w:sz w:val="14"/>
                <w:szCs w:val="14"/>
                <w:color w:val="auto"/>
              </w:rPr>
            </w:pPr>
          </w:p>
        </w:tc>
        <w:tc>
          <w:tcPr>
            <w:tcW w:w="2760" w:type="dxa"/>
            <w:vAlign w:val="bottom"/>
            <w:tcBorders>
              <w:top w:val="single" w:sz="8" w:color="CCEEFF"/>
            </w:tcBorders>
            <w:shd w:val="clear" w:color="auto" w:fill="CCEEFF"/>
          </w:tcPr>
          <w:p>
            <w:pPr>
              <w:spacing w:after="0" w:line="162" w:lineRule="exact"/>
              <w:rPr>
                <w:sz w:val="20"/>
                <w:szCs w:val="20"/>
                <w:color w:val="auto"/>
              </w:rPr>
            </w:pPr>
            <w:r>
              <w:rPr>
                <w:rFonts w:ascii="Arial" w:cs="Arial" w:eastAsia="Arial" w:hAnsi="Arial"/>
                <w:sz w:val="16"/>
                <w:szCs w:val="16"/>
                <w:b w:val="1"/>
                <w:bCs w:val="1"/>
                <w:color w:val="auto"/>
              </w:rPr>
              <w:t>Balance at January 1, 2024</w:t>
            </w:r>
          </w:p>
        </w:tc>
        <w:tc>
          <w:tcPr>
            <w:tcW w:w="20" w:type="dxa"/>
            <w:vAlign w:val="bottom"/>
            <w:tcBorders>
              <w:top w:val="single" w:sz="8" w:color="CCEEFF"/>
            </w:tcBorders>
            <w:shd w:val="clear" w:color="auto" w:fill="CCEEFF"/>
          </w:tcPr>
          <w:p>
            <w:pPr>
              <w:spacing w:after="0"/>
              <w:rPr>
                <w:sz w:val="14"/>
                <w:szCs w:val="14"/>
                <w:color w:val="auto"/>
              </w:rPr>
            </w:pPr>
          </w:p>
        </w:tc>
        <w:tc>
          <w:tcPr>
            <w:tcW w:w="6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720" w:type="dxa"/>
            <w:vAlign w:val="bottom"/>
            <w:tcBorders>
              <w:top w:val="single" w:sz="8" w:color="auto"/>
              <w:right w:val="single" w:sz="8" w:color="auto"/>
            </w:tcBorders>
            <w:shd w:val="clear" w:color="auto" w:fill="CCEEFF"/>
          </w:tcPr>
          <w:p>
            <w:pPr>
              <w:jc w:val="right"/>
              <w:ind w:right="1"/>
              <w:spacing w:after="0" w:line="162" w:lineRule="exact"/>
              <w:rPr>
                <w:sz w:val="20"/>
                <w:szCs w:val="20"/>
                <w:color w:val="auto"/>
              </w:rPr>
            </w:pPr>
            <w:r>
              <w:rPr>
                <w:rFonts w:ascii="Arial" w:cs="Arial" w:eastAsia="Arial" w:hAnsi="Arial"/>
                <w:sz w:val="16"/>
                <w:szCs w:val="16"/>
                <w:color w:val="auto"/>
                <w:w w:val="99"/>
              </w:rPr>
              <w:t>$ 32,755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jc w:val="right"/>
              <w:ind w:right="85"/>
              <w:spacing w:after="0" w:line="163" w:lineRule="exact"/>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w w:val="99"/>
              </w:rPr>
              <w:t>$1,183,804</w:t>
            </w:r>
          </w:p>
        </w:tc>
        <w:tc>
          <w:tcPr>
            <w:tcW w:w="2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940" w:type="dxa"/>
            <w:vAlign w:val="bottom"/>
            <w:tcBorders>
              <w:top w:val="single" w:sz="8" w:color="auto"/>
            </w:tcBorders>
            <w:gridSpan w:val="4"/>
            <w:shd w:val="clear" w:color="auto" w:fill="CCEEFF"/>
          </w:tcPr>
          <w:p>
            <w:pPr>
              <w:jc w:val="right"/>
              <w:spacing w:after="0" w:line="162" w:lineRule="exact"/>
              <w:rPr>
                <w:sz w:val="20"/>
                <w:szCs w:val="20"/>
                <w:color w:val="auto"/>
              </w:rPr>
            </w:pPr>
            <w:r>
              <w:rPr>
                <w:rFonts w:ascii="Arial" w:cs="Arial" w:eastAsia="Arial" w:hAnsi="Arial"/>
                <w:sz w:val="16"/>
                <w:szCs w:val="16"/>
                <w:color w:val="auto"/>
                <w:w w:val="96"/>
              </w:rPr>
              <w:t>$ (1,170,279)</w:t>
            </w:r>
          </w:p>
        </w:tc>
        <w:tc>
          <w:tcPr>
            <w:tcW w:w="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gridSpan w:val="2"/>
            <w:shd w:val="clear" w:color="auto" w:fill="CCEEFF"/>
          </w:tcPr>
          <w:p>
            <w:pPr>
              <w:jc w:val="right"/>
              <w:ind w:right="26"/>
              <w:spacing w:after="0" w:line="163" w:lineRule="exact"/>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62" w:lineRule="exact"/>
              <w:rPr>
                <w:sz w:val="20"/>
                <w:szCs w:val="20"/>
                <w:color w:val="auto"/>
              </w:rPr>
            </w:pPr>
            <w:r>
              <w:rPr>
                <w:rFonts w:ascii="Arial" w:cs="Arial" w:eastAsia="Arial" w:hAnsi="Arial"/>
                <w:sz w:val="16"/>
                <w:szCs w:val="16"/>
                <w:color w:val="auto"/>
              </w:rPr>
              <w:t>13,549</w:t>
            </w:r>
          </w:p>
        </w:tc>
        <w:tc>
          <w:tcPr>
            <w:tcW w:w="20" w:type="dxa"/>
            <w:vAlign w:val="bottom"/>
            <w:tcBorders>
              <w:top w:val="single" w:sz="8" w:color="auto"/>
            </w:tcBorders>
            <w:shd w:val="clear" w:color="auto" w:fill="CCEEFF"/>
          </w:tcPr>
          <w:p>
            <w:pPr>
              <w:spacing w:after="0"/>
              <w:rPr>
                <w:sz w:val="14"/>
                <w:szCs w:val="14"/>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143</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(106)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(106)</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3,418</w:t>
            </w:r>
          </w:p>
        </w:tc>
        <w:tc>
          <w:tcPr>
            <w:tcW w:w="2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60" w:type="dxa"/>
            <w:vAlign w:val="bottom"/>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6"/>
                <w:szCs w:val="16"/>
                <w:color w:val="auto"/>
              </w:rPr>
              <w:t>1,323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(1,323)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(1,323)</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(6,995)</w:t>
            </w:r>
          </w:p>
        </w:tc>
      </w:tr>
      <w:tr>
        <w:trPr>
          <w:trHeight w:val="183"/>
        </w:trPr>
        <w:tc>
          <w:tcPr>
            <w:tcW w:w="27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June 30, 2024</w:t>
            </w:r>
          </w:p>
        </w:tc>
        <w:tc>
          <w:tcPr>
            <w:tcW w:w="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bottom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w w:val="99"/>
              </w:rPr>
              <w:t>$ 34,078</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16,096</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1,185,793</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w w:val="96"/>
              </w:rPr>
              <w:t>$ (1,177,274)</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8,543</w:t>
            </w:r>
          </w:p>
        </w:tc>
        <w:tc>
          <w:tcPr>
            <w:tcW w:w="20" w:type="dxa"/>
            <w:vAlign w:val="bottom"/>
            <w:tcBorders>
              <w:top w:val="single" w:sz="8" w:color="auto"/>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40" w:type="dxa"/>
            <w:vAlign w:val="bottom"/>
            <w:tcBorders>
              <w:bottom w:val="single" w:sz="8" w:color="auto"/>
            </w:tcBorders>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80" w:type="dxa"/>
            <w:vAlign w:val="bottom"/>
            <w:tcBorders>
              <w:bottom w:val="single" w:sz="8" w:color="auto"/>
            </w:tcBorders>
            <w:gridSpan w:val="2"/>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Borders>
              <w:bottom w:val="single" w:sz="8" w:color="auto"/>
            </w:tcBorders>
            <w:gridSpan w:val="2"/>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16"/>
          </w:tcPr>
          <w:p>
            <w:pPr>
              <w:jc w:val="center"/>
              <w:ind w:left="163"/>
              <w:spacing w:after="0"/>
              <w:rPr>
                <w:sz w:val="20"/>
                <w:szCs w:val="20"/>
                <w:color w:val="auto"/>
              </w:rPr>
            </w:pPr>
            <w:r>
              <w:rPr>
                <w:rFonts w:ascii="Arial" w:cs="Arial" w:eastAsia="Arial" w:hAnsi="Arial"/>
                <w:sz w:val="14"/>
                <w:szCs w:val="14"/>
                <w:b w:val="1"/>
                <w:bCs w:val="1"/>
                <w:color w:val="auto"/>
              </w:rPr>
              <w:t>Six Months Ended June 30, 2023</w:t>
            </w: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46"/>
        </w:trPr>
        <w:tc>
          <w:tcPr>
            <w:tcW w:w="2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gridSpan w:val="4"/>
          </w:tcPr>
          <w:p>
            <w:pPr>
              <w:jc w:val="center"/>
              <w:ind w:right="120"/>
              <w:spacing w:after="0" w:line="147" w:lineRule="exact"/>
              <w:rPr>
                <w:sz w:val="20"/>
                <w:szCs w:val="20"/>
                <w:color w:val="auto"/>
              </w:rPr>
            </w:pPr>
            <w:r>
              <w:rPr>
                <w:rFonts w:ascii="Arial" w:cs="Arial" w:eastAsia="Arial" w:hAnsi="Arial"/>
                <w:sz w:val="14"/>
                <w:szCs w:val="14"/>
                <w:b w:val="1"/>
                <w:bCs w:val="1"/>
                <w:color w:val="auto"/>
              </w:rPr>
              <w:t>Additional</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rPr>
              <w:t>Total</w:t>
            </w:r>
          </w:p>
        </w:tc>
      </w:tr>
      <w:tr>
        <w:trPr>
          <w:trHeight w:val="17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6"/>
          </w:tcPr>
          <w:p>
            <w:pPr>
              <w:ind w:left="180"/>
              <w:spacing w:after="0"/>
              <w:rPr>
                <w:sz w:val="20"/>
                <w:szCs w:val="20"/>
                <w:color w:val="auto"/>
              </w:rPr>
            </w:pPr>
            <w:r>
              <w:rPr>
                <w:rFonts w:ascii="Arial" w:cs="Arial" w:eastAsia="Arial" w:hAnsi="Arial"/>
                <w:sz w:val="14"/>
                <w:szCs w:val="14"/>
                <w:b w:val="1"/>
                <w:bCs w:val="1"/>
                <w:color w:val="auto"/>
              </w:rPr>
              <w:t>Preferred Stock</w:t>
            </w:r>
          </w:p>
        </w:tc>
        <w:tc>
          <w:tcPr>
            <w:tcW w:w="20" w:type="dxa"/>
            <w:vAlign w:val="bottom"/>
          </w:tcPr>
          <w:p>
            <w:pPr>
              <w:spacing w:after="0"/>
              <w:rPr>
                <w:sz w:val="14"/>
                <w:szCs w:val="14"/>
                <w:color w:val="auto"/>
              </w:rPr>
            </w:pPr>
          </w:p>
        </w:tc>
        <w:tc>
          <w:tcPr>
            <w:tcW w:w="1460" w:type="dxa"/>
            <w:vAlign w:val="bottom"/>
            <w:gridSpan w:val="8"/>
          </w:tcPr>
          <w:p>
            <w:pPr>
              <w:ind w:left="14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4"/>
                <w:szCs w:val="14"/>
                <w:color w:val="auto"/>
              </w:rPr>
            </w:pPr>
          </w:p>
        </w:tc>
        <w:tc>
          <w:tcPr>
            <w:tcW w:w="9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rPr>
              <w:t>Paid-In</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rPr>
              <w:t>Accumulated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rPr>
              <w:t>Stockholders’</w:t>
            </w:r>
          </w:p>
        </w:tc>
      </w:tr>
      <w:tr>
        <w:trPr>
          <w:trHeight w:val="156"/>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Borders>
              <w:top w:val="single" w:sz="8" w:color="auto"/>
            </w:tcBorders>
            <w:gridSpan w:val="3"/>
          </w:tcPr>
          <w:p>
            <w:pPr>
              <w:ind w:left="6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720" w:type="dxa"/>
            <w:vAlign w:val="bottom"/>
            <w:tcBorders>
              <w:top w:val="single" w:sz="8" w:color="auto"/>
              <w:right w:val="single" w:sz="8" w:color="auto"/>
            </w:tcBorders>
          </w:tcPr>
          <w:p>
            <w:pPr>
              <w:ind w:left="6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Shares</w:t>
            </w:r>
          </w:p>
        </w:tc>
        <w:tc>
          <w:tcPr>
            <w:tcW w:w="2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gridSpan w:val="3"/>
          </w:tcPr>
          <w:p>
            <w:pPr>
              <w:ind w:left="40"/>
              <w:spacing w:after="0" w:line="155" w:lineRule="exact"/>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80" w:type="dxa"/>
            <w:vAlign w:val="bottom"/>
            <w:gridSpan w:val="4"/>
          </w:tcPr>
          <w:p>
            <w:pPr>
              <w:jc w:val="center"/>
              <w:ind w:right="140"/>
              <w:spacing w:after="0" w:line="155" w:lineRule="exact"/>
              <w:rPr>
                <w:sz w:val="20"/>
                <w:szCs w:val="20"/>
                <w:color w:val="auto"/>
              </w:rPr>
            </w:pPr>
            <w:r>
              <w:rPr>
                <w:rFonts w:ascii="Arial" w:cs="Arial" w:eastAsia="Arial" w:hAnsi="Arial"/>
                <w:sz w:val="14"/>
                <w:szCs w:val="14"/>
                <w:b w:val="1"/>
                <w:bCs w:val="1"/>
                <w:color w:val="auto"/>
              </w:rPr>
              <w:t>Capital</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gridSpan w:val="4"/>
          </w:tcPr>
          <w:p>
            <w:pPr>
              <w:jc w:val="center"/>
              <w:ind w:right="340"/>
              <w:spacing w:after="0" w:line="155" w:lineRule="exact"/>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gridSpan w:val="2"/>
          </w:tcPr>
          <w:p>
            <w:pPr>
              <w:jc w:val="center"/>
              <w:ind w:right="180"/>
              <w:spacing w:after="0" w:line="155" w:lineRule="exact"/>
              <w:rPr>
                <w:sz w:val="20"/>
                <w:szCs w:val="20"/>
                <w:color w:val="auto"/>
              </w:rPr>
            </w:pPr>
            <w:r>
              <w:rPr>
                <w:rFonts w:ascii="Arial" w:cs="Arial" w:eastAsia="Arial" w:hAnsi="Arial"/>
                <w:sz w:val="14"/>
                <w:szCs w:val="14"/>
                <w:b w:val="1"/>
                <w:bCs w:val="1"/>
                <w:color w:val="auto"/>
              </w:rPr>
              <w:t>Equity</w:t>
            </w:r>
          </w:p>
        </w:tc>
      </w:tr>
      <w:tr>
        <w:trPr>
          <w:trHeight w:val="182"/>
        </w:trPr>
        <w:tc>
          <w:tcPr>
            <w:tcW w:w="20" w:type="dxa"/>
            <w:vAlign w:val="bottom"/>
          </w:tcPr>
          <w:p>
            <w:pPr>
              <w:spacing w:after="0"/>
              <w:rPr>
                <w:sz w:val="15"/>
                <w:szCs w:val="15"/>
                <w:color w:val="auto"/>
              </w:rPr>
            </w:pPr>
          </w:p>
        </w:tc>
        <w:tc>
          <w:tcPr>
            <w:tcW w:w="2760" w:type="dxa"/>
            <w:vAlign w:val="bottom"/>
            <w:tcBorders>
              <w:top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Balance at January 1, 2023</w:t>
            </w:r>
          </w:p>
        </w:tc>
        <w:tc>
          <w:tcPr>
            <w:tcW w:w="20" w:type="dxa"/>
            <w:vAlign w:val="bottom"/>
            <w:tcBorders>
              <w:top w:val="single" w:sz="8" w:color="CCEEFF"/>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720" w:type="dxa"/>
            <w:vAlign w:val="bottom"/>
            <w:tcBorders>
              <w:top w:val="single" w:sz="8" w:color="auto"/>
              <w:right w:val="single" w:sz="8" w:color="auto"/>
            </w:tcBorders>
            <w:shd w:val="clear" w:color="auto" w:fill="CCEEFF"/>
          </w:tcPr>
          <w:p>
            <w:pPr>
              <w:jc w:val="right"/>
              <w:ind w:right="1"/>
              <w:spacing w:after="0" w:line="183" w:lineRule="exact"/>
              <w:rPr>
                <w:sz w:val="20"/>
                <w:szCs w:val="20"/>
                <w:color w:val="auto"/>
              </w:rPr>
            </w:pPr>
            <w:r>
              <w:rPr>
                <w:rFonts w:ascii="Arial" w:cs="Arial" w:eastAsia="Arial" w:hAnsi="Arial"/>
                <w:sz w:val="16"/>
                <w:szCs w:val="16"/>
                <w:color w:val="auto"/>
                <w:w w:val="99"/>
              </w:rPr>
              <w:t>$ 30,261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15,928</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99"/>
              </w:rPr>
              <w:t>$1,178,960</w:t>
            </w:r>
          </w:p>
        </w:tc>
        <w:tc>
          <w:tcPr>
            <w:tcW w:w="2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gridSpan w:val="2"/>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gridSpan w:val="2"/>
            <w:shd w:val="clear" w:color="auto" w:fill="CCEEFF"/>
          </w:tcPr>
          <w:p>
            <w:pPr>
              <w:jc w:val="right"/>
              <w:spacing w:after="0" w:line="183" w:lineRule="exact"/>
              <w:rPr>
                <w:sz w:val="20"/>
                <w:szCs w:val="20"/>
                <w:color w:val="auto"/>
              </w:rPr>
            </w:pPr>
            <w:r>
              <w:rPr>
                <w:rFonts w:ascii="Arial" w:cs="Arial" w:eastAsia="Arial" w:hAnsi="Arial"/>
                <w:sz w:val="16"/>
                <w:szCs w:val="16"/>
                <w:color w:val="auto"/>
              </w:rPr>
              <w:t>(827,213)</w:t>
            </w:r>
          </w:p>
        </w:tc>
        <w:tc>
          <w:tcPr>
            <w:tcW w:w="2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gridSpan w:val="2"/>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351,771</w:t>
            </w:r>
          </w:p>
        </w:tc>
        <w:tc>
          <w:tcPr>
            <w:tcW w:w="20" w:type="dxa"/>
            <w:vAlign w:val="bottom"/>
            <w:tcBorders>
              <w:top w:val="single" w:sz="8" w:color="auto"/>
            </w:tcBorders>
            <w:shd w:val="clear" w:color="auto" w:fill="CCEEFF"/>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RSU vesting</w:t>
            </w:r>
          </w:p>
        </w:tc>
        <w:tc>
          <w:tcPr>
            <w:tcW w:w="20" w:type="dxa"/>
            <w:vAlign w:val="bottom"/>
          </w:tcPr>
          <w:p>
            <w:pPr>
              <w:spacing w:after="0"/>
              <w:rPr>
                <w:sz w:val="16"/>
                <w:szCs w:val="16"/>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720" w:type="dxa"/>
            <w:vAlign w:val="bottom"/>
            <w:tcBorders>
              <w:right w:val="single" w:sz="8" w:color="auto"/>
            </w:tcBorders>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(65)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(65)</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Stock compensation</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4,698</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2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4,698</w:t>
            </w:r>
          </w:p>
        </w:tc>
        <w:tc>
          <w:tcPr>
            <w:tcW w:w="20" w:type="dxa"/>
            <w:vAlign w:val="bottom"/>
            <w:shd w:val="clear" w:color="auto" w:fill="CCEEFF"/>
          </w:tcPr>
          <w:p>
            <w:pPr>
              <w:spacing w:after="0"/>
              <w:rPr>
                <w:sz w:val="16"/>
                <w:szCs w:val="16"/>
                <w:color w:val="auto"/>
              </w:rPr>
            </w:pPr>
          </w:p>
        </w:tc>
      </w:tr>
      <w:tr>
        <w:trPr>
          <w:trHeight w:val="175"/>
        </w:trPr>
        <w:tc>
          <w:tcPr>
            <w:tcW w:w="20" w:type="dxa"/>
            <w:vAlign w:val="bottom"/>
          </w:tcPr>
          <w:p>
            <w:pPr>
              <w:spacing w:after="0"/>
              <w:rPr>
                <w:sz w:val="15"/>
                <w:szCs w:val="15"/>
                <w:color w:val="auto"/>
              </w:rPr>
            </w:pPr>
          </w:p>
        </w:tc>
        <w:tc>
          <w:tcPr>
            <w:tcW w:w="2760" w:type="dxa"/>
            <w:vAlign w:val="bottom"/>
          </w:tcPr>
          <w:p>
            <w:pPr>
              <w:ind w:left="100"/>
              <w:spacing w:after="0" w:line="175" w:lineRule="exact"/>
              <w:rPr>
                <w:sz w:val="20"/>
                <w:szCs w:val="20"/>
                <w:color w:val="auto"/>
              </w:rPr>
            </w:pPr>
            <w:r>
              <w:rPr>
                <w:rFonts w:ascii="Arial" w:cs="Arial" w:eastAsia="Arial" w:hAnsi="Arial"/>
                <w:sz w:val="16"/>
                <w:szCs w:val="16"/>
                <w:color w:val="auto"/>
              </w:rPr>
              <w:t>Accrual of Series A Convertible</w:t>
            </w:r>
          </w:p>
        </w:tc>
        <w:tc>
          <w:tcPr>
            <w:tcW w:w="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03"/>
        </w:trPr>
        <w:tc>
          <w:tcPr>
            <w:tcW w:w="20" w:type="dxa"/>
            <w:vAlign w:val="bottom"/>
          </w:tcPr>
          <w:p>
            <w:pPr>
              <w:spacing w:after="0"/>
              <w:rPr>
                <w:sz w:val="17"/>
                <w:szCs w:val="17"/>
                <w:color w:val="auto"/>
              </w:rPr>
            </w:pPr>
          </w:p>
        </w:tc>
        <w:tc>
          <w:tcPr>
            <w:tcW w:w="2760" w:type="dxa"/>
            <w:vAlign w:val="bottom"/>
          </w:tcPr>
          <w:p>
            <w:pPr>
              <w:ind w:left="100"/>
              <w:spacing w:after="0"/>
              <w:rPr>
                <w:sz w:val="20"/>
                <w:szCs w:val="20"/>
                <w:color w:val="auto"/>
              </w:rPr>
            </w:pPr>
            <w:r>
              <w:rPr>
                <w:rFonts w:ascii="Arial" w:cs="Arial" w:eastAsia="Arial" w:hAnsi="Arial"/>
                <w:sz w:val="16"/>
                <w:szCs w:val="16"/>
                <w:color w:val="auto"/>
              </w:rPr>
              <w:t>Preferred Stock dividends</w:t>
            </w:r>
          </w:p>
        </w:tc>
        <w:tc>
          <w:tcPr>
            <w:tcW w:w="20" w:type="dxa"/>
            <w:vAlign w:val="bottom"/>
          </w:tcPr>
          <w:p>
            <w:pPr>
              <w:spacing w:after="0"/>
              <w:rPr>
                <w:sz w:val="17"/>
                <w:szCs w:val="17"/>
                <w:color w:val="auto"/>
              </w:rPr>
            </w:pPr>
          </w:p>
        </w:tc>
        <w:tc>
          <w:tcPr>
            <w:tcW w:w="72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740" w:type="dxa"/>
            <w:vAlign w:val="bottom"/>
            <w:tcBorders>
              <w:right w:val="single" w:sz="8" w:color="auto"/>
            </w:tcBorders>
            <w:gridSpan w:val="2"/>
          </w:tcPr>
          <w:p>
            <w:pPr>
              <w:jc w:val="right"/>
              <w:ind w:right="1"/>
              <w:spacing w:after="0"/>
              <w:rPr>
                <w:sz w:val="20"/>
                <w:szCs w:val="20"/>
                <w:color w:val="auto"/>
              </w:rPr>
            </w:pPr>
            <w:r>
              <w:rPr>
                <w:rFonts w:ascii="Arial" w:cs="Arial" w:eastAsia="Arial" w:hAnsi="Arial"/>
                <w:sz w:val="16"/>
                <w:szCs w:val="16"/>
                <w:color w:val="auto"/>
              </w:rPr>
              <w:t>1,223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900" w:type="dxa"/>
            <w:vAlign w:val="bottom"/>
            <w:gridSpan w:val="3"/>
          </w:tcPr>
          <w:p>
            <w:pPr>
              <w:jc w:val="right"/>
              <w:ind w:right="20"/>
              <w:spacing w:after="0"/>
              <w:rPr>
                <w:sz w:val="20"/>
                <w:szCs w:val="20"/>
                <w:color w:val="auto"/>
              </w:rPr>
            </w:pPr>
            <w:r>
              <w:rPr>
                <w:rFonts w:ascii="Arial" w:cs="Arial" w:eastAsia="Arial" w:hAnsi="Arial"/>
                <w:sz w:val="16"/>
                <w:szCs w:val="16"/>
                <w:color w:val="auto"/>
              </w:rPr>
              <w:t>(1,223)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gridSpan w:val="4"/>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gridSpan w:val="2"/>
          </w:tcPr>
          <w:p>
            <w:pPr>
              <w:jc w:val="right"/>
              <w:spacing w:after="0"/>
              <w:rPr>
                <w:sz w:val="20"/>
                <w:szCs w:val="20"/>
                <w:color w:val="auto"/>
              </w:rPr>
            </w:pPr>
            <w:r>
              <w:rPr>
                <w:rFonts w:ascii="Arial" w:cs="Arial" w:eastAsia="Arial" w:hAnsi="Arial"/>
                <w:sz w:val="16"/>
                <w:szCs w:val="16"/>
                <w:color w:val="auto"/>
              </w:rPr>
              <w:t>(1,223)</w:t>
            </w:r>
          </w:p>
        </w:tc>
      </w:tr>
      <w:tr>
        <w:trPr>
          <w:trHeight w:val="189"/>
        </w:trPr>
        <w:tc>
          <w:tcPr>
            <w:tcW w:w="20" w:type="dxa"/>
            <w:vAlign w:val="bottom"/>
          </w:tcPr>
          <w:p>
            <w:pPr>
              <w:spacing w:after="0"/>
              <w:rPr>
                <w:sz w:val="16"/>
                <w:szCs w:val="16"/>
                <w:color w:val="auto"/>
              </w:rPr>
            </w:pPr>
          </w:p>
        </w:tc>
        <w:tc>
          <w:tcPr>
            <w:tcW w:w="2760" w:type="dxa"/>
            <w:vAlign w:val="bottom"/>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2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720" w:type="dxa"/>
            <w:vAlign w:val="bottom"/>
            <w:tcBorders>
              <w:right w:val="single" w:sz="8" w:color="auto"/>
            </w:tcBorders>
            <w:shd w:val="clear" w:color="auto" w:fill="CCEEFF"/>
          </w:tcPr>
          <w:p>
            <w:pPr>
              <w:ind w:left="8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7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500" w:type="dxa"/>
            <w:vAlign w:val="bottom"/>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980" w:type="dxa"/>
            <w:vAlign w:val="bottom"/>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(326,210)</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(326,210)</w:t>
            </w:r>
          </w:p>
        </w:tc>
      </w:tr>
      <w:tr>
        <w:trPr>
          <w:trHeight w:val="183"/>
        </w:trPr>
        <w:tc>
          <w:tcPr>
            <w:tcW w:w="27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Balance at June 30, 2023</w:t>
            </w:r>
          </w:p>
        </w:tc>
        <w:tc>
          <w:tcPr>
            <w:tcW w:w="20" w:type="dxa"/>
            <w:vAlign w:val="bottom"/>
          </w:tcPr>
          <w:p>
            <w:pPr>
              <w:spacing w:after="0"/>
              <w:rPr>
                <w:sz w:val="15"/>
                <w:szCs w:val="15"/>
                <w:color w:val="auto"/>
              </w:rPr>
            </w:pPr>
          </w:p>
        </w:tc>
        <w:tc>
          <w:tcPr>
            <w:tcW w:w="6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300</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tcBorders>
              <w:top w:val="single" w:sz="8" w:color="auto"/>
              <w:bottom w:val="single" w:sz="8" w:color="auto"/>
              <w:right w:val="single" w:sz="8" w:color="auto"/>
            </w:tcBorders>
          </w:tcPr>
          <w:p>
            <w:pPr>
              <w:jc w:val="right"/>
              <w:ind w:right="1"/>
              <w:spacing w:after="0" w:line="183" w:lineRule="exact"/>
              <w:rPr>
                <w:sz w:val="20"/>
                <w:szCs w:val="20"/>
                <w:color w:val="auto"/>
              </w:rPr>
            </w:pPr>
            <w:r>
              <w:rPr>
                <w:rFonts w:ascii="Arial" w:cs="Arial" w:eastAsia="Arial" w:hAnsi="Arial"/>
                <w:sz w:val="16"/>
                <w:szCs w:val="16"/>
                <w:color w:val="auto"/>
                <w:w w:val="99"/>
              </w:rPr>
              <w:t>$ 31,484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15,953</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w:t>
            </w:r>
          </w:p>
        </w:tc>
        <w:tc>
          <w:tcPr>
            <w:tcW w:w="20" w:type="dxa"/>
            <w:vAlign w:val="bottom"/>
            <w:tcBorders>
              <w:top w:val="single" w:sz="8" w:color="auto"/>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u w:val="single" w:color="auto"/>
                <w:color w:val="auto"/>
                <w:w w:val="99"/>
              </w:rPr>
              <w:t>$</w:t>
            </w:r>
            <w:r>
              <w:rPr>
                <w:rFonts w:ascii="Arial" w:cs="Arial" w:eastAsia="Arial" w:hAnsi="Arial"/>
                <w:sz w:val="16"/>
                <w:szCs w:val="16"/>
                <w:color w:val="auto"/>
                <w:w w:val="99"/>
              </w:rPr>
              <w:t>1,182,370</w:t>
            </w:r>
          </w:p>
        </w:tc>
        <w:tc>
          <w:tcPr>
            <w:tcW w:w="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Borders>
              <w:top w:val="single" w:sz="8" w:color="auto"/>
              <w:bottom w:val="single" w:sz="8" w:color="auto"/>
            </w:tcBorders>
            <w:gridSpan w:val="4"/>
          </w:tcPr>
          <w:p>
            <w:pPr>
              <w:jc w:val="right"/>
              <w:spacing w:after="0" w:line="183" w:lineRule="exact"/>
              <w:rPr>
                <w:sz w:val="20"/>
                <w:szCs w:val="20"/>
                <w:color w:val="auto"/>
              </w:rPr>
            </w:pPr>
            <w:r>
              <w:rPr>
                <w:rFonts w:ascii="Arial" w:cs="Arial" w:eastAsia="Arial" w:hAnsi="Arial"/>
                <w:sz w:val="16"/>
                <w:szCs w:val="16"/>
                <w:color w:val="auto"/>
                <w:w w:val="96"/>
              </w:rPr>
              <w:t>$ (1,153,423)</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80" w:type="dxa"/>
            <w:vAlign w:val="bottom"/>
            <w:tcBorders>
              <w:top w:val="single" w:sz="8" w:color="auto"/>
              <w:bottom w:val="single" w:sz="8" w:color="auto"/>
            </w:tcBorders>
            <w:gridSpan w:val="2"/>
          </w:tcPr>
          <w:p>
            <w:pPr>
              <w:jc w:val="right"/>
              <w:ind w:right="26"/>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28,971</w:t>
            </w:r>
          </w:p>
        </w:tc>
        <w:tc>
          <w:tcPr>
            <w:tcW w:w="20" w:type="dxa"/>
            <w:vAlign w:val="bottom"/>
            <w:tcBorders>
              <w:top w:val="single" w:sz="8" w:color="auto"/>
              <w:bottom w:val="single" w:sz="8" w:color="auto"/>
            </w:tcBorders>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Nu Ride Inc.</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f/k/a Lordstown Motors Corp.</w:t>
      </w:r>
    </w:p>
    <w:p>
      <w:pPr>
        <w:jc w:val="center"/>
        <w:ind w:right="20"/>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4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 thousands)</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6380" w:type="dxa"/>
            <w:vAlign w:val="bottom"/>
          </w:tcPr>
          <w:p>
            <w:pPr>
              <w:spacing w:after="0"/>
              <w:rPr>
                <w:sz w:val="14"/>
                <w:szCs w:val="14"/>
                <w:color w:val="auto"/>
              </w:rPr>
            </w:pPr>
          </w:p>
        </w:tc>
        <w:tc>
          <w:tcPr>
            <w:tcW w:w="2600" w:type="dxa"/>
            <w:vAlign w:val="bottom"/>
            <w:gridSpan w:val="6"/>
          </w:tcPr>
          <w:p>
            <w:pPr>
              <w:spacing w:after="0"/>
              <w:rPr>
                <w:sz w:val="20"/>
                <w:szCs w:val="20"/>
                <w:color w:val="auto"/>
              </w:rPr>
            </w:pPr>
            <w:r>
              <w:rPr>
                <w:rFonts w:ascii="Arial" w:cs="Arial" w:eastAsia="Arial" w:hAnsi="Arial"/>
                <w:sz w:val="14"/>
                <w:szCs w:val="14"/>
                <w:b w:val="1"/>
                <w:bCs w:val="1"/>
                <w:color w:val="auto"/>
              </w:rPr>
              <w:t>Six months ended Six months ended</w:t>
            </w:r>
          </w:p>
        </w:tc>
        <w:tc>
          <w:tcPr>
            <w:tcW w:w="0" w:type="dxa"/>
            <w:vAlign w:val="bottom"/>
          </w:tcPr>
          <w:p>
            <w:pPr>
              <w:spacing w:after="0"/>
              <w:rPr>
                <w:sz w:val="1"/>
                <w:szCs w:val="1"/>
                <w:color w:val="auto"/>
              </w:rPr>
            </w:pPr>
          </w:p>
        </w:tc>
      </w:tr>
      <w:tr>
        <w:trPr>
          <w:trHeight w:val="171"/>
        </w:trPr>
        <w:tc>
          <w:tcPr>
            <w:tcW w:w="6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14"/>
                <w:szCs w:val="14"/>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209"/>
        </w:trPr>
        <w:tc>
          <w:tcPr>
            <w:tcW w:w="63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line="202" w:lineRule="exact"/>
              <w:rPr>
                <w:sz w:val="20"/>
                <w:szCs w:val="20"/>
                <w:color w:val="auto"/>
              </w:rPr>
            </w:pPr>
            <w:r>
              <w:rPr>
                <w:rFonts w:ascii="Arial" w:cs="Arial" w:eastAsia="Arial" w:hAnsi="Arial"/>
                <w:sz w:val="18"/>
                <w:szCs w:val="18"/>
                <w:color w:val="auto"/>
              </w:rPr>
              <w:t>Net loss</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(6,995)</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(326,210)</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Adjustments to reconcile net loss to cash used in operating activities: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Stock-based compensation</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3,418</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4,698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Loss on disposal of fixed assets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Impairment of property plant and equipment and intangible assets</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139,481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Depreciation of property plant and equipment</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54,308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Write down of inventory and prepaid inventory</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24,105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Other non-cash changes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(1,761)</w:t>
            </w:r>
          </w:p>
        </w:tc>
        <w:tc>
          <w:tcPr>
            <w:tcW w:w="0" w:type="dxa"/>
            <w:vAlign w:val="bottom"/>
          </w:tcPr>
          <w:p>
            <w:pPr>
              <w:spacing w:after="0"/>
              <w:rPr>
                <w:sz w:val="1"/>
                <w:szCs w:val="1"/>
                <w:color w:val="auto"/>
              </w:rPr>
            </w:pPr>
          </w:p>
        </w:tc>
      </w:tr>
      <w:tr>
        <w:trPr>
          <w:trHeight w:val="203"/>
        </w:trPr>
        <w:tc>
          <w:tcPr>
            <w:tcW w:w="6380" w:type="dxa"/>
            <w:vAlign w:val="bottom"/>
          </w:tcPr>
          <w:p>
            <w:pPr>
              <w:ind w:left="120"/>
              <w:spacing w:after="0" w:line="202" w:lineRule="exact"/>
              <w:rPr>
                <w:sz w:val="20"/>
                <w:szCs w:val="20"/>
                <w:color w:val="auto"/>
              </w:rPr>
            </w:pPr>
            <w:r>
              <w:rPr>
                <w:rFonts w:ascii="Arial" w:cs="Arial" w:eastAsia="Arial" w:hAnsi="Arial"/>
                <w:sz w:val="18"/>
                <w:szCs w:val="18"/>
                <w:color w:val="auto"/>
              </w:rPr>
              <w:t>Changes in assets and liabilities: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Inventory</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(10,537)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Prepaid insurance and other assets</w:t>
            </w:r>
          </w:p>
        </w:tc>
        <w:tc>
          <w:tcPr>
            <w:tcW w:w="10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3,612</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4,596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(600)</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(5,997)</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Accrued legal and professional</w:t>
            </w:r>
          </w:p>
        </w:tc>
        <w:tc>
          <w:tcPr>
            <w:tcW w:w="100" w:type="dxa"/>
            <w:vAlign w:val="bottom"/>
          </w:tcPr>
          <w:p>
            <w:pPr>
              <w:spacing w:after="0"/>
              <w:rPr>
                <w:sz w:val="17"/>
                <w:szCs w:val="17"/>
                <w:color w:val="auto"/>
              </w:rPr>
            </w:pP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(11,704)</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39,396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Accrued expenses and other current liabilities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40"/>
              <w:spacing w:after="0" w:line="202" w:lineRule="exact"/>
              <w:rPr>
                <w:sz w:val="20"/>
                <w:szCs w:val="20"/>
                <w:color w:val="auto"/>
              </w:rPr>
            </w:pPr>
            <w:r>
              <w:rPr>
                <w:rFonts w:ascii="Arial" w:cs="Arial" w:eastAsia="Arial" w:hAnsi="Arial"/>
                <w:sz w:val="18"/>
                <w:szCs w:val="18"/>
                <w:color w:val="auto"/>
              </w:rPr>
              <w:t>(12,469)</w:t>
            </w:r>
          </w:p>
        </w:tc>
        <w:tc>
          <w:tcPr>
            <w:tcW w:w="1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440"/>
              <w:spacing w:after="0" w:line="196" w:lineRule="exact"/>
              <w:rPr>
                <w:sz w:val="20"/>
                <w:szCs w:val="20"/>
                <w:color w:val="auto"/>
              </w:rPr>
            </w:pPr>
            <w:r>
              <w:rPr>
                <w:rFonts w:ascii="Arial" w:cs="Arial" w:eastAsia="Arial" w:hAnsi="Arial"/>
                <w:sz w:val="18"/>
                <w:szCs w:val="18"/>
                <w:color w:val="auto"/>
              </w:rPr>
              <w:t>Net Cash used in operating activities</w:t>
            </w:r>
          </w:p>
        </w:tc>
        <w:tc>
          <w:tcPr>
            <w:tcW w:w="100" w:type="dxa"/>
            <w:vAlign w:val="bottom"/>
            <w:tcBorders>
              <w:top w:val="single" w:sz="8" w:color="auto"/>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(24,738)</w:t>
            </w:r>
          </w:p>
        </w:tc>
        <w:tc>
          <w:tcPr>
            <w:tcW w:w="6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(75,692)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Investing activities</w:t>
            </w: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Purchases of property plant and equipment</w:t>
            </w:r>
          </w:p>
        </w:tc>
        <w:tc>
          <w:tcPr>
            <w:tcW w:w="1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80"/>
              <w:spacing w:after="0" w:line="202" w:lineRule="exact"/>
              <w:rPr>
                <w:sz w:val="20"/>
                <w:szCs w:val="20"/>
                <w:color w:val="auto"/>
              </w:rPr>
            </w:pPr>
            <w:r>
              <w:rPr>
                <w:rFonts w:ascii="Arial" w:cs="Arial" w:eastAsia="Arial" w:hAnsi="Arial"/>
                <w:sz w:val="18"/>
                <w:szCs w:val="18"/>
                <w:color w:val="auto"/>
              </w:rPr>
              <w:t>(10,188)</w:t>
            </w: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Purchases of short-term investments</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200" w:type="dxa"/>
            <w:vAlign w:val="bottom"/>
            <w:gridSpan w:val="2"/>
          </w:tcPr>
          <w:p>
            <w:pPr>
              <w:jc w:val="right"/>
              <w:ind w:right="80"/>
              <w:spacing w:after="0" w:line="202" w:lineRule="exact"/>
              <w:rPr>
                <w:sz w:val="20"/>
                <w:szCs w:val="20"/>
                <w:color w:val="auto"/>
              </w:rPr>
            </w:pPr>
            <w:r>
              <w:rPr>
                <w:rFonts w:ascii="Arial" w:cs="Arial" w:eastAsia="Arial" w:hAnsi="Arial"/>
                <w:sz w:val="18"/>
                <w:szCs w:val="18"/>
                <w:color w:val="auto"/>
              </w:rPr>
              <w:t>(32,147)</w:t>
            </w: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Maturities of short-term investments</w:t>
            </w: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112,203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Proceeds from the sale of fixed assets</w:t>
            </w:r>
          </w:p>
        </w:tc>
        <w:tc>
          <w:tcPr>
            <w:tcW w:w="100" w:type="dxa"/>
            <w:vAlign w:val="bottom"/>
          </w:tcPr>
          <w:p>
            <w:pPr>
              <w:spacing w:after="0"/>
              <w:rPr>
                <w:sz w:val="17"/>
                <w:szCs w:val="17"/>
                <w:color w:val="auto"/>
              </w:rPr>
            </w:pP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198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provided by investing activities</w:t>
            </w:r>
          </w:p>
        </w:tc>
        <w:tc>
          <w:tcPr>
            <w:tcW w:w="100" w:type="dxa"/>
            <w:vAlign w:val="bottom"/>
            <w:tcBorders>
              <w:top w:val="single" w:sz="8" w:color="auto"/>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70,066</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Financing activities</w:t>
            </w: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tcPr>
          <w:p>
            <w:pPr>
              <w:ind w:left="20"/>
              <w:spacing w:after="0" w:line="202" w:lineRule="exact"/>
              <w:rPr>
                <w:sz w:val="20"/>
                <w:szCs w:val="20"/>
                <w:color w:val="auto"/>
              </w:rPr>
            </w:pPr>
            <w:r>
              <w:rPr>
                <w:rFonts w:ascii="Arial" w:cs="Arial" w:eastAsia="Arial" w:hAnsi="Arial"/>
                <w:sz w:val="18"/>
                <w:szCs w:val="18"/>
                <w:color w:val="auto"/>
              </w:rPr>
              <w:t>Tax withholding payments related to net settled restricted stock compensation</w:t>
            </w:r>
          </w:p>
        </w:tc>
        <w:tc>
          <w:tcPr>
            <w:tcW w:w="100" w:type="dxa"/>
            <w:vAlign w:val="bottom"/>
          </w:tcPr>
          <w:p>
            <w:pPr>
              <w:spacing w:after="0" w:line="202" w:lineRule="exact"/>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(106)</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6"/>
        </w:trPr>
        <w:tc>
          <w:tcPr>
            <w:tcW w:w="6380" w:type="dxa"/>
            <w:vAlign w:val="bottom"/>
            <w:tcBorders>
              <w:top w:val="single" w:sz="8" w:color="CCEEFF"/>
            </w:tcBorders>
            <w:shd w:val="clear" w:color="auto" w:fill="CCEEFF"/>
          </w:tcPr>
          <w:p>
            <w:pPr>
              <w:ind w:left="440"/>
              <w:spacing w:after="0" w:line="196" w:lineRule="exact"/>
              <w:rPr>
                <w:sz w:val="20"/>
                <w:szCs w:val="20"/>
                <w:color w:val="auto"/>
              </w:rPr>
            </w:pPr>
            <w:r>
              <w:rPr>
                <w:rFonts w:ascii="Arial" w:cs="Arial" w:eastAsia="Arial" w:hAnsi="Arial"/>
                <w:sz w:val="18"/>
                <w:szCs w:val="18"/>
                <w:color w:val="auto"/>
              </w:rPr>
              <w:t>Net Cash used in financing activities</w:t>
            </w:r>
          </w:p>
        </w:tc>
        <w:tc>
          <w:tcPr>
            <w:tcW w:w="100" w:type="dxa"/>
            <w:vAlign w:val="bottom"/>
            <w:tcBorders>
              <w:top w:val="single" w:sz="8" w:color="CCEEFF"/>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(106)</w:t>
            </w:r>
          </w:p>
        </w:tc>
        <w:tc>
          <w:tcPr>
            <w:tcW w:w="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Pr>
          <w:p>
            <w:pPr>
              <w:ind w:left="20"/>
              <w:spacing w:after="0" w:line="196" w:lineRule="exact"/>
              <w:rPr>
                <w:sz w:val="20"/>
                <w:szCs w:val="20"/>
                <w:color w:val="auto"/>
              </w:rPr>
            </w:pPr>
            <w:r>
              <w:rPr>
                <w:rFonts w:ascii="Arial" w:cs="Arial" w:eastAsia="Arial" w:hAnsi="Arial"/>
                <w:sz w:val="18"/>
                <w:szCs w:val="18"/>
                <w:color w:val="auto"/>
              </w:rPr>
              <w:t>Decrease in cash, cash equivalents, and restricted cash</w:t>
            </w:r>
          </w:p>
        </w:tc>
        <w:tc>
          <w:tcPr>
            <w:tcW w:w="100" w:type="dxa"/>
            <w:vAlign w:val="bottom"/>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(24,844)</w:t>
            </w:r>
          </w:p>
        </w:tc>
        <w:tc>
          <w:tcPr>
            <w:tcW w:w="6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196" w:lineRule="exact"/>
              <w:rPr>
                <w:sz w:val="20"/>
                <w:szCs w:val="20"/>
                <w:color w:val="auto"/>
              </w:rPr>
            </w:pPr>
            <w:r>
              <w:rPr>
                <w:rFonts w:ascii="Arial" w:cs="Arial" w:eastAsia="Arial" w:hAnsi="Arial"/>
                <w:sz w:val="18"/>
                <w:szCs w:val="18"/>
                <w:color w:val="auto"/>
              </w:rPr>
              <w:t>(5,626)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3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Cash and cash equivalents, beginning balance</w:t>
            </w:r>
          </w:p>
        </w:tc>
        <w:tc>
          <w:tcPr>
            <w:tcW w:w="10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87,096</w:t>
            </w: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1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121,358</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tcBorders>
              <w:bottom w:val="single" w:sz="8" w:color="CCEEFF"/>
            </w:tcBorders>
          </w:tcPr>
          <w:p>
            <w:pPr>
              <w:ind w:left="20"/>
              <w:spacing w:after="0" w:line="196" w:lineRule="exact"/>
              <w:rPr>
                <w:sz w:val="20"/>
                <w:szCs w:val="20"/>
                <w:color w:val="auto"/>
              </w:rPr>
            </w:pPr>
            <w:r>
              <w:rPr>
                <w:rFonts w:ascii="Arial" w:cs="Arial" w:eastAsia="Arial" w:hAnsi="Arial"/>
                <w:sz w:val="18"/>
                <w:szCs w:val="18"/>
                <w:color w:val="auto"/>
              </w:rPr>
              <w:t>Cash, cash equivalents, and restricted cash ending balance</w:t>
            </w:r>
          </w:p>
        </w:tc>
        <w:tc>
          <w:tcPr>
            <w:tcW w:w="10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62,252</w:t>
            </w:r>
          </w:p>
        </w:tc>
        <w:tc>
          <w:tcPr>
            <w:tcW w:w="6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115,732</w:t>
            </w: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480" w:type="dxa"/>
            <w:vAlign w:val="bottom"/>
            <w:gridSpan w:val="2"/>
          </w:tcPr>
          <w:p>
            <w:pPr>
              <w:ind w:left="340"/>
              <w:spacing w:after="0" w:line="202" w:lineRule="exact"/>
              <w:rPr>
                <w:sz w:val="20"/>
                <w:szCs w:val="20"/>
                <w:color w:val="auto"/>
              </w:rPr>
            </w:pPr>
            <w:r>
              <w:rPr>
                <w:rFonts w:ascii="Arial" w:cs="Arial" w:eastAsia="Arial" w:hAnsi="Arial"/>
                <w:sz w:val="18"/>
                <w:szCs w:val="18"/>
                <w:color w:val="auto"/>
                <w:w w:val="99"/>
              </w:rPr>
              <w:t>Non-cash derecognition of Foxconn down payments for sale of fixed assets $</w:t>
            </w:r>
          </w:p>
        </w:tc>
        <w:tc>
          <w:tcPr>
            <w:tcW w:w="1180" w:type="dxa"/>
            <w:vAlign w:val="bottom"/>
            <w:gridSpan w:val="2"/>
          </w:tcPr>
          <w:p>
            <w:pPr>
              <w:jc w:val="right"/>
              <w:ind w:right="1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jc w:val="right"/>
              <w:spacing w:after="0" w:line="202" w:lineRule="exact"/>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line="202" w:lineRule="exact"/>
              <w:rPr>
                <w:sz w:val="20"/>
                <w:szCs w:val="20"/>
                <w:color w:val="auto"/>
              </w:rPr>
            </w:pPr>
            <w:r>
              <w:rPr>
                <w:rFonts w:ascii="Arial" w:cs="Arial" w:eastAsia="Arial" w:hAnsi="Arial"/>
                <w:sz w:val="18"/>
                <w:szCs w:val="18"/>
                <w:color w:val="auto"/>
              </w:rPr>
              <w:t>321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6380" w:type="dxa"/>
            <w:vAlign w:val="bottom"/>
            <w:tcBorders>
              <w:top w:val="single" w:sz="8" w:color="CCEEFF"/>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8"/>
                <w:szCs w:val="18"/>
                <w:color w:val="auto"/>
              </w:rPr>
              <w:t>Cash paid for taxes</w:t>
            </w:r>
          </w:p>
        </w:tc>
        <w:tc>
          <w:tcPr>
            <w:tcW w:w="100" w:type="dxa"/>
            <w:vAlign w:val="bottom"/>
            <w:tcBorders>
              <w:top w:val="single" w:sz="8" w:color="auto"/>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ind w:left="340"/>
              <w:spacing w:after="0"/>
              <w:rPr>
                <w:sz w:val="20"/>
                <w:szCs w:val="20"/>
                <w:color w:val="auto"/>
              </w:rPr>
            </w:pPr>
            <w:r>
              <w:rPr>
                <w:rFonts w:ascii="Arial" w:cs="Arial" w:eastAsia="Arial" w:hAnsi="Arial"/>
                <w:sz w:val="18"/>
                <w:szCs w:val="18"/>
                <w:color w:val="auto"/>
              </w:rPr>
              <w:t>Cash paid for interest</w:t>
            </w: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380" w:type="dxa"/>
            <w:vAlign w:val="bottom"/>
            <w:tcBorders>
              <w:bottom w:val="single" w:sz="8" w:color="CCEEFF"/>
            </w:tcBorders>
            <w:vMerge w:val="continue"/>
          </w:tcPr>
          <w:p>
            <w:pPr>
              <w:spacing w:after="0"/>
              <w:rPr>
                <w:sz w:val="19"/>
                <w:szCs w:val="19"/>
                <w:color w:val="auto"/>
              </w:rPr>
            </w:pPr>
          </w:p>
        </w:tc>
        <w:tc>
          <w:tcPr>
            <w:tcW w:w="100" w:type="dxa"/>
            <w:vAlign w:val="bottom"/>
            <w:tcBorders>
              <w:bottom w:val="single" w:sz="8" w:color="auto"/>
            </w:tcBorders>
          </w:tcPr>
          <w:p>
            <w:pPr>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vMerge w:val="continue"/>
          </w:tcPr>
          <w:p>
            <w:pPr>
              <w:spacing w:after="0"/>
              <w:rPr>
                <w:sz w:val="19"/>
                <w:szCs w:val="19"/>
                <w:color w:val="auto"/>
              </w:rPr>
            </w:pPr>
          </w:p>
        </w:tc>
        <w:tc>
          <w:tcPr>
            <w:tcW w:w="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6380" w:type="dxa"/>
            <w:vAlign w:val="bottom"/>
            <w:tcBorders>
              <w:bottom w:val="single" w:sz="8" w:color="CCEEFF"/>
            </w:tcBorders>
            <w:shd w:val="clear" w:color="auto" w:fill="CCEEFF"/>
          </w:tcPr>
          <w:p>
            <w:pPr>
              <w:ind w:left="340"/>
              <w:spacing w:after="0" w:line="183" w:lineRule="exact"/>
              <w:rPr>
                <w:sz w:val="20"/>
                <w:szCs w:val="20"/>
                <w:color w:val="auto"/>
              </w:rPr>
            </w:pPr>
            <w:r>
              <w:rPr>
                <w:rFonts w:ascii="Arial" w:cs="Arial" w:eastAsia="Arial" w:hAnsi="Arial"/>
                <w:sz w:val="18"/>
                <w:szCs w:val="18"/>
                <w:color w:val="auto"/>
              </w:rPr>
              <w:t>Cash paid for reorganization items</w:t>
            </w:r>
          </w:p>
        </w:tc>
        <w:tc>
          <w:tcPr>
            <w:tcW w:w="10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16,559</w:t>
            </w:r>
          </w:p>
        </w:tc>
        <w:tc>
          <w:tcPr>
            <w:tcW w:w="6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1820"/>
        <w:spacing w:after="0"/>
        <w:rPr>
          <w:sz w:val="20"/>
          <w:szCs w:val="20"/>
          <w:color w:val="auto"/>
        </w:rPr>
      </w:pPr>
      <w:r>
        <w:rPr>
          <w:rFonts w:ascii="Arial" w:cs="Arial" w:eastAsia="Arial" w:hAnsi="Arial"/>
          <w:sz w:val="18"/>
          <w:szCs w:val="18"/>
          <w:color w:val="auto"/>
        </w:rPr>
        <w:t>See Notes to Unaudited Condensed Consolidated Financial Statements</w:t>
      </w:r>
    </w:p>
    <w:p>
      <w:pPr>
        <w:spacing w:after="0" w:line="200" w:lineRule="exact"/>
        <w:rPr>
          <w:sz w:val="20"/>
          <w:szCs w:val="20"/>
          <w:color w:val="auto"/>
        </w:rPr>
      </w:pPr>
    </w:p>
    <w:p>
      <w:pPr>
        <w:spacing w:after="0" w:line="22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20"/>
          </w:cols>
          <w:pgMar w:left="1440" w:top="512" w:right="1439" w:bottom="1440" w:gutter="0" w:footer="0" w:header="0"/>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Nu Ride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f/k/a Lordstown Motors Corp.</w:t>
      </w:r>
    </w:p>
    <w:p>
      <w:pPr>
        <w:spacing w:after="0" w:line="180" w:lineRule="exact"/>
        <w:rPr>
          <w:sz w:val="20"/>
          <w:szCs w:val="20"/>
          <w:color w:val="auto"/>
        </w:rPr>
      </w:pPr>
    </w:p>
    <w:p>
      <w:pPr>
        <w:ind w:left="4180" w:right="1579" w:hanging="2598"/>
        <w:spacing w:after="0" w:line="281" w:lineRule="auto"/>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1 — DESCRIPTION OF ORGANIZATION AND BUSINESS OPERATIONS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Description of Business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Overview</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June 27, 2023, Lordstown Motors Corp., a Delaware corporation, together with its subsidiaries (“Lordstown,” the “Company,” or the “Debtors”), filed voluntary petitions for relief (the “Chapter 11 Cases”) under Chapter 11 of the United States Bankruptcy Code (the “Bankruptcy Code”) in the United States Bankruptcy Court for the District of Delaware (the “Bankruptcy Court”).</w:t>
      </w:r>
    </w:p>
    <w:p>
      <w:pPr>
        <w:spacing w:after="0" w:line="160" w:lineRule="exact"/>
        <w:rPr>
          <w:sz w:val="20"/>
          <w:szCs w:val="20"/>
          <w:color w:val="auto"/>
        </w:rPr>
      </w:pPr>
    </w:p>
    <w:p>
      <w:pPr>
        <w:ind w:left="60" w:right="159"/>
        <w:spacing w:after="0" w:line="238" w:lineRule="auto"/>
        <w:rPr>
          <w:sz w:val="20"/>
          <w:szCs w:val="20"/>
          <w:color w:val="auto"/>
        </w:rPr>
      </w:pPr>
      <w:r>
        <w:rPr>
          <w:rFonts w:ascii="Arial" w:cs="Arial" w:eastAsia="Arial" w:hAnsi="Arial"/>
          <w:sz w:val="18"/>
          <w:szCs w:val="18"/>
          <w:color w:val="auto"/>
        </w:rPr>
        <w:t>In connection with the Chapter 11 Cases, the Company ceased production and sales of its flagship vehicle, the Endurance, and new program development. Furthermore, the Company continued its cost-cutting actions that included significant personnel reductions. On September 29, 2023, the Company entered into the LandX Asset Purchase Agreement (as defined below) to sell specified assets related to the design, production and sale of electric light duty vehicles focused on the commercial fleet market free and clear of liens, claims, encumbrances, and other interests. The purchaser assumed certain specified liabilities of the Company for a total purchase price of $10.2 million in cash in a transaction that closed on October 27, 2023 (discussed below under “Sale of Certain Assets to LandX”). The Company’s remaining assets following the closing of the LandX Asset Purchase Agreement consist largely of cash on hand, the claims asserted in the Foxconn Litigation (as defined below), claims that the Company may have against other parties, as well as net operating loss (“NOL”) carryforwards and other tax attributes.</w:t>
      </w:r>
    </w:p>
    <w:p>
      <w:pPr>
        <w:spacing w:after="0" w:line="172"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Upon emergence from bankruptcy, the near-term operations of the Company consist of (a) claims administration under the Second Modified First Amended Joint Plan of Lordstown Motors Corp. and Its Affiliated Debtors (the “Plan”), (b) addressing the Foxconn Litigation, (c) prosecuting, pursuing, compromising, settling, or otherwise disposing of other retained causes of action, (d) defending the Company against any counterclaims and (e) filing Exchange Act reports and satisfying other regulatory requirements.</w:t>
      </w:r>
    </w:p>
    <w:p>
      <w:pPr>
        <w:spacing w:after="0" w:line="163" w:lineRule="exact"/>
        <w:rPr>
          <w:sz w:val="20"/>
          <w:szCs w:val="20"/>
          <w:color w:val="auto"/>
        </w:rPr>
      </w:pPr>
    </w:p>
    <w:p>
      <w:pPr>
        <w:ind w:left="60" w:right="259"/>
        <w:spacing w:after="0" w:line="239" w:lineRule="auto"/>
        <w:rPr>
          <w:sz w:val="20"/>
          <w:szCs w:val="20"/>
          <w:color w:val="auto"/>
        </w:rPr>
      </w:pPr>
      <w:r>
        <w:rPr>
          <w:rFonts w:ascii="Arial" w:cs="Arial" w:eastAsia="Arial" w:hAnsi="Arial"/>
          <w:sz w:val="18"/>
          <w:szCs w:val="18"/>
          <w:color w:val="auto"/>
        </w:rPr>
        <w:t>In the future, the Company may explore potential business opportunities, including strategic alternatives or business combinations, including those designed to maximize the value of the Company’s NOLs. No assurances can be made that the Company will be successful in prosecuting any claim or cause of action or that any strategic alternative or business combination will be identified and/or would result in profitable operations or the ability to realize any value from the NOLs. The Company anticipates that the prosecution of claims and causes of action and the evaluation and pursuit of potential strategic alternatives will be costly, complex, and risky. As of the date of this report, the Company has neither entered into a definitive agreement with any party, nor has the Company engaged in any specific discussions with any potential business combination candidate regarding business opportunities.</w:t>
      </w:r>
    </w:p>
    <w:p>
      <w:pPr>
        <w:spacing w:after="0" w:line="170" w:lineRule="exact"/>
        <w:rPr>
          <w:sz w:val="20"/>
          <w:szCs w:val="20"/>
          <w:color w:val="auto"/>
        </w:rPr>
      </w:pPr>
    </w:p>
    <w:p>
      <w:pPr>
        <w:jc w:val="both"/>
        <w:ind w:left="60" w:right="139"/>
        <w:spacing w:after="0" w:line="253" w:lineRule="auto"/>
        <w:rPr>
          <w:sz w:val="20"/>
          <w:szCs w:val="20"/>
          <w:color w:val="auto"/>
        </w:rPr>
      </w:pPr>
      <w:r>
        <w:rPr>
          <w:rFonts w:ascii="Arial" w:cs="Arial" w:eastAsia="Arial" w:hAnsi="Arial"/>
          <w:sz w:val="18"/>
          <w:szCs w:val="18"/>
          <w:color w:val="auto"/>
        </w:rPr>
        <w:t>Unless the context indicates otherwise, all shares of the Company’s Class A common stock are presented after giving effect to the 1:15 reverse stock split of the outstanding Class A common stock, which became effective on May 24, 2023.</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Certain Assets to LandX</w:t>
      </w:r>
    </w:p>
    <w:p>
      <w:pPr>
        <w:spacing w:after="0" w:line="196"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On September 29, 2023, the Company entered into an Asset Purchase Agreement (the “LandX Asset Purchase Agreement”) with LAS Capital LLC and Mr. Stephen S. Burns, an individual, as guarantor of certain obligations of LAS Capital under the LandX Asset Purchase Agreement. The LandX Asset Purchase Agreement was assigned to LAS Capital’s affiliate, LandX Motors Inc., a Delaware corporation (the assignee</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and “Purchaser”) and approved by the Bankruptcy Court on October 18, 2023. The closing of the transactions contemplated by the LandX Asset Purchase Agreement occurred on October 27, 2023, at which time the Purchaser acquired certain assets held for sale related to the design, production and sale of electric light duty vehicles focused on the commercial fleet market free and clear of liens, claims, encumbrances, and other interests, and assumed certain specified liabilities for a total purchase price of $10.2 million in cash. Upon consummation of the sale, the Company’s investment banker became entitled to a transaction fee of $ 2.0 million after crediting certain other fees. The transaction fee was paid in January 2024, with no further amounts payable.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Emergence From Bankruptcy</w:t>
      </w:r>
    </w:p>
    <w:p>
      <w:pPr>
        <w:spacing w:after="0" w:line="19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On September 1, 2023, the Debtors filed a Joint Plan of Lordstown Motors Corp. and Its Affiliated Debtors and a related proposed disclosure statement, which were amended and modified on each of October 24, 2023, October 29, 2023, and October 30, 2023. On January 31, 2024, the Debtors filed the Plan. The modifications to the Plan since the previously filed version incorporated, among other things, a settlement (the “Ohio Securities Litigation Settlement”) of claims against the Debtors and certain directors and officers of the Debtors that were serving in such roles as of December 12, 2023, asserted in, or on the same or similar basis as those claims asserted in, the securities class action captioned In re Lordstown Motors Corp. Securities Litigation (the “Ohio Securities Litigation”). The Plan also included, as a condition to confirmation of the Plan, that the SEC approve an offer of settlement submitted by the Debtors to resolve the SEC Claim (as defined below).</w:t>
      </w:r>
    </w:p>
    <w:p>
      <w:pPr>
        <w:spacing w:after="0" w:line="170"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March 5, 2024, the Bankruptcy Court entered a confirmation order confirming the Plan. Following the entry of the confirmation order and all conditions to effectiveness of the Plan being satisfied, the Debtors emerged from bankruptcy on March 14, 2024 under the name “Nu Ride Inc.” Upon emergence, the SEC Claim was deemed withdrawn pursuant to the terms of the settlement with the SEC and the confirmation order. Upon emergence, a new Board of Directors was appointed pursuant to the Plan and all remaining full-time employees, including the Company’s pre-emergence executive officers, were terminated. Some of those employees continue to provide services to the Company as consultants. The Company’s Chief Executive Officer, who is its sole executive officer, was elected by the new Board of Directors in accordance with the Plan, as of the Company’s emergence.</w:t>
      </w:r>
    </w:p>
    <w:p>
      <w:pPr>
        <w:spacing w:after="0" w:line="170" w:lineRule="exact"/>
        <w:rPr>
          <w:sz w:val="20"/>
          <w:szCs w:val="20"/>
          <w:color w:val="auto"/>
        </w:rPr>
      </w:pPr>
    </w:p>
    <w:p>
      <w:pPr>
        <w:ind w:left="60" w:right="259"/>
        <w:spacing w:after="0" w:line="244" w:lineRule="auto"/>
        <w:rPr>
          <w:sz w:val="20"/>
          <w:szCs w:val="20"/>
          <w:color w:val="auto"/>
        </w:rPr>
      </w:pPr>
      <w:r>
        <w:rPr>
          <w:rFonts w:ascii="Arial" w:cs="Arial" w:eastAsia="Arial" w:hAnsi="Arial"/>
          <w:sz w:val="18"/>
          <w:szCs w:val="18"/>
          <w:color w:val="auto"/>
        </w:rPr>
        <w:t>Upon emergence, the Company’s primary operations are: (i) resolving claims filed in the bankruptcy, (ii) prosecuting the Foxconn Litigation, (iii) pursuing, compromising, settling or otherwise disposing of other retained causes of action of the Company, and (iv) identifying potential transactions, including business combinations, or otherwise, that could create value, including through permitting the Company to make use of the NOLs, if preserved.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196" w:lineRule="exact"/>
        <w:rPr>
          <w:sz w:val="20"/>
          <w:szCs w:val="20"/>
          <w:color w:val="auto"/>
        </w:rPr>
      </w:pPr>
    </w:p>
    <w:p>
      <w:pPr>
        <w:ind w:left="60" w:right="179"/>
        <w:spacing w:after="0"/>
        <w:rPr>
          <w:sz w:val="20"/>
          <w:szCs w:val="20"/>
          <w:color w:val="auto"/>
        </w:rPr>
      </w:pPr>
      <w:r>
        <w:rPr>
          <w:rFonts w:ascii="Arial" w:cs="Arial" w:eastAsia="Arial" w:hAnsi="Arial"/>
          <w:sz w:val="18"/>
          <w:szCs w:val="18"/>
          <w:color w:val="auto"/>
        </w:rPr>
        <w:t>On June 27, 2023, the Company commenced an adversary proceeding against Foxconn (the “Foxconn Litigation”) in the Bankruptcy Court seeking relief for fraudulent and tortious conduct as well as breaches of the Investment Agreement (as defined below) and other agreements, the parties’ joint venture agreement, the Foxconn APA (as defined below), and the CMA (as defined below) that the Company believes were committed by Foxconn. As set forth in the complaint relating to the adversary proceeding, the Company believes Foxconn’s actions have caused substantial harm to the Company’s operations and prospects and significant damages.</w:t>
      </w:r>
    </w:p>
    <w:p>
      <w:pPr>
        <w:spacing w:after="0" w:line="171"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 The Company believes that the Foxconn Adversary Motion to Dismiss is without merit and, on November 6, 2023, the Company filed an opposition to Foxconn’s Adversary Motion to Dismiss. Foxconn filed a reply in support of the Foxconn Adversary Motion to Dismiss on November 30, 2023. On December 7, 2023, the Company and its equity committee (the “Equity Committee”) filed a notice of completion of briefing, which provided that</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519"/>
        <w:spacing w:after="0" w:line="271" w:lineRule="auto"/>
        <w:rPr>
          <w:sz w:val="20"/>
          <w:szCs w:val="20"/>
          <w:color w:val="auto"/>
        </w:rPr>
      </w:pPr>
      <w:r>
        <w:rPr>
          <w:rFonts w:ascii="Arial" w:cs="Arial" w:eastAsia="Arial" w:hAnsi="Arial"/>
          <w:sz w:val="18"/>
          <w:szCs w:val="18"/>
          <w:color w:val="auto"/>
        </w:rPr>
        <w:t>the briefing of the Foxconn Adversary Motion to Dismiss has been completed and such motion is ready for disposition.</w:t>
      </w:r>
    </w:p>
    <w:p>
      <w:pPr>
        <w:spacing w:after="0" w:line="140"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On August 1, 2024, the Bankruptcy Court entered an opinion and order partially denying and partially granting the Foxconn Adversary Motion to Dismiss. Nine of the Company’s claims survived the motion to dismiss on the grounds that the Company pled viable claims against Foxconn and the claims were not subject to mandatory arbitration. The Court also dismissed two of the Company’s claims. The Company intends to vigorously pursue this litigation. Any net proceeds from the Foxconn Litigation may enhance the recoveries for holders of claims and equity interests of shareholders (“Interests”), as set forth in the Plan. However, no assurances can be provided as to the Company having sufficient resources to pursue the Foxconn Litigation, the outcome or recoveries, if any.</w:t>
      </w:r>
    </w:p>
    <w:p>
      <w:pPr>
        <w:spacing w:after="0" w:line="167" w:lineRule="exact"/>
        <w:rPr>
          <w:sz w:val="20"/>
          <w:szCs w:val="20"/>
          <w:color w:val="auto"/>
        </w:rPr>
      </w:pPr>
    </w:p>
    <w:p>
      <w:pPr>
        <w:ind w:left="60" w:right="1479"/>
        <w:spacing w:after="0" w:line="469" w:lineRule="auto"/>
        <w:rPr>
          <w:sz w:val="20"/>
          <w:szCs w:val="20"/>
          <w:color w:val="auto"/>
        </w:rPr>
      </w:pPr>
      <w:r>
        <w:rPr>
          <w:rFonts w:ascii="Arial" w:cs="Arial" w:eastAsia="Arial" w:hAnsi="Arial"/>
          <w:sz w:val="18"/>
          <w:szCs w:val="18"/>
          <w:color w:val="auto"/>
        </w:rPr>
        <w:t xml:space="preserve">See Note 8 – Commitments and Contingencies – Foxconn Litigation for additional information. </w:t>
      </w:r>
      <w:r>
        <w:rPr>
          <w:rFonts w:ascii="Arial" w:cs="Arial" w:eastAsia="Arial" w:hAnsi="Arial"/>
          <w:sz w:val="18"/>
          <w:szCs w:val="18"/>
          <w:i w:val="1"/>
          <w:iCs w:val="1"/>
          <w:color w:val="auto"/>
        </w:rPr>
        <w:t>Basis of Presentation and Principles of Consolidation</w:t>
      </w:r>
    </w:p>
    <w:p>
      <w:pPr>
        <w:spacing w:after="0" w:line="1" w:lineRule="exact"/>
        <w:rPr>
          <w:sz w:val="20"/>
          <w:szCs w:val="20"/>
          <w:color w:val="auto"/>
        </w:rPr>
      </w:pPr>
    </w:p>
    <w:p>
      <w:pPr>
        <w:ind w:left="60" w:right="159"/>
        <w:spacing w:after="0" w:line="239" w:lineRule="auto"/>
        <w:rPr>
          <w:sz w:val="20"/>
          <w:szCs w:val="20"/>
          <w:color w:val="auto"/>
        </w:rPr>
      </w:pPr>
      <w:r>
        <w:rPr>
          <w:rFonts w:ascii="Arial" w:cs="Arial" w:eastAsia="Arial" w:hAnsi="Arial"/>
          <w:sz w:val="18"/>
          <w:szCs w:val="18"/>
          <w:color w:val="auto"/>
        </w:rPr>
        <w:t>The accompanying unaudited condensed consolidated interim financial statements are presented in conformity with accounting principles generally accepted in the United States of America (“GAAP”) for interim financial statements and the instructions to the Quarterly Report on Form 10-Q and Rule 8-03 of Regulation S-X. The unaudited condensed consolidated interim financial statements include the accounts and operations of the Company and its wholly owned subsidiary. All intercompany accounts and transactions are eliminated upon consolidation. Certain information and footnote disclosures normally included in financial statements prepared in accordance with GAAP have been condensed or omitted pursuant to these rules and regulations. Accordingly, these unaudited condensed consolidated interim financial statements should be read in conjunction with our audited consolidated financial statements and related notes included in our Annual Report on Form 10-K for the year ended December 31, 2023.</w:t>
      </w:r>
    </w:p>
    <w:p>
      <w:pPr>
        <w:spacing w:after="0" w:line="166"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the opinion of management, these unaudited condensed consolidated interim financial statements reflect all adjustments necessary for a fair presentation of our interim financial results. All such adjustments are of a normal and recurring nature. The results of operations for any interim period are not indicative of results for the full fiscal year. The accompanying unaudited condensed consolidated interim financial statements include our accounts and those of our controlled subsidiaries.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Liquidity and Going Concern</w:t>
      </w:r>
    </w:p>
    <w:p>
      <w:pPr>
        <w:spacing w:after="0" w:line="183" w:lineRule="exact"/>
        <w:rPr>
          <w:sz w:val="20"/>
          <w:szCs w:val="20"/>
          <w:color w:val="auto"/>
        </w:rPr>
      </w:pPr>
    </w:p>
    <w:p>
      <w:pPr>
        <w:ind w:left="60" w:right="159"/>
        <w:spacing w:after="0" w:line="246" w:lineRule="auto"/>
        <w:rPr>
          <w:sz w:val="20"/>
          <w:szCs w:val="20"/>
          <w:color w:val="auto"/>
        </w:rPr>
      </w:pPr>
      <w:r>
        <w:rPr>
          <w:rFonts w:ascii="Arial" w:cs="Arial" w:eastAsia="Arial" w:hAnsi="Arial"/>
          <w:sz w:val="18"/>
          <w:szCs w:val="18"/>
          <w:color w:val="auto"/>
        </w:rPr>
        <w:t xml:space="preserve">The accompanying condensed consolidated financial statements have been prepared assuming the Company will continue as a going concern, which presumes the Company will continue in operation for one year after the date these condensed consolidated financial statements are issued and will be able to realize its assets and discharge its liabilities and commitments in the ordinary course of business. In accordance with Accounting Standards Codification ("ASC") 205-40, </w:t>
      </w:r>
      <w:r>
        <w:rPr>
          <w:rFonts w:ascii="Arial" w:cs="Arial" w:eastAsia="Arial" w:hAnsi="Arial"/>
          <w:sz w:val="18"/>
          <w:szCs w:val="18"/>
          <w:i w:val="1"/>
          <w:iCs w:val="1"/>
          <w:color w:val="auto"/>
        </w:rPr>
        <w:t>Going Concern</w:t>
      </w:r>
      <w:r>
        <w:rPr>
          <w:rFonts w:ascii="Arial" w:cs="Arial" w:eastAsia="Arial" w:hAnsi="Arial"/>
          <w:sz w:val="18"/>
          <w:szCs w:val="18"/>
          <w:color w:val="auto"/>
        </w:rPr>
        <w:t>, the Company has evaluated whether there are any conditions and events, considered in the aggregate, that raise substantial doubt about the Company's ability to continue as a going concern for one year from the date these condensed consolidated financial statements are issued.</w:t>
      </w:r>
    </w:p>
    <w:p>
      <w:pPr>
        <w:spacing w:after="0" w:line="166" w:lineRule="exact"/>
        <w:rPr>
          <w:sz w:val="20"/>
          <w:szCs w:val="20"/>
          <w:color w:val="auto"/>
        </w:rPr>
      </w:pPr>
    </w:p>
    <w:p>
      <w:pPr>
        <w:ind w:left="60" w:right="179"/>
        <w:spacing w:after="0" w:line="257" w:lineRule="auto"/>
        <w:rPr>
          <w:sz w:val="20"/>
          <w:szCs w:val="20"/>
          <w:color w:val="auto"/>
        </w:rPr>
      </w:pPr>
      <w:r>
        <w:rPr>
          <w:rFonts w:ascii="Arial" w:cs="Arial" w:eastAsia="Arial" w:hAnsi="Arial"/>
          <w:sz w:val="17"/>
          <w:szCs w:val="17"/>
          <w:color w:val="auto"/>
        </w:rPr>
        <w:t>The Company had cash and cash equivalents of approximately $20.9 million, excluding restricted cash of approximately $41.3 million, an accumulated deficit of $1.2 billion at June 30, 2024, net income of $1.5 million for the three months ended June 30, 2024, and a net loss of $7.0 million for the six months ended June 30, 2024. As a result of the Company’s accumulated deficit, lack of any immediate sources of revenue, and the risks and uncertainties related to the Company’s ability to successfully resolve known and unknown claims that</w:t>
      </w:r>
    </w:p>
    <w:p>
      <w:pPr>
        <w:spacing w:after="0" w:line="2" w:lineRule="exact"/>
        <w:rPr>
          <w:sz w:val="20"/>
          <w:szCs w:val="20"/>
          <w:color w:val="auto"/>
        </w:rPr>
      </w:pPr>
    </w:p>
    <w:p>
      <w:pPr>
        <w:ind w:left="60" w:right="99"/>
        <w:spacing w:after="0" w:line="245" w:lineRule="auto"/>
        <w:rPr>
          <w:sz w:val="20"/>
          <w:szCs w:val="20"/>
          <w:color w:val="auto"/>
        </w:rPr>
      </w:pPr>
      <w:r>
        <w:rPr>
          <w:rFonts w:ascii="Arial" w:cs="Arial" w:eastAsia="Arial" w:hAnsi="Arial"/>
          <w:sz w:val="18"/>
          <w:szCs w:val="18"/>
          <w:color w:val="auto"/>
        </w:rPr>
        <w:t>are or may be filed against us, substantial doubt exists regarding our ability to continue as a going concern. The Company’s liquidity and ability to continue as a going concern is dependent upon, among other things: (i) the resolution of significant contingent and other claims, liabilities and (ii) the outcome of the Company’s efforts to realize value, if any, from its retained causes of action, including the Foxconn Litigation, and other remaining assets. The Company intends to explore potential business opportunities, including</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859"/>
        <w:spacing w:after="0" w:line="271" w:lineRule="auto"/>
        <w:rPr>
          <w:sz w:val="20"/>
          <w:szCs w:val="20"/>
          <w:color w:val="auto"/>
        </w:rPr>
      </w:pPr>
      <w:r>
        <w:rPr>
          <w:rFonts w:ascii="Arial" w:cs="Arial" w:eastAsia="Arial" w:hAnsi="Arial"/>
          <w:sz w:val="18"/>
          <w:szCs w:val="18"/>
          <w:color w:val="auto"/>
        </w:rPr>
        <w:t>strategic alternatives or business combinations, including those designed to maximize the value of the Company’s NOLs.</w:t>
      </w:r>
    </w:p>
    <w:p>
      <w:pPr>
        <w:spacing w:after="0" w:line="181" w:lineRule="exact"/>
        <w:rPr>
          <w:sz w:val="20"/>
          <w:szCs w:val="20"/>
          <w:color w:val="auto"/>
        </w:rPr>
      </w:pPr>
    </w:p>
    <w:p>
      <w:pPr>
        <w:ind w:left="60" w:right="3459"/>
        <w:spacing w:after="0" w:line="446" w:lineRule="auto"/>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i w:val="1"/>
          <w:iCs w:val="1"/>
          <w:color w:val="auto"/>
        </w:rPr>
        <w:t>Use of Estimates in Financial Statement Preparation</w:t>
      </w:r>
    </w:p>
    <w:p>
      <w:pPr>
        <w:ind w:left="60" w:right="159"/>
        <w:spacing w:after="0" w:line="239" w:lineRule="auto"/>
        <w:rPr>
          <w:sz w:val="20"/>
          <w:szCs w:val="20"/>
          <w:color w:val="auto"/>
        </w:rPr>
      </w:pPr>
      <w:r>
        <w:rPr>
          <w:rFonts w:ascii="Arial" w:cs="Arial" w:eastAsia="Arial" w:hAnsi="Arial"/>
          <w:sz w:val="18"/>
          <w:szCs w:val="18"/>
          <w:color w:val="auto"/>
        </w:rPr>
        <w:t>The preparation of condensed consolidated financial statements in accordance with GAAP is based on the selection and application of accounting policies that require us to make significant estimates and assumptions that affect the reported amounts in the condensed consolidated financial statements, and related disclosures in the accompanying notes to the financial statements. Actual results could differ from those estimates. Estimates and assumptions are periodically reviewed and the effects of changes are reflected in the condensed consolidated financial statements in the period they are determined to be necessary. The Chapter 11 Cases may result in ongoing, additional changes in facts and circumstances that may cause the Company’s estimates and assumptions to change, potentially materially. The Company undertakes no obligation to update or revise any of the disclosures, whether as a result of new information, future events or otherwise, except as may be required under applicable securities laws.</w:t>
      </w:r>
    </w:p>
    <w:p>
      <w:pPr>
        <w:spacing w:after="0" w:line="139" w:lineRule="exact"/>
        <w:rPr>
          <w:sz w:val="20"/>
          <w:szCs w:val="20"/>
          <w:color w:val="auto"/>
        </w:rPr>
      </w:pPr>
    </w:p>
    <w:p>
      <w:pPr>
        <w:ind w:left="60" w:right="819"/>
        <w:spacing w:after="0" w:line="271" w:lineRule="auto"/>
        <w:rPr>
          <w:sz w:val="20"/>
          <w:szCs w:val="20"/>
          <w:color w:val="auto"/>
        </w:rPr>
      </w:pPr>
      <w:r>
        <w:rPr>
          <w:rFonts w:ascii="Arial" w:cs="Arial" w:eastAsia="Arial" w:hAnsi="Arial"/>
          <w:sz w:val="18"/>
          <w:szCs w:val="18"/>
          <w:color w:val="auto"/>
        </w:rPr>
        <w:t>There have been no material changes to the critical accounting policies and estimates described in the Company’s Annual Report on Form 10-K for the year ended December 31, 2023.</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Fresh Start Accounting</w:t>
      </w:r>
    </w:p>
    <w:p>
      <w:pPr>
        <w:spacing w:after="0" w:line="169"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Upon emergence from bankruptcy, the Company assessed the requirements of fresh start accounting as required in Accounting Standards Codification 852: Reorganizations (“ASC 852”). Based on the Company’s assessment, management concluded that the Company does not qualify for fresh start accounting under ASC 852 upon emergence from bankruptcy. Management’s conclusion was based on the fact the total of all post-petition liabilities and reserve for allowed claims did not exceed the reorganization value, and the holders of existing voting shares immediately prior to confirmation did not lose control of the entity, as defined as receiving less than 50% of the emerging entity’s voting shares. Accordingly, the Company continued to apply GAAP in the ongoing preparation of its financial statements post emergence.</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Segment Information</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Company has one reportable and operating segment.</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Cash and Cash Equivalents, Short-term Investments, and Restricted Cash</w:t>
      </w:r>
    </w:p>
    <w:p>
      <w:pPr>
        <w:spacing w:after="0" w:line="16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Cash includes cash equivalents which are highly liquid investments that are readily convertible to cash. The Company considers all liquid investments with original maturities of three months or less to be cash equivalents. In general, investments with original maturities of greater than three months and remaining maturities of less than one year are classified as short-term investments. The Company maintains its cash in bank deposit and securities accounts that exceed federally insured limits. The Company has not experienced significant losses in such accounts and management believes it is not exposed to material credit risk.</w:t>
      </w:r>
    </w:p>
    <w:p>
      <w:pPr>
        <w:spacing w:after="0" w:line="152"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The Company’s short-term investments consist primarily of U.S. Treasury notes and bills and U.S. Government and prime asset money market funds. The short-term investments are accounted for as available-for-sale securities. The settlement risk related to these investments is insignificant given that the short-term investments held are primarily highly liquid investment-grade fixed-income securities.</w:t>
      </w:r>
    </w:p>
    <w:p>
      <w:pPr>
        <w:spacing w:after="0" w:line="133"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color w:val="auto"/>
        </w:rPr>
        <w:t>Restricted cash balances represent cash reserves as required by the Plan. Under the Plan, the Company established an escrow for the payment of certain professional fees incurred in connection with the Chapter 11 Cases (“Professional Fee Escrow”).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Professional Fee Escrow exceeds the Company’s obligations, funds will be returned to the Company and become unrestricted. The Plan also required the Company to establish a $45 million reserve for allowed and disputed claims of general unsecured creditors (the “Claims Reserve”), including interest (although there can be no assurance the Company will be able to pay such claims in full, with interest). As of June 30, 2024, $34.8 million was included in restricted cash, which represents the initial Claims Reserve of $45 million, less $10.2 million the Company paid into escrow upon emergence from bankruptcy for the cash portion of the Ohio Securities Litigation Settlement.</w:t>
      </w:r>
    </w:p>
    <w:p>
      <w:pPr>
        <w:spacing w:after="0" w:line="158"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The following table provides a reconciliation of cash, cash equivalents, and restricted cash reported on the condensed consolidated balance sheets to the amounts reported on the condensed consolidated statements of cash flows (in thousands):</w:t>
      </w:r>
    </w:p>
    <w:p>
      <w:pPr>
        <w:spacing w:after="0" w:line="152" w:lineRule="exact"/>
        <w:rPr>
          <w:sz w:val="20"/>
          <w:szCs w:val="20"/>
          <w:color w:val="auto"/>
        </w:rPr>
      </w:pPr>
    </w:p>
    <w:tbl>
      <w:tblPr>
        <w:tblLayout w:type="fixed"/>
        <w:tblInd w:w="60" w:type="dxa"/>
        <w:tblCellMar>
          <w:top w:w="0" w:type="dxa"/>
          <w:left w:w="0" w:type="dxa"/>
          <w:bottom w:w="0" w:type="dxa"/>
          <w:right w:w="0" w:type="dxa"/>
        </w:tblCellMar>
      </w:tblPr>
      <w:tr>
        <w:trPr>
          <w:trHeight w:val="171"/>
        </w:trPr>
        <w:tc>
          <w:tcPr>
            <w:tcW w:w="53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June 30, 2024</w:t>
            </w:r>
          </w:p>
        </w:tc>
        <w:tc>
          <w:tcPr>
            <w:tcW w:w="3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4"/>
                <w:szCs w:val="14"/>
                <w:b w:val="1"/>
                <w:bCs w:val="1"/>
                <w:color w:val="auto"/>
              </w:rPr>
              <w:t>December 31, 2023</w:t>
            </w:r>
          </w:p>
        </w:tc>
        <w:tc>
          <w:tcPr>
            <w:tcW w:w="0" w:type="dxa"/>
            <w:vAlign w:val="bottom"/>
          </w:tcPr>
          <w:p>
            <w:pPr>
              <w:spacing w:after="0"/>
              <w:rPr>
                <w:sz w:val="1"/>
                <w:szCs w:val="1"/>
                <w:color w:val="auto"/>
              </w:rPr>
            </w:pPr>
          </w:p>
        </w:tc>
      </w:tr>
      <w:tr>
        <w:trPr>
          <w:trHeight w:val="196"/>
        </w:trPr>
        <w:tc>
          <w:tcPr>
            <w:tcW w:w="53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20,943</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87,096</w:t>
            </w:r>
          </w:p>
        </w:tc>
        <w:tc>
          <w:tcPr>
            <w:tcW w:w="0" w:type="dxa"/>
            <w:vAlign w:val="bottom"/>
          </w:tcPr>
          <w:p>
            <w:pPr>
              <w:spacing w:after="0"/>
              <w:rPr>
                <w:sz w:val="1"/>
                <w:szCs w:val="1"/>
                <w:color w:val="auto"/>
              </w:rPr>
            </w:pPr>
          </w:p>
        </w:tc>
      </w:tr>
      <w:tr>
        <w:trPr>
          <w:trHeight w:val="203"/>
        </w:trPr>
        <w:tc>
          <w:tcPr>
            <w:tcW w:w="53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Restricted Cash</w:t>
            </w:r>
          </w:p>
        </w:tc>
        <w:tc>
          <w:tcPr>
            <w:tcW w:w="2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134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41,309</w:t>
            </w:r>
          </w:p>
        </w:tc>
        <w:tc>
          <w:tcPr>
            <w:tcW w:w="3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3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64"/>
        </w:trPr>
        <w:tc>
          <w:tcPr>
            <w:tcW w:w="5340" w:type="dxa"/>
            <w:vAlign w:val="bottom"/>
            <w:shd w:val="clear" w:color="auto" w:fill="CCEEFF"/>
          </w:tcPr>
          <w:p>
            <w:pPr>
              <w:spacing w:after="0" w:line="164" w:lineRule="exact"/>
              <w:rPr>
                <w:sz w:val="20"/>
                <w:szCs w:val="20"/>
                <w:color w:val="auto"/>
              </w:rPr>
            </w:pPr>
            <w:r>
              <w:rPr>
                <w:rFonts w:ascii="Arial" w:cs="Arial" w:eastAsia="Arial" w:hAnsi="Arial"/>
                <w:sz w:val="18"/>
                <w:szCs w:val="18"/>
                <w:color w:val="auto"/>
              </w:rPr>
              <w:t>Total cash, cash equivalents, and restricted cash reported on the</w:t>
            </w:r>
          </w:p>
        </w:tc>
        <w:tc>
          <w:tcPr>
            <w:tcW w:w="2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62,252</w:t>
            </w:r>
          </w:p>
        </w:tc>
        <w:tc>
          <w:tcPr>
            <w:tcW w:w="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4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87,096</w:t>
            </w:r>
          </w:p>
        </w:tc>
        <w:tc>
          <w:tcPr>
            <w:tcW w:w="0" w:type="dxa"/>
            <w:vAlign w:val="bottom"/>
          </w:tcPr>
          <w:p>
            <w:pPr>
              <w:spacing w:after="0"/>
              <w:rPr>
                <w:sz w:val="1"/>
                <w:szCs w:val="1"/>
                <w:color w:val="auto"/>
              </w:rPr>
            </w:pPr>
          </w:p>
        </w:tc>
      </w:tr>
      <w:tr>
        <w:trPr>
          <w:trHeight w:val="208"/>
        </w:trPr>
        <w:tc>
          <w:tcPr>
            <w:tcW w:w="5340" w:type="dxa"/>
            <w:vAlign w:val="bottom"/>
            <w:shd w:val="clear" w:color="auto" w:fill="CCEEFF"/>
          </w:tcPr>
          <w:p>
            <w:pPr>
              <w:spacing w:after="0"/>
              <w:rPr>
                <w:sz w:val="20"/>
                <w:szCs w:val="20"/>
                <w:color w:val="auto"/>
              </w:rPr>
            </w:pPr>
            <w:r>
              <w:rPr>
                <w:rFonts w:ascii="Arial" w:cs="Arial" w:eastAsia="Arial" w:hAnsi="Arial"/>
                <w:sz w:val="18"/>
                <w:szCs w:val="18"/>
                <w:color w:val="auto"/>
              </w:rPr>
              <w:t>condensed consolidated statements of cash flows</w:t>
            </w:r>
          </w:p>
        </w:tc>
        <w:tc>
          <w:tcPr>
            <w:tcW w:w="3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340" w:type="dxa"/>
            <w:vAlign w:val="bottom"/>
            <w:vMerge w:val="continue"/>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Liabilities Subject to Compromise</w:t>
      </w:r>
    </w:p>
    <w:p>
      <w:pPr>
        <w:spacing w:after="0" w:line="169" w:lineRule="exact"/>
        <w:rPr>
          <w:sz w:val="20"/>
          <w:szCs w:val="20"/>
          <w:color w:val="auto"/>
        </w:rPr>
      </w:pPr>
    </w:p>
    <w:p>
      <w:pPr>
        <w:ind w:left="60" w:right="219"/>
        <w:spacing w:after="0" w:line="247" w:lineRule="auto"/>
        <w:rPr>
          <w:sz w:val="20"/>
          <w:szCs w:val="20"/>
          <w:color w:val="auto"/>
        </w:rPr>
      </w:pPr>
      <w:r>
        <w:rPr>
          <w:rFonts w:ascii="Arial" w:cs="Arial" w:eastAsia="Arial" w:hAnsi="Arial"/>
          <w:sz w:val="18"/>
          <w:szCs w:val="18"/>
          <w:color w:val="auto"/>
        </w:rPr>
        <w:t>In the accompanying condensed consolidated balance sheets, the “Liabilities subject to compromise” line is reflective of expected allowed claim amounts in accordance with ASC 852-10 and are subject to change materially based on the continued consideration of claims that may be modified, allowed, or disallowed. Refer to Note 8 – Commitments and Contingencies for further detail.</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Inventory and Inventory Valuation</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Substantially all the Company’s inventory was specific to the production of the Endurance. As discussed above, the Company ceased production of the Endurance in June 2023. All of our Endurance inventory was sold pursuant to closing the LandX Asset Purchase Agreement in the fourth quarter of 2023.</w:t>
      </w:r>
    </w:p>
    <w:p>
      <w:pPr>
        <w:spacing w:after="0" w:line="128"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The Company’s inventory was stated at the lower of cost or net realizable value (“NRV”). In addition to the NRV analysis, the Company recognized an excess inventory reserve to adjust for inventory quantities that were in excess of anticipated Endurance production. The charge to reflect NRV and excess inventory totaled $4.3 million and $24.1 million for the three and six months ended June 30, 2023, respectively, and is recorded with Cost of Sales in the Company’s Condensed Consolidated Statement of Operations. No such charges were recognized for the three and six months ended June 30, 2024, respectively.</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Property, Plant and Equipment</w:t>
      </w:r>
    </w:p>
    <w:p>
      <w:pPr>
        <w:spacing w:after="0" w:line="169"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Property, plant and equipment were stated at cost less accumulated depreciation and impairment charges. Depreciation was computed using the straight-line method over the estimated useful lives and residual values of the related assets. Maintenance and repair expenditures were expensed as incurred, while major improvements that increase functionality of the asset are capitalized and depreciated ratably to expense over the identified useful life.</w:t>
      </w:r>
    </w:p>
    <w:p>
      <w:pPr>
        <w:spacing w:after="0" w:line="136" w:lineRule="exact"/>
        <w:rPr>
          <w:sz w:val="20"/>
          <w:szCs w:val="20"/>
          <w:color w:val="auto"/>
        </w:rPr>
      </w:pPr>
    </w:p>
    <w:p>
      <w:pPr>
        <w:ind w:left="60" w:right="419"/>
        <w:spacing w:after="0" w:line="271" w:lineRule="auto"/>
        <w:rPr>
          <w:sz w:val="20"/>
          <w:szCs w:val="20"/>
          <w:color w:val="auto"/>
        </w:rPr>
      </w:pPr>
      <w:r>
        <w:rPr>
          <w:rFonts w:ascii="Arial" w:cs="Arial" w:eastAsia="Arial" w:hAnsi="Arial"/>
          <w:sz w:val="18"/>
          <w:szCs w:val="18"/>
          <w:color w:val="auto"/>
        </w:rPr>
        <w:t>Substantially all our property, plant and equipment were sold pursuant to closing the LandX Asset Purchase Agreement in the fourth quarter of 2023.</w:t>
      </w:r>
    </w:p>
    <w:p>
      <w:pPr>
        <w:spacing w:after="0" w:line="12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Valuation of Long-Lived and Intangible Assets</w:t>
      </w:r>
    </w:p>
    <w:p>
      <w:pPr>
        <w:spacing w:after="0" w:line="16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Long-lived assets, including intangible assets, were reviewed for potential impairment whenever events or changes in circumstances indicate that the carrying amount of an asset or asset group may not be recoverable. Asset impairment calculations required us to apply judgment in estimating asset group fair values and future cash flows, including periods of operation, projections of product pricing, production levels,</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39"/>
        <w:spacing w:after="0" w:line="238" w:lineRule="auto"/>
        <w:rPr>
          <w:sz w:val="20"/>
          <w:szCs w:val="20"/>
          <w:color w:val="auto"/>
        </w:rPr>
      </w:pPr>
      <w:r>
        <w:rPr>
          <w:rFonts w:ascii="Arial" w:cs="Arial" w:eastAsia="Arial" w:hAnsi="Arial"/>
          <w:sz w:val="18"/>
          <w:szCs w:val="18"/>
          <w:color w:val="auto"/>
        </w:rPr>
        <w:t>product costs, market supply and demand, inflation, projected capital spending and, specifically for fixed assets acquired, assigned useful lives, residual values functional obsolescence, asset condition and discount rates. When performing impairment tests, we estimated the fair values of the assets using management’s best assumptions, which we believe would be consistent with the assumptions that a hypothetical marketplace participant would use. Estimates and assumptions used in these tests are evaluated and updated as appropriate. The assessment of whether an asset group should be classified as held and used or held for sale requires us to apply judgment in estimating the probable timing of the sale, and in testing for impairment loss, judgment is required in estimating the net proceeds from the sale. Actual asset impairment losses could vary considerably from estimated impairment losses if actual results are not consistent with the assumptions and judgments used in estimating future cash flows and asset fair values. Changes in these estimates and assumptions could materially affect the determination of fair value and any impairment charge.</w:t>
      </w:r>
    </w:p>
    <w:p>
      <w:pPr>
        <w:spacing w:after="0" w:line="159"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For assets to be held and used, including identifiable intangible assets and long-lived assets subject to amortization, we initiated our review whenever events or changes in circumstances indicate that the carrying amount of these assets may not be recoverable. The recoverability of a long-lived asset subject to amortization is measured by comparison of its carrying amount to the expected future undiscounted cash flows that the asset is expected to generate. Any impairment recognized was measured by the amount by which the carrying amount of the asset exceeded its fair value. Significant management judgment is required in this process.</w:t>
      </w:r>
    </w:p>
    <w:p>
      <w:pPr>
        <w:spacing w:after="0" w:line="138" w:lineRule="exact"/>
        <w:rPr>
          <w:sz w:val="20"/>
          <w:szCs w:val="20"/>
          <w:color w:val="auto"/>
        </w:rPr>
      </w:pPr>
    </w:p>
    <w:p>
      <w:pPr>
        <w:jc w:val="both"/>
        <w:ind w:left="60" w:right="159"/>
        <w:spacing w:after="0" w:line="253" w:lineRule="auto"/>
        <w:rPr>
          <w:sz w:val="20"/>
          <w:szCs w:val="20"/>
          <w:color w:val="auto"/>
        </w:rPr>
      </w:pPr>
      <w:r>
        <w:rPr>
          <w:rFonts w:ascii="Arial" w:cs="Arial" w:eastAsia="Arial" w:hAnsi="Arial"/>
          <w:sz w:val="18"/>
          <w:szCs w:val="18"/>
          <w:color w:val="auto"/>
        </w:rPr>
        <w:t>The Company recognized impairment charges of $25.0 million and $139.5 million for the three and six months ended June 30, 2023, respectively. No such charges were recognized for the three and six months ended June 30, 2024, respectively.</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Warrants</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Company accounted for its warrants in accordance with the guidance contained in Accounting Standards Codification 815: Derivatives and Hedging (“ASC 815”) 815-40-15-7D and 7F under which the warrants did not meet the criteria for equity treatment and were recorded as liabilities at their fair value at each reporting period. Any change in fair value was recognized in the statement of operations. As a result of the Chapter 11 Cases, the fair value of the Company’s warrants was deemed to be zero and adjusted accordingly as of June 30, 2023.The fair value of the Company’s warrants is currently deemed to be zero.</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Revenue Recognition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Revenue was recognized when control of a promised good or service was transferred to a customer in an amount that reflects the consideration the Company expects to receive in exchange for the good or service. Our performance obligations were satisfied at a point in time. The Company recognized revenue when the customer confirmed acceptance of vehicle possession. Costs related to shipping and handling activities are a part of fulfillment costs and are therefore recognized under cost of sales. The Company’s sales are final and do not have a right of return clause. There were limited instances of sales incentives offered to fleet management companies. The incentives offered were of an immaterial amount per vehicle, and there were no sales incentives recognized during 2024 or 2023.The Company did not offer financing options therefore there is no impact on the collectability of revenue. Upon emergence from bankruptcy as a shell company in March 2024, there were no sales or cost of sales during the six months ended June 30, 2024.</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Product Warranty</w:t>
      </w:r>
    </w:p>
    <w:p>
      <w:pPr>
        <w:spacing w:after="0" w:line="21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The estimated costs related to product warranties were accrued at the time products were sold and are charged to cost of sales, which included our best estimate of the projected costs to repair or replace items under warranties and recalls if identified. As part of the bankruptcy proceedings, the Company received authorization from the Bankruptcy Court to repurchase all vehicles that were in the possession of the Company’s customers. The Company repurchased and sold for parts all but three of the vehicles that the Company had sold. The Company does not believe that the Company has any warranty obligations related to the three vehicles retained by customers.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Research and Development Costs</w:t>
      </w:r>
    </w:p>
    <w:p>
      <w:pPr>
        <w:spacing w:after="0" w:line="210" w:lineRule="exact"/>
        <w:rPr>
          <w:sz w:val="20"/>
          <w:szCs w:val="20"/>
          <w:color w:val="auto"/>
        </w:rPr>
      </w:pPr>
    </w:p>
    <w:p>
      <w:pPr>
        <w:ind w:left="60" w:right="279"/>
        <w:spacing w:after="0" w:line="247" w:lineRule="auto"/>
        <w:rPr>
          <w:sz w:val="20"/>
          <w:szCs w:val="20"/>
          <w:color w:val="auto"/>
        </w:rPr>
      </w:pPr>
      <w:r>
        <w:rPr>
          <w:rFonts w:ascii="Arial" w:cs="Arial" w:eastAsia="Arial" w:hAnsi="Arial"/>
          <w:sz w:val="18"/>
          <w:szCs w:val="18"/>
          <w:color w:val="auto"/>
        </w:rPr>
        <w:t>The Company expensed research and development costs as they were incurred. Research and development costs consisted primarily of personnel costs for engineering, testing and manufacturing costs, along with expenditures for prototype manufacturing, testing, validation, certification, contract and other professional services and costs.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Stock-Based Compensation</w:t>
      </w:r>
    </w:p>
    <w:p>
      <w:pPr>
        <w:spacing w:after="0" w:line="21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 xml:space="preserve">The Company records stock-based compensation in accordance with ASC Topic 718, </w:t>
      </w:r>
      <w:r>
        <w:rPr>
          <w:rFonts w:ascii="Arial" w:cs="Arial" w:eastAsia="Arial" w:hAnsi="Arial"/>
          <w:sz w:val="18"/>
          <w:szCs w:val="18"/>
          <w:i w:val="1"/>
          <w:iCs w:val="1"/>
          <w:color w:val="auto"/>
        </w:rPr>
        <w:t xml:space="preserve">Accounting for Stock-Based Compensation </w:t>
      </w:r>
      <w:r>
        <w:rPr>
          <w:rFonts w:ascii="Arial" w:cs="Arial" w:eastAsia="Arial" w:hAnsi="Arial"/>
          <w:sz w:val="18"/>
          <w:szCs w:val="18"/>
          <w:color w:val="auto"/>
        </w:rPr>
        <w:t>(ASC Topic 718), which establishes a fair value-based method of accounting for stock-based compensation plans. In accordance with ASC Topic 718, the cost of stock-based awards issued to employees and non-employees over the awards vest period is measured on the grant date based on the fair value. The fair value is determined using the Black-Scholes option pricing model, which incorporates assumptions regarding the expected volatility, expected option life and risk-free interest rate. The resulting amount was charged to expense on the straight-line basis over the period in which the Company expects to receive the benefit, which is generally the vesting period. Further, pursuant to ASU 2016-09 – Compensation – Stock Compensation (Topic 718), the Company has elected to account for forfeitures as they occur. See Note 7 – Stock Based Compensation.</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Reorganization Items</w:t>
      </w:r>
    </w:p>
    <w:p>
      <w:pPr>
        <w:spacing w:after="0" w:line="183"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Reorganization items of $4.8 million for the six months ended June 30, 2024 represent the expenses directly and incrementally resulting from the Chapter 11 Cases and are separately reported as Reorganization items in the condensed consolidated Statements of Operations. These reorganization costs are significant and currently represent the majority of the Company’s ongoing total operating expenses.</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Income Taxes</w:t>
      </w:r>
    </w:p>
    <w:p>
      <w:pPr>
        <w:spacing w:after="0" w:line="21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 xml:space="preserve">Income taxes are recorded in accordance with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xml:space="preserve"> (ASC Topic 740). Deferred tax assets and liabilities are determined based on the difference between the consolidated financial statement and tax bases of assets and liabilities using enacted tax rates in effect for the year in which the differences are expected to reverse. Valuation allowances are provided, if based upon the weight of available evidence, it is more likely than not that some or all of the deferred tax assets will not be realized. The Company has recorded a full valuation allowance against its deferred tax assets.</w:t>
      </w:r>
    </w:p>
    <w:p>
      <w:pPr>
        <w:spacing w:after="0" w:line="179"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The Company accounts for uncertain tax positions in accordance with the provisions of ASC Topic 740. When uncertain tax positions exist, the Company recognizes the tax benefit of tax positions to the extent that the benefit would more likely than not be realized assuming examination by the taxing authority. The determination as to whether the tax benefit will more likely than not be realized is based upon the technical merits of the tax position as well as consideration of the available facts and circumstances. The Company recognizes any interest and penalties accrued related to unrecognized tax benefits as income tax expense. The Company does not have any accrued interest or penalties accrued related to unrecognized tax benefits as of June 30, 2024 and December 31, 2023, respectively.</w:t>
      </w:r>
    </w:p>
    <w:p>
      <w:pPr>
        <w:spacing w:after="0" w:line="180"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At December 31, 2023 the Company had $993.2 million of estimated federal net operating losses that carry forward indefinitely. At December 31, 2023, estimated state net operating losses of $322.3 million will be able to be carried forward 10 years and estimated local net operating losses of $558.0 million will be able to be carried forward between two to five years.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Reclassifications</w:t>
      </w:r>
    </w:p>
    <w:p>
      <w:pPr>
        <w:spacing w:after="0" w:line="210" w:lineRule="exact"/>
        <w:rPr>
          <w:sz w:val="20"/>
          <w:szCs w:val="20"/>
          <w:color w:val="auto"/>
        </w:rPr>
      </w:pPr>
    </w:p>
    <w:p>
      <w:pPr>
        <w:ind w:left="60" w:right="59"/>
        <w:spacing w:after="0" w:line="301" w:lineRule="auto"/>
        <w:rPr>
          <w:sz w:val="20"/>
          <w:szCs w:val="20"/>
          <w:color w:val="auto"/>
        </w:rPr>
      </w:pPr>
      <w:r>
        <w:rPr>
          <w:rFonts w:ascii="Arial" w:cs="Arial" w:eastAsia="Arial" w:hAnsi="Arial"/>
          <w:sz w:val="17"/>
          <w:szCs w:val="17"/>
          <w:color w:val="auto"/>
        </w:rPr>
        <w:t>Certain reclassifications have been made in the presentation of the prior period balance sheet related to prepaid expenses, prepaid insurance, and other current assets as well as to the prior period statement of cash flows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79"/>
        <w:spacing w:after="0" w:line="271" w:lineRule="auto"/>
        <w:rPr>
          <w:sz w:val="20"/>
          <w:szCs w:val="20"/>
          <w:color w:val="auto"/>
        </w:rPr>
      </w:pPr>
      <w:r>
        <w:rPr>
          <w:rFonts w:ascii="Arial" w:cs="Arial" w:eastAsia="Arial" w:hAnsi="Arial"/>
          <w:sz w:val="18"/>
          <w:szCs w:val="18"/>
          <w:color w:val="auto"/>
        </w:rPr>
        <w:t>related to accrued legal and professional and accrued expenses and other liabilities to conform with the June 30, 2024 presentation.</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Recently issued accounting pronouncements</w:t>
      </w:r>
    </w:p>
    <w:p>
      <w:pPr>
        <w:spacing w:after="0" w:line="183"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In November 2023, the FASB issued ASU 2023-07, </w:t>
      </w:r>
      <w:r>
        <w:rPr>
          <w:rFonts w:ascii="Arial" w:cs="Arial" w:eastAsia="Arial" w:hAnsi="Arial"/>
          <w:sz w:val="18"/>
          <w:szCs w:val="18"/>
          <w:i w:val="1"/>
          <w:iCs w:val="1"/>
          <w:color w:val="auto"/>
        </w:rPr>
        <w:t>Segment Reporting (Topic 280)-Improvements to</w:t>
      </w:r>
      <w:r>
        <w:rPr>
          <w:rFonts w:ascii="Arial" w:cs="Arial" w:eastAsia="Arial" w:hAnsi="Arial"/>
          <w:sz w:val="18"/>
          <w:szCs w:val="18"/>
          <w:color w:val="auto"/>
        </w:rPr>
        <w:t xml:space="preserve"> </w:t>
      </w:r>
      <w:r>
        <w:rPr>
          <w:rFonts w:ascii="Arial" w:cs="Arial" w:eastAsia="Arial" w:hAnsi="Arial"/>
          <w:sz w:val="18"/>
          <w:szCs w:val="18"/>
          <w:i w:val="1"/>
          <w:iCs w:val="1"/>
          <w:color w:val="auto"/>
        </w:rPr>
        <w:t>Reportable Segment Disclosures</w:t>
      </w:r>
      <w:r>
        <w:rPr>
          <w:rFonts w:ascii="Arial" w:cs="Arial" w:eastAsia="Arial" w:hAnsi="Arial"/>
          <w:sz w:val="18"/>
          <w:szCs w:val="18"/>
          <w:color w:val="auto"/>
        </w:rPr>
        <w:t>. This ASU requires interim and annual disclosure of significant segment</w:t>
      </w:r>
      <w:r>
        <w:rPr>
          <w:rFonts w:ascii="Arial" w:cs="Arial" w:eastAsia="Arial" w:hAnsi="Arial"/>
          <w:sz w:val="18"/>
          <w:szCs w:val="18"/>
          <w:i w:val="1"/>
          <w:iCs w:val="1"/>
          <w:color w:val="auto"/>
        </w:rPr>
        <w:t xml:space="preserve"> </w:t>
      </w:r>
      <w:r>
        <w:rPr>
          <w:rFonts w:ascii="Arial" w:cs="Arial" w:eastAsia="Arial" w:hAnsi="Arial"/>
          <w:sz w:val="18"/>
          <w:szCs w:val="18"/>
          <w:color w:val="auto"/>
        </w:rPr>
        <w:t>expenses that are regularly provided to the chief operating decision-maker (“CODM”) and included within the reported measure of a segment’s profit or loss, requires interim disclosures about a reportable segment’s profit or loss and assets that are currently required annually, requires disclosure of the position and title of the CODM, clarifies circumstances in which an entity can disclose multiple segment measures of profit or loss, and contains other disclosure requirements. This authoritative guidance is effective for annual periods beginning after December 15, 2023, and interim periods within fiscal years beginning after December 15, 2024, with early adoption permitted. The Company is currently evaluating the effect of this new guidance on the Company’s condensed consolidated financial statements.</w:t>
      </w:r>
    </w:p>
    <w:p>
      <w:pPr>
        <w:spacing w:after="0" w:line="139" w:lineRule="exact"/>
        <w:rPr>
          <w:sz w:val="20"/>
          <w:szCs w:val="20"/>
          <w:color w:val="auto"/>
        </w:rPr>
      </w:pPr>
    </w:p>
    <w:p>
      <w:pPr>
        <w:jc w:val="both"/>
        <w:ind w:left="60" w:right="59"/>
        <w:spacing w:after="0" w:line="244" w:lineRule="auto"/>
        <w:rPr>
          <w:sz w:val="20"/>
          <w:szCs w:val="20"/>
          <w:color w:val="auto"/>
        </w:rPr>
      </w:pPr>
      <w:r>
        <w:rPr>
          <w:rFonts w:ascii="Arial" w:cs="Arial" w:eastAsia="Arial" w:hAnsi="Arial"/>
          <w:sz w:val="18"/>
          <w:szCs w:val="18"/>
          <w:color w:val="auto"/>
        </w:rPr>
        <w:t xml:space="preserve">In December 2023, the FASB issued ASU 2023-09, </w:t>
      </w:r>
      <w:r>
        <w:rPr>
          <w:rFonts w:ascii="Arial" w:cs="Arial" w:eastAsia="Arial" w:hAnsi="Arial"/>
          <w:sz w:val="18"/>
          <w:szCs w:val="18"/>
          <w:i w:val="1"/>
          <w:iCs w:val="1"/>
          <w:color w:val="auto"/>
        </w:rPr>
        <w:t>Income Taxes (Topic 740)-Improvements to Income Tax</w:t>
      </w:r>
      <w:r>
        <w:rPr>
          <w:rFonts w:ascii="Arial" w:cs="Arial" w:eastAsia="Arial" w:hAnsi="Arial"/>
          <w:sz w:val="18"/>
          <w:szCs w:val="18"/>
          <w:color w:val="auto"/>
        </w:rPr>
        <w:t xml:space="preserve"> </w:t>
      </w:r>
      <w:r>
        <w:rPr>
          <w:rFonts w:ascii="Arial" w:cs="Arial" w:eastAsia="Arial" w:hAnsi="Arial"/>
          <w:sz w:val="18"/>
          <w:szCs w:val="18"/>
          <w:i w:val="1"/>
          <w:iCs w:val="1"/>
          <w:color w:val="auto"/>
        </w:rPr>
        <w:t>Disclosures</w:t>
      </w:r>
      <w:r>
        <w:rPr>
          <w:rFonts w:ascii="Arial" w:cs="Arial" w:eastAsia="Arial" w:hAnsi="Arial"/>
          <w:sz w:val="18"/>
          <w:szCs w:val="18"/>
          <w:color w:val="auto"/>
        </w:rPr>
        <w:t>. This ASU requires that reporting entities disclose specific categories in the effective tax rate</w:t>
      </w:r>
      <w:r>
        <w:rPr>
          <w:rFonts w:ascii="Arial" w:cs="Arial" w:eastAsia="Arial" w:hAnsi="Arial"/>
          <w:sz w:val="18"/>
          <w:szCs w:val="18"/>
          <w:i w:val="1"/>
          <w:iCs w:val="1"/>
          <w:color w:val="auto"/>
        </w:rPr>
        <w:t xml:space="preserve"> </w:t>
      </w:r>
      <w:r>
        <w:rPr>
          <w:rFonts w:ascii="Arial" w:cs="Arial" w:eastAsia="Arial" w:hAnsi="Arial"/>
          <w:sz w:val="18"/>
          <w:szCs w:val="18"/>
          <w:color w:val="auto"/>
        </w:rPr>
        <w:t>reconciliation as well as information about income taxes paid. The authoritative guidance is effective for annual periods beginning after December 15, 2024, with early adoption permitted. The Company is currently evaluating the effect of this new guidance on the Company’s condensed consolidated financial statements.</w:t>
      </w:r>
    </w:p>
    <w:p>
      <w:pPr>
        <w:spacing w:after="0" w:line="13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3 — FAIR VALUE MEASUREMENTS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Recurring Fair Value Measurements</w:t>
      </w:r>
    </w:p>
    <w:p>
      <w:pPr>
        <w:spacing w:after="0" w:line="169" w:lineRule="exact"/>
        <w:rPr>
          <w:sz w:val="20"/>
          <w:szCs w:val="20"/>
          <w:color w:val="auto"/>
        </w:rPr>
      </w:pPr>
    </w:p>
    <w:p>
      <w:pPr>
        <w:jc w:val="both"/>
        <w:ind w:left="60" w:right="59"/>
        <w:spacing w:after="0" w:line="239" w:lineRule="auto"/>
        <w:rPr>
          <w:sz w:val="20"/>
          <w:szCs w:val="20"/>
          <w:color w:val="auto"/>
        </w:rPr>
      </w:pPr>
      <w:r>
        <w:rPr>
          <w:rFonts w:ascii="Arial" w:cs="Arial" w:eastAsia="Arial" w:hAnsi="Arial"/>
          <w:sz w:val="18"/>
          <w:szCs w:val="18"/>
          <w:color w:val="auto"/>
        </w:rPr>
        <w:t xml:space="preserve">The Company follows the accounting guidance in ASC Topic 820, </w:t>
      </w:r>
      <w:r>
        <w:rPr>
          <w:rFonts w:ascii="Arial" w:cs="Arial" w:eastAsia="Arial" w:hAnsi="Arial"/>
          <w:sz w:val="18"/>
          <w:szCs w:val="18"/>
          <w:i w:val="1"/>
          <w:iCs w:val="1"/>
          <w:color w:val="auto"/>
        </w:rPr>
        <w:t>Fair Value Measurements</w:t>
      </w:r>
      <w:r>
        <w:rPr>
          <w:rFonts w:ascii="Arial" w:cs="Arial" w:eastAsia="Arial" w:hAnsi="Arial"/>
          <w:sz w:val="18"/>
          <w:szCs w:val="18"/>
          <w:color w:val="auto"/>
        </w:rPr>
        <w:t xml:space="preserve"> (ASC Topic 820) for its fair value measurements of financial assets and liabilities measured at fair value on a recurring basis. Fair value is defined as an exit price, representing the amount that would be received to sell an asset or paid to transfer a liability in an orderly transaction between market participants at the measurement date. As such, fair value is a market-based measurement that should be determined based on assumptions that market participants would use in pricing an asset or a liability. The three-tiered fair value hierarchy, which prioritizes when inputs should be used in measuring fair value, is comprised of: (Level I) observable inputs such as quoted prices in active markets; (Level II) inputs other than quoted prices in active markets that are observable either directly or indirectly and (Level III) unobservable inputs for which there is little or no market data. The fair value hierarchy requires the use of observable market data when available in determining fair value.</w:t>
      </w:r>
    </w:p>
    <w:p>
      <w:pPr>
        <w:spacing w:after="0" w:line="180" w:lineRule="exact"/>
        <w:rPr>
          <w:sz w:val="20"/>
          <w:szCs w:val="20"/>
          <w:color w:val="auto"/>
        </w:rPr>
      </w:pPr>
    </w:p>
    <w:p>
      <w:pPr>
        <w:jc w:val="both"/>
        <w:ind w:left="60" w:right="59"/>
        <w:spacing w:after="0" w:line="247" w:lineRule="auto"/>
        <w:rPr>
          <w:sz w:val="20"/>
          <w:szCs w:val="20"/>
          <w:color w:val="auto"/>
        </w:rPr>
      </w:pPr>
      <w:r>
        <w:rPr>
          <w:rFonts w:ascii="Arial" w:cs="Arial" w:eastAsia="Arial" w:hAnsi="Arial"/>
          <w:sz w:val="18"/>
          <w:szCs w:val="18"/>
          <w:color w:val="auto"/>
        </w:rPr>
        <w:t>The Company has the following warrants outstanding as of June 30, 2023 (with exercise prices shown in pre-Reverse Stock Split amounts): (i) warrants (the “Private Warrants”) to purchase Class A common stock with an exercise price of $11.50 per share, and (ii) the Foxconn Warrants to purchase shares of Class A common stock with an exercise price of $10.50.</w:t>
      </w:r>
    </w:p>
    <w:p>
      <w:pPr>
        <w:spacing w:after="0" w:line="174" w:lineRule="exact"/>
        <w:rPr>
          <w:sz w:val="20"/>
          <w:szCs w:val="20"/>
          <w:color w:val="auto"/>
        </w:rPr>
      </w:pPr>
    </w:p>
    <w:p>
      <w:pPr>
        <w:jc w:val="both"/>
        <w:ind w:left="60" w:right="59"/>
        <w:spacing w:after="0" w:line="259" w:lineRule="auto"/>
        <w:rPr>
          <w:sz w:val="20"/>
          <w:szCs w:val="20"/>
          <w:color w:val="auto"/>
        </w:rPr>
      </w:pPr>
      <w:r>
        <w:rPr>
          <w:rFonts w:ascii="Arial" w:cs="Arial" w:eastAsia="Arial" w:hAnsi="Arial"/>
          <w:sz w:val="17"/>
          <w:szCs w:val="17"/>
          <w:color w:val="auto"/>
        </w:rPr>
        <w:t>As of June 30, 2024, following the Reverse Stock Split, we had 0.113 million Foxconn Warrants with an exercise price of $157.50, and 0.153 million Private Warrants with a strike price of $172.50. The fair value of the Foxconn Warrants was $0.3 million at issuance. The Private Warrants and the Foxconn Warrants were classified as a liability with any changes in the fair value recognized immediately in our consolidated statements of operations. As a result of the Chapter 11 Cases, the fair value of the Company’s warrants was deemed to be zero and adjusted accordingly during the year-ended December 31, 2023. The following table summarizes the net loss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on changes in fair value related to the Private Warrants and the Foxconn Warrants for the three and six months ended June 30, 2023 (in thousands):</w:t>
      </w:r>
    </w:p>
    <w:p>
      <w:pPr>
        <w:spacing w:after="0" w:line="393" w:lineRule="exact"/>
        <w:rPr>
          <w:sz w:val="20"/>
          <w:szCs w:val="20"/>
          <w:color w:val="auto"/>
        </w:rPr>
      </w:pPr>
    </w:p>
    <w:tbl>
      <w:tblPr>
        <w:tblLayout w:type="fixed"/>
        <w:tblInd w:w="60" w:type="dxa"/>
        <w:tblCellMar>
          <w:top w:w="0" w:type="dxa"/>
          <w:left w:w="0" w:type="dxa"/>
          <w:bottom w:w="0" w:type="dxa"/>
          <w:right w:w="0" w:type="dxa"/>
        </w:tblCellMar>
      </w:tblPr>
      <w:tr>
        <w:trPr>
          <w:trHeight w:val="162"/>
        </w:trPr>
        <w:tc>
          <w:tcPr>
            <w:tcW w:w="4040" w:type="dxa"/>
            <w:vAlign w:val="bottom"/>
          </w:tcPr>
          <w:p>
            <w:pPr>
              <w:spacing w:after="0"/>
              <w:rPr>
                <w:sz w:val="14"/>
                <w:szCs w:val="14"/>
                <w:color w:val="auto"/>
              </w:rPr>
            </w:pPr>
          </w:p>
        </w:tc>
        <w:tc>
          <w:tcPr>
            <w:tcW w:w="1880" w:type="dxa"/>
            <w:vAlign w:val="bottom"/>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3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60" w:type="dxa"/>
            <w:vAlign w:val="bottom"/>
          </w:tcPr>
          <w:p>
            <w:pPr>
              <w:jc w:val="right"/>
              <w:ind w:right="437"/>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4040" w:type="dxa"/>
            <w:vAlign w:val="bottom"/>
            <w:tcBorders>
              <w:bottom w:val="single" w:sz="8" w:color="CCEEFF"/>
            </w:tcBorders>
          </w:tcPr>
          <w:p>
            <w:pPr>
              <w:spacing w:after="0"/>
              <w:rPr>
                <w:sz w:val="14"/>
                <w:szCs w:val="14"/>
                <w:color w:val="auto"/>
              </w:rPr>
            </w:pPr>
          </w:p>
        </w:tc>
        <w:tc>
          <w:tcPr>
            <w:tcW w:w="18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June 30, 2023</w:t>
            </w:r>
          </w:p>
        </w:tc>
        <w:tc>
          <w:tcPr>
            <w:tcW w:w="380" w:type="dxa"/>
            <w:vAlign w:val="bottom"/>
            <w:tcBorders>
              <w:bottom w:val="single" w:sz="8" w:color="auto"/>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Private Warrants</w:t>
            </w:r>
          </w:p>
        </w:tc>
        <w:tc>
          <w:tcPr>
            <w:tcW w:w="1880" w:type="dxa"/>
            <w:vAlign w:val="bottom"/>
            <w:shd w:val="clear" w:color="auto" w:fill="CCEEFF"/>
          </w:tcPr>
          <w:p>
            <w:pPr>
              <w:jc w:val="right"/>
              <w:ind w:right="169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254</w:t>
            </w:r>
          </w:p>
        </w:tc>
      </w:tr>
      <w:tr>
        <w:trPr>
          <w:trHeight w:val="203"/>
        </w:trPr>
        <w:tc>
          <w:tcPr>
            <w:tcW w:w="4040" w:type="dxa"/>
            <w:vAlign w:val="bottom"/>
            <w:tcBorders>
              <w:bottom w:val="single" w:sz="8" w:color="CCEEFF"/>
            </w:tcBorders>
          </w:tcPr>
          <w:p>
            <w:pPr>
              <w:spacing w:after="0" w:line="202" w:lineRule="exact"/>
              <w:rPr>
                <w:sz w:val="20"/>
                <w:szCs w:val="20"/>
                <w:color w:val="auto"/>
              </w:rPr>
            </w:pPr>
            <w:r>
              <w:rPr>
                <w:rFonts w:ascii="Arial" w:cs="Arial" w:eastAsia="Arial" w:hAnsi="Arial"/>
                <w:sz w:val="18"/>
                <w:szCs w:val="18"/>
                <w:color w:val="auto"/>
              </w:rPr>
              <w:t>Foxconn Warrants</w:t>
            </w:r>
          </w:p>
        </w:tc>
        <w:tc>
          <w:tcPr>
            <w:tcW w:w="188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(34)</w:t>
            </w:r>
          </w:p>
        </w:tc>
        <w:tc>
          <w:tcPr>
            <w:tcW w:w="34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170</w:t>
            </w:r>
          </w:p>
        </w:tc>
      </w:tr>
      <w:tr>
        <w:trPr>
          <w:trHeight w:val="196"/>
        </w:trPr>
        <w:tc>
          <w:tcPr>
            <w:tcW w:w="40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gain on changes in fair value</w:t>
            </w:r>
          </w:p>
        </w:tc>
        <w:tc>
          <w:tcPr>
            <w:tcW w:w="1880" w:type="dxa"/>
            <w:vAlign w:val="bottom"/>
            <w:shd w:val="clear" w:color="auto" w:fill="CCEEFF"/>
          </w:tcPr>
          <w:p>
            <w:pPr>
              <w:jc w:val="right"/>
              <w:ind w:right="1699"/>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(61)</w:t>
            </w:r>
          </w:p>
        </w:tc>
        <w:tc>
          <w:tcPr>
            <w:tcW w:w="3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9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424</w:t>
            </w:r>
          </w:p>
        </w:tc>
      </w:tr>
    </w:tbl>
    <w:p>
      <w:pPr>
        <w:spacing w:after="0" w:line="37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Non-Recurring Fair Value Measurements</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At June 30, 2023, the Company had assets held for sale that have been adjusted to their fair value as the carrying value exceeded the estimated fair value. The categorization of the framework used to value the assets is Level 3 given the significant unobservable inputs used to determine fair value. During the three and six months ended June 30, 2023, we recorded a loss on asset impairment of $23.7 million and $133.5 million related to the valuation of assets held for sale. Refer to Note 4 - Property, Plant and Equipment and Assets Held for Sale for further detail.</w:t>
      </w:r>
    </w:p>
    <w:p>
      <w:pPr>
        <w:spacing w:after="0" w:line="165"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color w:val="auto"/>
        </w:rPr>
        <w:t>For the six months ended June 30, 2023, we recognized a property, plant and equipment impairment charge of $133.5 million based on the difference between the carrying value of the fixed assets and their fair value as of June 30, 2023. No fixed asset impairment charges were recognized for the six months ended June 30, 2024. The categorization of the framework used to value the assets is Level 3 given the significant unobservable inputs used to determine fair value. Refer to Note 4 – Property, Plant and Equipment and Assets Held for Sale for further detail.</w:t>
      </w:r>
    </w:p>
    <w:p>
      <w:pPr>
        <w:spacing w:after="0" w:line="17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4 — PROPERTY, PLANT AND EQUIPMENT AND ASSETS HELD FOR SALE</w:t>
      </w:r>
    </w:p>
    <w:p>
      <w:pPr>
        <w:spacing w:after="0" w:line="171"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The Company determined that its property, plant, and equipment represent one asset group which is the lowest level for which identifiable cash flows are available. Historically, fair value of the Company’s property, plant, and equipment was derived from the Company’s enterprise value at the time of impairment as the Company believed it represented the most appropriate fair value of the asset group in accordance with accounting guidance. In conjunction with the Chapter 11 Cases, substantially all our property, plant and equipment were sold pursuant to closing the LandX Asset Purchase Agreement in the fourth quarter of 2023.</w:t>
      </w:r>
    </w:p>
    <w:p>
      <w:pPr>
        <w:spacing w:after="0" w:line="165" w:lineRule="exact"/>
        <w:rPr>
          <w:sz w:val="20"/>
          <w:szCs w:val="20"/>
          <w:color w:val="auto"/>
        </w:rPr>
      </w:pPr>
    </w:p>
    <w:p>
      <w:pPr>
        <w:ind w:left="60" w:right="299"/>
        <w:spacing w:after="0" w:line="253" w:lineRule="auto"/>
        <w:rPr>
          <w:sz w:val="20"/>
          <w:szCs w:val="20"/>
          <w:color w:val="auto"/>
        </w:rPr>
      </w:pPr>
      <w:r>
        <w:rPr>
          <w:rFonts w:ascii="Arial" w:cs="Arial" w:eastAsia="Arial" w:hAnsi="Arial"/>
          <w:sz w:val="18"/>
          <w:szCs w:val="18"/>
          <w:color w:val="auto"/>
        </w:rPr>
        <w:t>For the three and six months ended June 30, 2023, the Company recognized impairment and depreciation charges of $23.7 million and $133.5 million, respectively. No such charges were incurred for the three and six months ended June 30, 2024.</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5 – SERIES A CONVERTIBLE PREFERED STOCK</w:t>
      </w:r>
    </w:p>
    <w:p>
      <w:pPr>
        <w:spacing w:after="0" w:line="171"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Except as set forth below, the circumstances set forth in Note 5 – Mezzanine Equity to the financial statements included in our Annual Report on Form 10-K for the year ended December 31, 2023 appropriately represent, in all material respects, the current status of our Series A convertible preferred stock, $0.0001 par value (the “Preferred Stock”). Mezzanine equity of $34.1 million and $32.8 million as of June 30, 2024, and December 31, 2023, respectively, represents the $30.0 million gross proceeds from the issuance of the Preferred Stock, plus accrued and unpaid dividends.</w:t>
      </w:r>
    </w:p>
    <w:p>
      <w:pPr>
        <w:spacing w:after="0" w:line="152"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Upon emergence from bankruptcy, and as of the date of this report, the Preferred Stock remains outstanding and unimpaired. Upon a change of control (as defined in the Certificate of Designation, Preferences and Rights of the Series A Convertible Preferred Stock filed by the Company with the Secretary of State of the State of Delaware), Foxconn can cause the Company to purchase any or all of its Preferred Stock at a purchase price equal to the greater of its $30.0 million liquidation preference, plus any unpaid accrued dividends, and the amount of cash and other property that it would have received had it converted its</w:t>
      </w:r>
    </w:p>
    <w:p>
      <w:pPr>
        <w:sectPr>
          <w:pgSz w:w="11900" w:h="16838" w:orient="portrait"/>
          <w:cols w:equalWidth="0" w:num="1">
            <w:col w:w="9019"/>
          </w:cols>
          <w:pgMar w:left="1440" w:top="512" w:right="1440" w:bottom="1440" w:gutter="0" w:footer="0" w:header="0"/>
        </w:sect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479"/>
        <w:spacing w:after="0" w:line="242" w:lineRule="auto"/>
        <w:rPr>
          <w:sz w:val="20"/>
          <w:szCs w:val="20"/>
          <w:color w:val="auto"/>
        </w:rPr>
      </w:pPr>
      <w:r>
        <w:rPr>
          <w:rFonts w:ascii="Arial" w:cs="Arial" w:eastAsia="Arial" w:hAnsi="Arial"/>
          <w:sz w:val="18"/>
          <w:szCs w:val="18"/>
          <w:color w:val="auto"/>
        </w:rPr>
        <w:t>Preferred Stock prior to the change of control transaction (the “Change of Control Put”). The liquidation preference, plus accrued dividends is presented as Mezzanine Equity within the Company’s Condensed Consolidated Balance Sheet. As of June 30, 2024, the Company did not consider a change of control to be probable. The Company notes that there is significant uncertainty regarding the outcome of the Foxconn Litigation which may impact the foregoing determination, and that the Company can provide no assurance regarding such determination.</w:t>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6 — CAPITAL STOCK AND INCOME (LOSS) PER SHARE</w:t>
      </w:r>
    </w:p>
    <w:p>
      <w:pPr>
        <w:spacing w:after="0" w:line="171" w:lineRule="exact"/>
        <w:rPr>
          <w:sz w:val="20"/>
          <w:szCs w:val="20"/>
          <w:color w:val="auto"/>
        </w:rPr>
      </w:pPr>
    </w:p>
    <w:p>
      <w:pPr>
        <w:ind w:left="60" w:right="139"/>
        <w:spacing w:after="0" w:line="301" w:lineRule="auto"/>
        <w:rPr>
          <w:sz w:val="20"/>
          <w:szCs w:val="20"/>
          <w:color w:val="auto"/>
        </w:rPr>
      </w:pPr>
      <w:r>
        <w:rPr>
          <w:rFonts w:ascii="Arial" w:cs="Arial" w:eastAsia="Arial" w:hAnsi="Arial"/>
          <w:sz w:val="17"/>
          <w:szCs w:val="17"/>
          <w:color w:val="231F20"/>
        </w:rPr>
        <w:t>The Company has authorized shares of capital stock totaling 462 million shares, consisting of (i) 450 million shares of Class A common stock and (ii) 12 million shares of preferred stock, each with a par value of $0.0001.</w:t>
      </w:r>
    </w:p>
    <w:p>
      <w:pPr>
        <w:spacing w:after="0" w:line="90" w:lineRule="exact"/>
        <w:rPr>
          <w:sz w:val="20"/>
          <w:szCs w:val="20"/>
          <w:color w:val="auto"/>
        </w:rPr>
      </w:pPr>
    </w:p>
    <w:p>
      <w:pPr>
        <w:ind w:left="60" w:right="139"/>
        <w:spacing w:after="0" w:line="244" w:lineRule="auto"/>
        <w:rPr>
          <w:sz w:val="20"/>
          <w:szCs w:val="20"/>
          <w:color w:val="auto"/>
        </w:rPr>
      </w:pPr>
      <w:r>
        <w:rPr>
          <w:rFonts w:ascii="Arial" w:cs="Arial" w:eastAsia="Arial" w:hAnsi="Arial"/>
          <w:sz w:val="18"/>
          <w:szCs w:val="18"/>
          <w:color w:val="231F20"/>
        </w:rPr>
        <w:t>At the 2023 Annual Meeting, the stockholders of the Company approved a proposal to amend the Charter to effect a reverse split of the Company’s outstanding shares of Class A common stock at a ratio within a range of between 1:3 and 1:15, with the timing and the exact ratio of the reverse split to be determined by the Board in its sole discretion. The Board authorized the Reverse Stock Split at a 1:15 ratio, which became effective as of May 24, 2023 (the “Effective Date”).</w:t>
      </w:r>
    </w:p>
    <w:p>
      <w:pPr>
        <w:spacing w:after="0" w:line="149" w:lineRule="exact"/>
        <w:rPr>
          <w:sz w:val="20"/>
          <w:szCs w:val="20"/>
          <w:color w:val="auto"/>
        </w:rPr>
      </w:pPr>
    </w:p>
    <w:p>
      <w:pPr>
        <w:ind w:left="60" w:right="239"/>
        <w:spacing w:after="0" w:line="253" w:lineRule="auto"/>
        <w:rPr>
          <w:sz w:val="20"/>
          <w:szCs w:val="20"/>
          <w:color w:val="auto"/>
        </w:rPr>
      </w:pPr>
      <w:r>
        <w:rPr>
          <w:rFonts w:ascii="Arial" w:cs="Arial" w:eastAsia="Arial" w:hAnsi="Arial"/>
          <w:sz w:val="18"/>
          <w:szCs w:val="18"/>
          <w:color w:val="auto"/>
        </w:rPr>
        <w:t>The Company filed an Amendment to the Charter on May 22, 2023, which provided that, at the Effective Date, every 15 shares of the issued and outstanding Class A common stock would automatically be combined into one issued and outstanding share of Class A common stock.</w:t>
      </w:r>
    </w:p>
    <w:p>
      <w:pPr>
        <w:spacing w:after="0" w:line="128"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 xml:space="preserve">FASB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requires the presentation of basic and diluted earnings per share (“EPS”). Basic EPS is calculated based on the weighted average number of shares outstanding during the period. Dilutive EPS is calculated to include any dilutive effect of our share equivalents.</w:t>
      </w:r>
    </w:p>
    <w:p>
      <w:pPr>
        <w:spacing w:after="0" w:line="128"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color w:val="auto"/>
        </w:rPr>
        <w:t>The following outstanding potentially dilutive common stock equivalents have been included in the computation of diluted net income per share attributable to common shareholders for the three months ended June 30, 2024 (and excluded from the computation of diluted net loss per share attributable to common shareholders for the six months ended June 30, 2024 as well as the three and six months ended June 30, 2024 and 2023, respectively, due to their anti-dilutive effect (in thousands):</w:t>
      </w: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1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100" w:type="dxa"/>
            <w:vAlign w:val="bottom"/>
            <w:gridSpan w:val="2"/>
          </w:tcPr>
          <w:p>
            <w:pPr>
              <w:ind w:left="420"/>
              <w:spacing w:after="0"/>
              <w:rPr>
                <w:sz w:val="20"/>
                <w:szCs w:val="20"/>
                <w:color w:val="auto"/>
              </w:rPr>
            </w:pPr>
            <w:r>
              <w:rPr>
                <w:rFonts w:ascii="Arial" w:cs="Arial" w:eastAsia="Arial" w:hAnsi="Arial"/>
                <w:sz w:val="14"/>
                <w:szCs w:val="14"/>
                <w:b w:val="1"/>
                <w:bCs w:val="1"/>
                <w:color w:val="auto"/>
              </w:rPr>
              <w:t>June 30, 2024</w:t>
            </w:r>
          </w:p>
        </w:tc>
        <w:tc>
          <w:tcPr>
            <w:tcW w:w="1540" w:type="dxa"/>
            <w:vAlign w:val="bottom"/>
            <w:gridSpan w:val="3"/>
          </w:tcPr>
          <w:p>
            <w:pPr>
              <w:ind w:left="220"/>
              <w:spacing w:after="0"/>
              <w:rPr>
                <w:sz w:val="20"/>
                <w:szCs w:val="20"/>
                <w:color w:val="auto"/>
              </w:rPr>
            </w:pPr>
            <w:r>
              <w:rPr>
                <w:rFonts w:ascii="Arial" w:cs="Arial" w:eastAsia="Arial" w:hAnsi="Arial"/>
                <w:sz w:val="14"/>
                <w:szCs w:val="14"/>
                <w:b w:val="1"/>
                <w:bCs w:val="1"/>
                <w:color w:val="auto"/>
              </w:rPr>
              <w:t>June 30, 2023</w:t>
            </w:r>
          </w:p>
        </w:tc>
        <w:tc>
          <w:tcPr>
            <w:tcW w:w="0" w:type="dxa"/>
            <w:vAlign w:val="bottom"/>
          </w:tcPr>
          <w:p>
            <w:pPr>
              <w:spacing w:after="0"/>
              <w:rPr>
                <w:sz w:val="1"/>
                <w:szCs w:val="1"/>
                <w:color w:val="auto"/>
              </w:rPr>
            </w:pPr>
          </w:p>
        </w:tc>
      </w:tr>
      <w:tr>
        <w:trPr>
          <w:trHeight w:val="196"/>
        </w:trPr>
        <w:tc>
          <w:tcPr>
            <w:tcW w:w="318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Foxconn Preferred Stock</w:t>
            </w:r>
          </w:p>
        </w:tc>
        <w:tc>
          <w:tcPr>
            <w:tcW w:w="2100" w:type="dxa"/>
            <w:vAlign w:val="bottom"/>
            <w:tcBorders>
              <w:top w:val="single" w:sz="8" w:color="CCEEFF"/>
            </w:tcBorders>
            <w:shd w:val="clear" w:color="auto" w:fill="CCEEFF"/>
          </w:tcPr>
          <w:p>
            <w:pPr>
              <w:spacing w:after="0"/>
              <w:rPr>
                <w:sz w:val="17"/>
                <w:szCs w:val="17"/>
                <w:color w:val="auto"/>
              </w:rPr>
            </w:pPr>
          </w:p>
        </w:tc>
        <w:tc>
          <w:tcPr>
            <w:tcW w:w="1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1,174</w:t>
            </w:r>
          </w:p>
        </w:tc>
        <w:tc>
          <w:tcPr>
            <w:tcW w:w="3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1,084</w:t>
            </w: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180" w:type="dxa"/>
            <w:vAlign w:val="bottom"/>
          </w:tcPr>
          <w:p>
            <w:pPr>
              <w:ind w:left="20"/>
              <w:spacing w:after="0" w:line="202" w:lineRule="exact"/>
              <w:rPr>
                <w:sz w:val="20"/>
                <w:szCs w:val="20"/>
                <w:color w:val="auto"/>
              </w:rPr>
            </w:pPr>
            <w:r>
              <w:rPr>
                <w:rFonts w:ascii="Arial" w:cs="Arial" w:eastAsia="Arial" w:hAnsi="Arial"/>
                <w:sz w:val="18"/>
                <w:szCs w:val="18"/>
                <w:color w:val="auto"/>
              </w:rPr>
              <w:t>Share awards</w:t>
            </w:r>
          </w:p>
        </w:tc>
        <w:tc>
          <w:tcPr>
            <w:tcW w:w="2100" w:type="dxa"/>
            <w:vAlign w:val="bottom"/>
          </w:tcPr>
          <w:p>
            <w:pPr>
              <w:spacing w:after="0"/>
              <w:rPr>
                <w:sz w:val="17"/>
                <w:szCs w:val="17"/>
                <w:color w:val="auto"/>
              </w:rPr>
            </w:pPr>
          </w:p>
        </w:tc>
        <w:tc>
          <w:tcPr>
            <w:tcW w:w="2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7</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Foxconn Warrants</w:t>
            </w:r>
          </w:p>
        </w:tc>
        <w:tc>
          <w:tcPr>
            <w:tcW w:w="3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113</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tcPr>
          <w:p>
            <w:pPr>
              <w:ind w:left="20"/>
              <w:spacing w:after="0" w:line="202" w:lineRule="exact"/>
              <w:rPr>
                <w:sz w:val="20"/>
                <w:szCs w:val="20"/>
                <w:color w:val="auto"/>
              </w:rPr>
            </w:pPr>
            <w:r>
              <w:rPr>
                <w:rFonts w:ascii="Arial" w:cs="Arial" w:eastAsia="Arial" w:hAnsi="Arial"/>
                <w:sz w:val="18"/>
                <w:szCs w:val="18"/>
                <w:color w:val="auto"/>
              </w:rPr>
              <w:t>BGL Warrants</w:t>
            </w:r>
          </w:p>
        </w:tc>
        <w:tc>
          <w:tcPr>
            <w:tcW w:w="2100" w:type="dxa"/>
            <w:vAlign w:val="bottom"/>
          </w:tcPr>
          <w:p>
            <w:pPr>
              <w:spacing w:after="0"/>
              <w:rPr>
                <w:sz w:val="17"/>
                <w:szCs w:val="17"/>
                <w:color w:val="auto"/>
              </w:rPr>
            </w:pPr>
          </w:p>
        </w:tc>
        <w:tc>
          <w:tcPr>
            <w:tcW w:w="2100" w:type="dxa"/>
            <w:vAlign w:val="bottom"/>
            <w:gridSpan w:val="2"/>
          </w:tcPr>
          <w:p>
            <w:pPr>
              <w:jc w:val="right"/>
              <w:ind w:right="380"/>
              <w:spacing w:after="0" w:line="202"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2" w:lineRule="exact"/>
              <w:rPr>
                <w:sz w:val="20"/>
                <w:szCs w:val="20"/>
                <w:color w:val="auto"/>
              </w:rPr>
            </w:pPr>
            <w:r>
              <w:rPr>
                <w:rFonts w:ascii="Arial" w:cs="Arial" w:eastAsia="Arial" w:hAnsi="Arial"/>
                <w:sz w:val="18"/>
                <w:szCs w:val="18"/>
                <w:color w:val="auto"/>
              </w:rPr>
              <w:t>110</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18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Private Warrants</w:t>
            </w:r>
          </w:p>
        </w:tc>
        <w:tc>
          <w:tcPr>
            <w:tcW w:w="38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32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180" w:type="dxa"/>
            <w:vAlign w:val="bottom"/>
          </w:tcPr>
          <w:p>
            <w:pPr>
              <w:ind w:left="220"/>
              <w:spacing w:after="0" w:line="196" w:lineRule="exact"/>
              <w:rPr>
                <w:sz w:val="20"/>
                <w:szCs w:val="20"/>
                <w:color w:val="auto"/>
              </w:rPr>
            </w:pPr>
            <w:r>
              <w:rPr>
                <w:rFonts w:ascii="Arial" w:cs="Arial" w:eastAsia="Arial" w:hAnsi="Arial"/>
                <w:sz w:val="18"/>
                <w:szCs w:val="18"/>
                <w:color w:val="auto"/>
              </w:rPr>
              <w:t>Total</w:t>
            </w:r>
          </w:p>
        </w:tc>
        <w:tc>
          <w:tcPr>
            <w:tcW w:w="2100" w:type="dxa"/>
            <w:vAlign w:val="bottom"/>
          </w:tcPr>
          <w:p>
            <w:pPr>
              <w:spacing w:after="0"/>
              <w:rPr>
                <w:sz w:val="17"/>
                <w:szCs w:val="17"/>
                <w:color w:val="auto"/>
              </w:rPr>
            </w:pPr>
          </w:p>
        </w:tc>
        <w:tc>
          <w:tcPr>
            <w:tcW w:w="178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1,441</w:t>
            </w:r>
          </w:p>
        </w:tc>
        <w:tc>
          <w:tcPr>
            <w:tcW w:w="320" w:type="dxa"/>
            <w:vAlign w:val="bottom"/>
          </w:tcPr>
          <w:p>
            <w:pPr>
              <w:spacing w:after="0"/>
              <w:rPr>
                <w:sz w:val="17"/>
                <w:szCs w:val="17"/>
                <w:color w:val="auto"/>
              </w:rPr>
            </w:pPr>
          </w:p>
        </w:tc>
        <w:tc>
          <w:tcPr>
            <w:tcW w:w="140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1,468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2100" w:type="dxa"/>
            <w:vAlign w:val="bottom"/>
            <w:vMerge w:val="restart"/>
          </w:tcPr>
          <w:p>
            <w:pPr>
              <w:jc w:val="right"/>
              <w:ind w:right="630"/>
              <w:spacing w:after="0"/>
              <w:rPr>
                <w:sz w:val="20"/>
                <w:szCs w:val="20"/>
                <w:color w:val="auto"/>
              </w:rPr>
            </w:pPr>
            <w:r>
              <w:rPr>
                <w:rFonts w:ascii="Arial" w:cs="Arial" w:eastAsia="Arial" w:hAnsi="Arial"/>
                <w:sz w:val="18"/>
                <w:szCs w:val="18"/>
                <w:color w:val="auto"/>
              </w:rPr>
              <w:t>17</w:t>
            </w:r>
          </w:p>
        </w:tc>
        <w:tc>
          <w:tcPr>
            <w:tcW w:w="17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2"/>
        </w:trPr>
        <w:tc>
          <w:tcPr>
            <w:tcW w:w="3180" w:type="dxa"/>
            <w:vAlign w:val="bottom"/>
          </w:tcPr>
          <w:p>
            <w:pPr>
              <w:spacing w:after="0"/>
              <w:rPr>
                <w:sz w:val="24"/>
                <w:szCs w:val="24"/>
                <w:color w:val="auto"/>
              </w:rPr>
            </w:pPr>
          </w:p>
        </w:tc>
        <w:tc>
          <w:tcPr>
            <w:tcW w:w="2100" w:type="dxa"/>
            <w:vAlign w:val="bottom"/>
            <w:vMerge w:val="continue"/>
          </w:tcPr>
          <w:p>
            <w:pPr>
              <w:spacing w:after="0"/>
              <w:rPr>
                <w:sz w:val="24"/>
                <w:szCs w:val="24"/>
                <w:color w:val="auto"/>
              </w:rPr>
            </w:pPr>
          </w:p>
        </w:tc>
        <w:tc>
          <w:tcPr>
            <w:tcW w:w="1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318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7 – STOCK BASED COMPENSATION</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The vesting and settlement of any unvested equity awards was suspended during the pendency of the Chapter 11 Cases. Upon emergence, the suspended awards were settled if the vesting conditions had been satisfied. All vested options to purchase Class A common stock that remain outstanding as of the date the Company emerged remain outstanding in accordance with their terms and the terms of the Plan and any options not exercised within three months of an officer’s termination of employment or a director’s termination of board service with the Company will be forfeited.</w:t>
      </w:r>
    </w:p>
    <w:p>
      <w:pPr>
        <w:spacing w:after="0" w:line="138" w:lineRule="exact"/>
        <w:rPr>
          <w:sz w:val="20"/>
          <w:szCs w:val="20"/>
          <w:color w:val="auto"/>
        </w:rPr>
      </w:pPr>
    </w:p>
    <w:p>
      <w:pPr>
        <w:ind w:left="60" w:right="59"/>
        <w:spacing w:after="0" w:line="239" w:lineRule="auto"/>
        <w:rPr>
          <w:sz w:val="20"/>
          <w:szCs w:val="20"/>
          <w:color w:val="auto"/>
        </w:rPr>
      </w:pPr>
      <w:r>
        <w:rPr>
          <w:rFonts w:ascii="Arial" w:cs="Arial" w:eastAsia="Arial" w:hAnsi="Arial"/>
          <w:sz w:val="18"/>
          <w:szCs w:val="18"/>
          <w:color w:val="auto"/>
        </w:rPr>
        <w:t>Prior to emergence, the Company and each of its Named Executive Officers (“NEO’s) were parties to employment agreements that provided for certain payments, including the accelerated vesting of equity awards, to the NEO upon the NEO’s termination of employment by the Company without “Cause” or by the NEO’s choice with “Good Reason”. Accordingly, upon emergence, the Company issued 101,947 shares of Class A common stock to satisfy equity awards that vested during the pendency of the Chapter 11 Cases, and 102,889 shares of Class A common stock related to the accelerated vesting of the NEO awards. The accelerated vesting of the NEO awards resulted in the recognition of $2.6 million of stock compensation expense during the first quarter of 2024. The remaining $0.8 million of stock compensation expense during the first quarter of 2024 related to non-accelerated stock-based compensation for other employees prior to emergence.</w:t>
      </w:r>
    </w:p>
    <w:p>
      <w:pPr>
        <w:spacing w:after="0" w:line="156" w:lineRule="exact"/>
        <w:rPr>
          <w:sz w:val="20"/>
          <w:szCs w:val="20"/>
          <w:color w:val="auto"/>
        </w:rPr>
      </w:pPr>
    </w:p>
    <w:p>
      <w:pPr>
        <w:ind w:left="60" w:right="419"/>
        <w:spacing w:after="0" w:line="253" w:lineRule="auto"/>
        <w:rPr>
          <w:sz w:val="20"/>
          <w:szCs w:val="20"/>
          <w:color w:val="auto"/>
        </w:rPr>
      </w:pPr>
      <w:r>
        <w:rPr>
          <w:rFonts w:ascii="Arial" w:cs="Arial" w:eastAsia="Arial" w:hAnsi="Arial"/>
          <w:sz w:val="18"/>
          <w:szCs w:val="18"/>
          <w:color w:val="auto"/>
        </w:rPr>
        <w:t>In accordance with the Plan, on March 14, 2024, the Board of Directors approved, adopted and ratified an amendment to the Company’s 2020 Equity Incentive Plan, as amended to increase the number of shares of Class A common stock reserved for issuance thereunder to an aggregate of 3,000,000 shares.</w:t>
      </w:r>
    </w:p>
    <w:p>
      <w:pPr>
        <w:spacing w:after="0" w:line="169"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On May 13, 2024, the Compensation Committee of the Board of Directors of the Company adopted a modified director compensation plan that includes a three-year grant under the Company's 2020 Equity Compensation Plan of restricted stock units (“RSUs”) with a fair market value of $8,000 per quarter ($96,000 in the aggregate), based on the closing price per share of the Company’s common stock on May 13, 2024. The RSUs granted cover service on the Board through the first quarter of 2027 and vest quarterly through January 30, 2027, subject to acceleration on the occurrence of certain events. During the three and six months ended June 30, 2024, the Company recognized $23,226 of stock-based compensation expense, which was included in selling, general, and administrative expense on the condensed consolidated financial statements. As of June 30, 2024, there is $456,772 of unrecognized stock-based compensation which will be expensed evenly through the first quarter of 2027.</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8 – COMMITMENTS AND CONTINGENCIES</w:t>
      </w:r>
    </w:p>
    <w:p>
      <w:pPr>
        <w:spacing w:after="0" w:line="2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Voluntary Chapter 11 Proceedings, Liabilities Subject to Compromise and Other Potential Claims</w:t>
      </w:r>
    </w:p>
    <w:p>
      <w:pPr>
        <w:spacing w:after="0" w:line="250" w:lineRule="exact"/>
        <w:rPr>
          <w:sz w:val="20"/>
          <w:szCs w:val="20"/>
          <w:color w:val="auto"/>
        </w:rPr>
      </w:pPr>
    </w:p>
    <w:p>
      <w:pPr>
        <w:ind w:left="60" w:right="839"/>
        <w:spacing w:after="0" w:line="253" w:lineRule="auto"/>
        <w:rPr>
          <w:sz w:val="20"/>
          <w:szCs w:val="20"/>
          <w:color w:val="auto"/>
        </w:rPr>
      </w:pPr>
      <w:r>
        <w:rPr>
          <w:rFonts w:ascii="Arial" w:cs="Arial" w:eastAsia="Arial" w:hAnsi="Arial"/>
          <w:sz w:val="18"/>
          <w:szCs w:val="18"/>
          <w:color w:val="auto"/>
        </w:rPr>
        <w:t>On June 27, 2023, the Company and its subsidiaries commenced the Chapter 11 Cases in the Bankruptcy Court. See Note 1 – Description of Organization and Business Operations – Description of Business – Voluntary Chapter 11 Proceedings.</w:t>
      </w:r>
    </w:p>
    <w:p>
      <w:pPr>
        <w:spacing w:after="0" w:line="209" w:lineRule="exact"/>
        <w:rPr>
          <w:sz w:val="20"/>
          <w:szCs w:val="20"/>
          <w:color w:val="auto"/>
        </w:rPr>
      </w:pPr>
    </w:p>
    <w:p>
      <w:pPr>
        <w:jc w:val="both"/>
        <w:ind w:left="60" w:right="379"/>
        <w:spacing w:after="0" w:line="253" w:lineRule="auto"/>
        <w:rPr>
          <w:sz w:val="20"/>
          <w:szCs w:val="20"/>
          <w:color w:val="auto"/>
        </w:rPr>
      </w:pPr>
      <w:r>
        <w:rPr>
          <w:rFonts w:ascii="Arial" w:cs="Arial" w:eastAsia="Arial" w:hAnsi="Arial"/>
          <w:sz w:val="18"/>
          <w:szCs w:val="18"/>
          <w:color w:val="auto"/>
        </w:rPr>
        <w:t>Since filing the Chapter 11 petitions, until our emergence from bankruptcy on March 14, 2024, the Company operated as debtor-in-possession under the jurisdiction of the Bankruptcy Court and in accordance with the applicable provisions of the Bankruptcy Code.</w:t>
      </w:r>
    </w:p>
    <w:p>
      <w:pPr>
        <w:spacing w:after="0" w:line="20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The Company received the Bankruptcy Court’s approval of its customary motions filed on June 27, 2023, which authorized the Company to conduct its business activities in the ordinary course, including among other things and subject to the terms and conditions of such orders: (i) pay employees’ wages and related obligations; (ii) pay certain taxes; (iii) pay critical vendors; (iv) continue to honor certain customer obligations;</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39" w:firstLine="3"/>
        <w:spacing w:after="0" w:line="271"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maintain their insurance program; (vi) continue their cash management system; and (vii) establish certain procedures to protect any potential value of the Company’s NOLs.</w:t>
      </w:r>
    </w:p>
    <w:p>
      <w:pPr>
        <w:spacing w:after="0" w:line="208"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On August 8, 2023, the Bankruptcy Court approved procedures for the Company to conduct a comprehensive marketing and sale process for some, all, or substantially all of their assets in order to maximize the value of those assets. The marketing process culminated in the Company entering into the LandX Asset Purchase Agreement on March 29, 2023, providing for the sale of specified assets of the Company related to the design, production and sale of electric light duty vehicles focused on the commercial fleet market free and clear of liens, claims, encumbrances, and other interests, and assume certain specified liabilities of the Company for a total purchase price of $10.2 million in cash. This transaction closed on October 27, 2023. See Note 1 – Description of Organization and Business Operations – Description of Business.</w:t>
      </w:r>
    </w:p>
    <w:p>
      <w:pPr>
        <w:spacing w:after="0" w:line="221"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has been subject to extensive pending and threatened legal proceedings arising in the ordinary course of business and has already incurred, and expects to continue to incur, significant legal expenses in defending against these claims. The Company sought and achieved resolution of many of these matters as part of the Chapter 11 Cases and has and may in the future enter into further discussions regarding settlement of these matters and may enter into settlement agreements if it believes it is in the best interest of the Company’s stakeholders. The Company records a liability for loss contingencies in the Condensed Consolidated Financial Statements when a loss is known or considered probable and the amount can be reasonably estimated. Legal fees and costs of litigation, settlement by the Company or adverse decisions with respect to the matters disclosed may result in a liability that is not insured or that is in excess of insurance coverage and could significantly exceed our current accrual and ability to pay and be, individually or in the aggregate, material to the Company’s consolidated results of operations, financial condition or cash flows, and diminish or eliminate any assets available for any distribution to creditors and Interest holders.</w:t>
      </w:r>
    </w:p>
    <w:p>
      <w:pPr>
        <w:spacing w:after="0" w:line="183"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The filing of the Chapter 11 Cases resulted in an initial automatic stay of legal proceedings against the Company, as further described below. On July 27, 2023, the Bankruptcy Court modified the automatic stay that was in effect at the time of filing the Chapter 11 Cases to allow the Karma Action (defined below) to proceed against the Company in the District Court (defined below) and that matter was settled, as further described below.</w:t>
      </w:r>
    </w:p>
    <w:p>
      <w:pPr>
        <w:spacing w:after="0" w:line="13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With respect to the stockholder derivative suits filed on behalf of the Company against certain of its officers and directors and certain former DiamondPeak directors prior to the Chapter 11 Cases, the derivative claims asserted in those suits became the property of the Company. The Company appointed an independent committee of directors to evaluate such claims with the assistance and advice of special litigation counsel, to make a recommendation as to the disposition of such claims, including, among other things, whether to pursue or release some or all of those claims against some or all of those officers and directors. Ultimately, such claims were retained by the Company and not released under the Plan.</w:t>
      </w:r>
    </w:p>
    <w:p>
      <w:pPr>
        <w:spacing w:after="0" w:line="144"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With respect to the Ohio Securities Class Action opt-out claims (discussed below), the Post-Petition Securities Action and any other similar claims for damages arising from the purchase or sale of the Class A common stock, Section 510(b) the Bankruptcy Code treats such claims as subordinated to all claims or Interests that are senior to the Class A common stock and having the same priority as the Class A common stock.</w:t>
      </w:r>
    </w:p>
    <w:p>
      <w:pPr>
        <w:spacing w:after="0" w:line="174" w:lineRule="exact"/>
        <w:rPr>
          <w:sz w:val="20"/>
          <w:szCs w:val="20"/>
          <w:color w:val="auto"/>
        </w:rPr>
      </w:pPr>
    </w:p>
    <w:p>
      <w:pPr>
        <w:ind w:left="60" w:right="159"/>
        <w:spacing w:after="0" w:line="242" w:lineRule="auto"/>
        <w:rPr>
          <w:sz w:val="20"/>
          <w:szCs w:val="20"/>
          <w:color w:val="auto"/>
        </w:rPr>
      </w:pPr>
      <w:r>
        <w:rPr>
          <w:rFonts w:ascii="Arial" w:cs="Arial" w:eastAsia="Arial" w:hAnsi="Arial"/>
          <w:sz w:val="18"/>
          <w:szCs w:val="18"/>
          <w:color w:val="auto"/>
        </w:rPr>
        <w:t>The Bankruptcy Court established October 10, 2023 as the deadline by which parties were required to file proofs of claim in the Chapter 11 Cases and December 26, 2023 for all governmental entities to file their proofs of claim, which includes any claim asserted by the SEC with respect to the matter described under “SEC Matter” below or that may arise due to our obligations under the Highway Safety Act of 1970 (the “Safety Act”) administered by the National Highway Traffic Safety Administration (“NHTSA”) described under “NHTSA Matters” below.</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259"/>
        <w:spacing w:after="0" w:line="301" w:lineRule="auto"/>
        <w:rPr>
          <w:sz w:val="20"/>
          <w:szCs w:val="20"/>
          <w:color w:val="auto"/>
        </w:rPr>
      </w:pPr>
      <w:r>
        <w:rPr>
          <w:rFonts w:ascii="Arial" w:cs="Arial" w:eastAsia="Arial" w:hAnsi="Arial"/>
          <w:sz w:val="17"/>
          <w:szCs w:val="17"/>
          <w:color w:val="auto"/>
        </w:rPr>
        <w:t>In addition, the deadline for parties to file proofs of claim arising from the Company’s rejection of an executory contract or unexpired lease, and proofs of claim for administrative expense claims, was April 15, 2024.</w:t>
      </w:r>
    </w:p>
    <w:p>
      <w:pPr>
        <w:spacing w:after="0" w:line="131"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Several rejection damages and administrative expense claims were filed and are being reviewed by the Company. While the Company may file objections to some or all of these additional claims, the Company cannot provide any assurances as to what the Company’s total actual liabilities will be based on such claims. The amount of such liability may diminish the assets available to satisfy general unsecured claims. There is substantial risk of litigation by and against the Company or its indemnified directors and officers with respect to such claims.</w:t>
      </w:r>
    </w:p>
    <w:p>
      <w:pPr>
        <w:spacing w:after="0" w:line="233" w:lineRule="exact"/>
        <w:rPr>
          <w:sz w:val="20"/>
          <w:szCs w:val="20"/>
          <w:color w:val="auto"/>
        </w:rPr>
      </w:pPr>
    </w:p>
    <w:p>
      <w:pPr>
        <w:ind w:left="60" w:right="139"/>
        <w:spacing w:after="0"/>
        <w:rPr>
          <w:sz w:val="20"/>
          <w:szCs w:val="20"/>
          <w:color w:val="auto"/>
        </w:rPr>
      </w:pPr>
      <w:r>
        <w:rPr>
          <w:rFonts w:ascii="Arial" w:cs="Arial" w:eastAsia="Arial" w:hAnsi="Arial"/>
          <w:sz w:val="18"/>
          <w:szCs w:val="18"/>
          <w:color w:val="auto"/>
        </w:rPr>
        <w:t>“Liabilities subject to compromise” are recorded at the expected or estimated amount of the total allowed claim, however, the ultimate settlement of these liabilities remains subject to analysis and negotiation, approval of the Bankruptcy Court and the other factors discussed above, and they may be settled or resolved for materially different amounts. These amounts are also subject to adjustments if we make changes to our assumptions or estimates related to claims as additional information becomes available to us. Such adjustments may be material, and the Company will continue to evaluate the amount and classification of its pre-petition liabilities. Any additional liabilities that are subject to compromise will be recognized accordingly, and the aggregate amount of “Liabilities subject to compromise” may change materially.</w:t>
      </w:r>
    </w:p>
    <w:p>
      <w:pPr>
        <w:spacing w:after="0" w:line="180" w:lineRule="exact"/>
        <w:rPr>
          <w:sz w:val="20"/>
          <w:szCs w:val="20"/>
          <w:color w:val="auto"/>
        </w:rPr>
      </w:pPr>
    </w:p>
    <w:p>
      <w:pPr>
        <w:ind w:left="60" w:right="99"/>
        <w:spacing w:after="0" w:line="253" w:lineRule="auto"/>
        <w:rPr>
          <w:sz w:val="20"/>
          <w:szCs w:val="20"/>
          <w:color w:val="auto"/>
        </w:rPr>
      </w:pPr>
      <w:r>
        <w:rPr>
          <w:rFonts w:ascii="Arial" w:cs="Arial" w:eastAsia="Arial" w:hAnsi="Arial"/>
          <w:sz w:val="17"/>
          <w:szCs w:val="17"/>
          <w:color w:val="auto"/>
        </w:rPr>
        <w:t>As a result of the Chapter 11 Cases and ceasing production of the Endurance, the Company has received claims from its suppliers and vendors for amounts those parties believe the Company owes. The Company is conducting an extensive claims reconciliation process to analyze approximately $23.1 million of claims. In addition, there are $7.2 million in asserted claims for liquidated portion of indemnification obligations (excluding those contained in the litigation accrual described below), rejection damages related to certain contracts and real property leases, potential government claims and interest due on allowed claims. The Company, its advisors, and the Claims Ombudsman appointed in the Chapter 11 Cases are analyzing the claims for validity and intends to vigorously defend against claims it believes are invalid. The Company has accounts payable and accrued vendor claims of approximately $19.4 million and $30.5 million as of June 30, 2024 and December 31,</w:t>
      </w:r>
    </w:p>
    <w:p>
      <w:pPr>
        <w:spacing w:after="0" w:line="4" w:lineRule="exact"/>
        <w:rPr>
          <w:sz w:val="20"/>
          <w:szCs w:val="20"/>
          <w:color w:val="auto"/>
        </w:rPr>
      </w:pPr>
    </w:p>
    <w:p>
      <w:pPr>
        <w:ind w:left="60" w:right="599"/>
        <w:spacing w:after="0" w:line="255" w:lineRule="auto"/>
        <w:rPr>
          <w:sz w:val="20"/>
          <w:szCs w:val="20"/>
          <w:color w:val="auto"/>
        </w:rPr>
      </w:pPr>
      <w:r>
        <w:rPr>
          <w:rFonts w:ascii="Arial" w:cs="Arial" w:eastAsia="Arial" w:hAnsi="Arial"/>
          <w:sz w:val="18"/>
          <w:szCs w:val="18"/>
          <w:color w:val="auto"/>
        </w:rPr>
        <w:t>2023, respectively, which reflect both undisputed and partially disputed amounts we may owe, reported in Liabilities subject to compromise. The remainder is disputed for one or more reasons, including a lack of information provided by the claimant.</w:t>
      </w:r>
    </w:p>
    <w:p>
      <w:pPr>
        <w:spacing w:after="0" w:line="168"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The Company had accruals of $1.8 million and $6.5 million, as of June 30, 2024 and December 31, 2023, respectively, for certain of its outstanding legal proceedings and potential related obligations within </w:t>
      </w:r>
      <w:r>
        <w:rPr>
          <w:rFonts w:ascii="Arial" w:cs="Arial" w:eastAsia="Arial" w:hAnsi="Arial"/>
          <w:sz w:val="21"/>
          <w:szCs w:val="21"/>
          <w:color w:val="auto"/>
        </w:rPr>
        <w:t>“l</w:t>
      </w:r>
      <w:r>
        <w:rPr>
          <w:rFonts w:ascii="Arial" w:cs="Arial" w:eastAsia="Arial" w:hAnsi="Arial"/>
          <w:sz w:val="18"/>
          <w:szCs w:val="18"/>
          <w:color w:val="auto"/>
        </w:rPr>
        <w:t>iabilities subject to compromise” and “accrued and other current liabilities” on its condensed consolidated balance sheets. The Company’s liabilities for legal proceedings and potential related obligations may include amounts for the securities litigation, government claims and indemnification obligations described in more detail below or other claims that may be asserted against the Company and may or may not be offset by insurance. The amount accrued as of June 30, 2024 was estimated based on available information and legal advice, the potential resolution of these matters in light of historical negotiations with the parties, and the potential impact of the outcome of one or more claims on related matters, but does not take into account the impact of the applicable provisions of the Bankruptcy Code, the terms of the Plan, ongoing discussions with the parties thereto and other stakeholders or actual amounts that may be asserted in Claims submitted in the Chapter 11 Cases or for indemnification as these factors cannot yet be determined and are subject to substantial uncertainty. Accordingly, the accrued amount may be adjusted in the future based on new developments and it does not reflect a full range of possible outcomes for these proceedings, or the full amount of any damages alleged, which are significantly higher.</w:t>
      </w:r>
    </w:p>
    <w:p>
      <w:pPr>
        <w:spacing w:after="0" w:line="18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231F20"/>
        </w:rPr>
        <w:t>Insurance Matters</w:t>
      </w:r>
    </w:p>
    <w:p>
      <w:pPr>
        <w:spacing w:after="0" w:line="169" w:lineRule="exact"/>
        <w:rPr>
          <w:sz w:val="20"/>
          <w:szCs w:val="20"/>
          <w:color w:val="auto"/>
        </w:rPr>
      </w:pPr>
    </w:p>
    <w:p>
      <w:pPr>
        <w:ind w:left="60" w:right="199"/>
        <w:spacing w:after="0" w:line="247" w:lineRule="auto"/>
        <w:rPr>
          <w:sz w:val="20"/>
          <w:szCs w:val="20"/>
          <w:color w:val="auto"/>
        </w:rPr>
      </w:pPr>
      <w:r>
        <w:rPr>
          <w:rFonts w:ascii="Arial" w:cs="Arial" w:eastAsia="Arial" w:hAnsi="Arial"/>
          <w:sz w:val="18"/>
          <w:szCs w:val="18"/>
          <w:color w:val="231F20"/>
        </w:rPr>
        <w:t>The Company was notified by its primary insurer under its post-merger directors and officers insurance policy that the insurer is taking the position that no coverage is available for the Ohio Securities Class Action, various shareholder derivative actions, the consolidated stockholder class action, various demands for inspection of books and records, the SEC investigation, and the investigation by the United States Attorney’s</w:t>
      </w:r>
    </w:p>
    <w:p>
      <w:pPr>
        <w:sectPr>
          <w:pgSz w:w="11900" w:h="16838" w:orient="portrait"/>
          <w:cols w:equalWidth="0" w:num="1">
            <w:col w:w="9019"/>
          </w:cols>
          <w:pgMar w:left="1440" w:top="512" w:right="1440" w:bottom="1440" w:gutter="0" w:footer="0" w:header="0"/>
        </w:sect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231F20"/>
        </w:rPr>
        <w:t>Office for the Southern District of New York described below, and certain indemnification obligations, under an exclusion to the policy called the “retroactive date exclusion.” The insurer has identified other potential coverage issues as well. Excess coverage attaches only after the underlying insurance has been exhausted, and generally applies in conformance with the terms of the underlying insurance. The Company is analyzing the insurer’s position and intends to pursue any available coverage under this policy and other insurance. As a result of the denial of coverage, no or limited insurance may be available to us to reimburse our expenses or cover any potential losses for these matters, which could be significant. The insurers in our Side A directors and officers (“D&amp;O”) insurance program, providing coverage for individual directors and officers in derivative actions and certain other situations, have issued a reservation of rights letter which, while not denying coverage, has cast doubt on the availability of coverage for at least some individuals and/or claims.</w:t>
      </w:r>
    </w:p>
    <w:p>
      <w:pPr>
        <w:spacing w:after="0" w:line="153" w:lineRule="exact"/>
        <w:rPr>
          <w:sz w:val="20"/>
          <w:szCs w:val="20"/>
          <w:color w:val="auto"/>
        </w:rPr>
      </w:pPr>
    </w:p>
    <w:p>
      <w:pPr>
        <w:ind w:left="60" w:right="259"/>
        <w:spacing w:after="0" w:line="271" w:lineRule="auto"/>
        <w:rPr>
          <w:sz w:val="20"/>
          <w:szCs w:val="20"/>
          <w:color w:val="auto"/>
        </w:rPr>
      </w:pPr>
      <w:r>
        <w:rPr>
          <w:rFonts w:ascii="Arial" w:cs="Arial" w:eastAsia="Arial" w:hAnsi="Arial"/>
          <w:sz w:val="18"/>
          <w:szCs w:val="18"/>
          <w:color w:val="231F20"/>
        </w:rPr>
        <w:t>Changes in the Company’s operations in connection with the Chapter 11 Cases reduced the Company’s need to maintain insurance coverage at previous levels or to carry certain insurance policies.</w:t>
      </w:r>
    </w:p>
    <w:p>
      <w:pPr>
        <w:spacing w:after="0" w:line="11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Ohio Securities Class Action</w:t>
      </w:r>
    </w:p>
    <w:p>
      <w:pPr>
        <w:spacing w:after="0" w:line="169" w:lineRule="exact"/>
        <w:rPr>
          <w:sz w:val="20"/>
          <w:szCs w:val="20"/>
          <w:color w:val="auto"/>
        </w:rPr>
      </w:pPr>
    </w:p>
    <w:p>
      <w:pPr>
        <w:ind w:left="60" w:right="139"/>
        <w:spacing w:after="0" w:line="237" w:lineRule="auto"/>
        <w:rPr>
          <w:sz w:val="20"/>
          <w:szCs w:val="20"/>
          <w:color w:val="auto"/>
        </w:rPr>
      </w:pPr>
      <w:r>
        <w:rPr>
          <w:rFonts w:ascii="Arial" w:cs="Arial" w:eastAsia="Arial" w:hAnsi="Arial"/>
          <w:sz w:val="18"/>
          <w:szCs w:val="18"/>
          <w:color w:val="auto"/>
        </w:rPr>
        <w:t>Six related putative securities class action lawsuits were filed against the Company and certain of its current and former officers and directors and former DiamondPeak directors between March 18, 2021 and May 14, 2021 in the U.S. District Court for the Northern District of Ohio (Rico v. Lordstown Motors Corp., et al.; Palumbo v. Lordstown Motors Corp., et al.; Zuod v. Lordstown Motors Corp., et al.; Brury v. Lordstown Motors Corp., et al.; Romano v. Lordstown Motors Corp., et al.; and FNY Managed Accounts LLC v. Lordstown Motors Corp., et al.). The matters have been consolidated and the Court appointed George Troicky as lead plaintiff and Labaton Sucharow LLP as lead plaintiff’s counsel (the “Ohio Securities Class Action”). On March 10, 2021, lead plaintiff and several additional named plaintiffs filed their consolidated amended complaint, asserting violations of federal securities laws under Section 10(b), Section 14(a), Section 20(a), and Section 20A of the Exchange Act and Rule 10b-5 thereunder against the Company and certain of its current and former officers and directors. The complaint generally alleges that the Company and individual defendants made materially false and misleading statements relating to vehicle pre-orders and production timeline. Defendants filed a motion to dismiss, which is fully briefed as of March 3, 2023. The Company filed a suggestion of bankruptcy on June 28, 2023, and filed an amended suggestion of bankruptcy on July 11, 2023, which notified the court of the filing of the Chapter 11 Cases and resulting automatic stay. On August 28, 2023, the court denied the pending motion to dismiss, without prejudice, given the notice of the automatic stay, subject to potential re-filing by the Defendants following the lifting of the stay.</w:t>
      </w:r>
    </w:p>
    <w:p>
      <w:pPr>
        <w:spacing w:after="0" w:line="157" w:lineRule="exact"/>
        <w:rPr>
          <w:sz w:val="20"/>
          <w:szCs w:val="20"/>
          <w:color w:val="auto"/>
        </w:rPr>
      </w:pPr>
    </w:p>
    <w:p>
      <w:pPr>
        <w:ind w:left="60" w:right="99"/>
        <w:spacing w:after="0" w:line="244" w:lineRule="auto"/>
        <w:rPr>
          <w:sz w:val="20"/>
          <w:szCs w:val="20"/>
          <w:color w:val="auto"/>
        </w:rPr>
      </w:pPr>
      <w:r>
        <w:rPr>
          <w:rFonts w:ascii="Arial" w:cs="Arial" w:eastAsia="Arial" w:hAnsi="Arial"/>
          <w:sz w:val="18"/>
          <w:szCs w:val="18"/>
          <w:color w:val="auto"/>
        </w:rPr>
        <w:t>The Plan settled the Ohio Securities Class Action, with the lead plaintiff receiving (i) $3 million in cash and (ii) up to an additional $ 7 million, consisting of (a) 25% of all net litigation proceeds received by the Company on Retained Causes of Action (if any); and (b) the lesser of (x) 16% of any distribution made by the Company on account of Foxconn’s preferred stock liquidation preference, and (y) $5 million, on behalf of the Ohio Settlement Class (as defined in the Plan).</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Derivative Litigation</w:t>
      </w:r>
    </w:p>
    <w:p>
      <w:pPr>
        <w:spacing w:after="0" w:line="169"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Four related stockholder derivative lawsuits were filed against certain of the Company’s officers and directors, former DiamondPeak directors, and against the Company as a nominal defendant between April 28, 2021 and July 9, 2021 in the U.S. District Court for the District of Delaware (Cohen, et al. v. Burns, et al.; Kelley, et al. v. Burns, et al.; Patterson, et al. v. Burns, et al.; and Sarabia v. Burns, et al.). The derivative actions in the District Court of Delaware have been consolidated. On August 27, 2021, plaintiffs filed a consolidated amended complaint, asserting violations of Section 10(b), Section 14(a), Section 20(a) and Section 21D of the Exchange Act and Rule 10b-5 thereunder, breach of fiduciary duties, insider selling, and unjust enrichment, all relating to vehicle pre-orders, production timeline, and the merger with DiamondPeak. On October 11, 2021, defendants filed a motion to stay this consolidated derivative action pending resolution of the motion to dismiss in the consolidated securities class action. On March 7, 2023, the court granted in part defendants’ motion to stay, staying the action until the resolution of the motion to dismiss in the consolidated securities class action, but requiring the parties to submit a status report if the motion to dismiss was not resolved by March 3, 2023. The court further determined to dismiss without a motion, on the grounds that the claim was premature, plaintiffs’ claim for contribution for violations of Sections 10(b) and 21D of the Exchange</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99"/>
        <w:spacing w:after="0" w:line="237" w:lineRule="auto"/>
        <w:rPr>
          <w:sz w:val="20"/>
          <w:szCs w:val="20"/>
          <w:color w:val="auto"/>
        </w:rPr>
      </w:pPr>
      <w:r>
        <w:rPr>
          <w:rFonts w:ascii="Arial" w:cs="Arial" w:eastAsia="Arial" w:hAnsi="Arial"/>
          <w:sz w:val="18"/>
          <w:szCs w:val="18"/>
          <w:color w:val="auto"/>
        </w:rPr>
        <w:t>Act without prejudice. The parties filed a joint status report as required because the motion to dismiss in the consolidated securities class action was not resolved as of March 3, 2023. The parties filed additional court-ordered joint status reports on October 28, 2022, January 6, 2023 and April 3, 2023. On April 4, 2023, the Court ordered the parties to submit a letter brief addressing whether the Court should lift the stay. On April 14, 2023, the parties submitted a joint letter requesting that the Court not lift the stay. On April 17, 2023, the court lifted the stay and ordered the parties to meet and confer by May 8, 2023 and submit a proposed case-management plan. On May 9, 2023, the court reinstated the stay and ordered the parties to advise the court of any developments in the consolidated securities class action or material changes to Lordstown’s condition. The Company filed a suggestion of bankruptcy on June 27, 2023, which notified the court of the filing of the Chapter 11 Cases and resulting automatic stay. The court entered an order acknowledging the effect of the automatic stay on June 28, 2023.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6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Another related stockholder derivative lawsuit was filed in U.S. District Court for the Northern District of Ohio on June 30, 2021 (Thai v. Burns, et al.), asserting violations of Section 10(b), Section 14(a), Section 20(a) and Section 21D of the Exchange Act and Rule 10b-5 thereunder, breach of fiduciary duties, unjust enrichment, abuse of control, gross mismanagement, and waste, based on similar facts as the consolidated derivative action in the District Court of Delaware. On October 21, 2021, the court in the Northern District of Ohio derivative action entered a stipulated stay of the action and scheduling order relating to defendants’ anticipated motion to dismiss and/or subsequent motion to stay that is similarly conditioned on the resolution of the motion to dismiss in the consolidated securities class action. The Company filed a suggestion of bankruptcy on June 28, 2023, and filed an amended suggestion of bankruptcy on July 19, 2023,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80" w:lineRule="exact"/>
        <w:rPr>
          <w:sz w:val="20"/>
          <w:szCs w:val="20"/>
          <w:color w:val="auto"/>
        </w:rPr>
      </w:pPr>
    </w:p>
    <w:p>
      <w:pPr>
        <w:ind w:left="60" w:right="59"/>
        <w:spacing w:after="0" w:line="237" w:lineRule="auto"/>
        <w:rPr>
          <w:sz w:val="20"/>
          <w:szCs w:val="20"/>
          <w:color w:val="auto"/>
        </w:rPr>
      </w:pPr>
      <w:r>
        <w:rPr>
          <w:rFonts w:ascii="Arial" w:cs="Arial" w:eastAsia="Arial" w:hAnsi="Arial"/>
          <w:sz w:val="18"/>
          <w:szCs w:val="18"/>
          <w:color w:val="auto"/>
        </w:rPr>
        <w:t>Another related stockholder derivative lawsuit was filed in the Delaware Court of Chancery on December 2, 2021 (Cormier v. Burns, et al. (C.A. No. 2021-1049)), asserting breach of fiduciary duties, insider selling, and unjust enrichment, based on similar facts as the federal derivative actions. An additional related stockholder derivative lawsuit was filed in the Delaware Court of Chancery on February 18, 2023 (Jackson v. Burns, et al. (C.A. No. 2023-0164)), also asserting breach of fiduciary duties, unjust enrichment, and insider selling, based on similar facts as the federal derivative actions. On April 19, 2023, the parties in Cormier and Jackson filed a stipulation and proposed order consolidating the two actions, staying the litigation until the resolution of the motion to dismiss in the consolidated securities class action and appointing Schubert Jonckheer &amp; Kolbe LLP and Lifshitz Law PLLC as Co-Lead Counsel. On May 10, 2023, the court granted the parties’ proposed stipulation and order to consolidate the actions, and to stay the consolidated action pending the resolution of the motion to dismiss in the consolidated securities class action. While the action remains stayed, on June 24, 2023, the plaintiffs filed a consolidated complaint asserting similar claims, and substituting a new plaintiff (Ed Lomont) for Cormier, who no longer appears to be a named plaintiff in the consolidated action. On June 27, 2023, the Company filed a suggestion of bankruptcy, which notified the court of the filing of the Chapter 11 Cases and resulting automatic stay. An independent committee of directors evaluated the derivative claims with the assistance and advice of special litigation counsel to make a recommendation as to the disposition of such claims. Ultimately, such claims were retained by the Company and not released under the Plan. The proceedings are subject to uncertainties inherent in the litigation process.</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DiamondPeak Delaware Class Action Litigation</w:t>
      </w:r>
    </w:p>
    <w:p>
      <w:pPr>
        <w:spacing w:after="0" w:line="169"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Two putative class action lawsuits were filed against former DiamondPeak directors and DiamondPeak Sponsor LLC on December 8 and 13, 2021 in the Delaware Court of Chancery (</w:t>
      </w:r>
      <w:r>
        <w:rPr>
          <w:rFonts w:ascii="Arial" w:cs="Arial" w:eastAsia="Arial" w:hAnsi="Arial"/>
          <w:sz w:val="18"/>
          <w:szCs w:val="18"/>
          <w:i w:val="1"/>
          <w:iCs w:val="1"/>
          <w:color w:val="auto"/>
        </w:rPr>
        <w:t>Hebert v. Hamamoto, et al.</w:t>
      </w:r>
      <w:r>
        <w:rPr>
          <w:rFonts w:ascii="Arial" w:cs="Arial" w:eastAsia="Arial" w:hAnsi="Arial"/>
          <w:sz w:val="18"/>
          <w:szCs w:val="18"/>
          <w:color w:val="auto"/>
        </w:rPr>
        <w:t xml:space="preserve"> (C.A. No. 2021-1066); and </w:t>
      </w:r>
      <w:r>
        <w:rPr>
          <w:rFonts w:ascii="Arial" w:cs="Arial" w:eastAsia="Arial" w:hAnsi="Arial"/>
          <w:sz w:val="18"/>
          <w:szCs w:val="18"/>
          <w:i w:val="1"/>
          <w:iCs w:val="1"/>
          <w:color w:val="auto"/>
        </w:rPr>
        <w:t>Amin v Hamamoto, et al.</w:t>
      </w:r>
      <w:r>
        <w:rPr>
          <w:rFonts w:ascii="Arial" w:cs="Arial" w:eastAsia="Arial" w:hAnsi="Arial"/>
          <w:sz w:val="18"/>
          <w:szCs w:val="18"/>
          <w:color w:val="auto"/>
        </w:rPr>
        <w:t xml:space="preserve"> (C.A. No. 2021-1085)) (collectively, the “Delaware Class Action Litigation”). The plaintiffs purport to represent a class of investors in DiamondPeak and assert breach</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50" w:lineRule="auto"/>
        <w:rPr>
          <w:sz w:val="20"/>
          <w:szCs w:val="20"/>
          <w:color w:val="auto"/>
        </w:rPr>
      </w:pPr>
      <w:r>
        <w:rPr>
          <w:rFonts w:ascii="Arial" w:cs="Arial" w:eastAsia="Arial" w:hAnsi="Arial"/>
          <w:sz w:val="17"/>
          <w:szCs w:val="17"/>
          <w:color w:val="auto"/>
        </w:rPr>
        <w:t>of fiduciary duty claims based on allegations that the defendants made or failed to prevent alleged misrepresentations regarding vehicle pre-orders and production timeline, and that but for those allegedly false and misleading disclosures, the plaintiffs would have exercised a right to redeem their shares prior to the de-SPAC transaction. On February 9, 2023, the parties filed a stipulation and proposed order consolidating the two putative class action lawsuits, appointing Hebert and Amin as co-lead plaintiffs, appointing Bernstein Litowitz Berger &amp; Grossmann LLP and Pomerantz LLP as co-lead counsel and setting a briefing schedule for the motions to dismiss and motions to stay. The motions to stay were fully briefed as of February 23, 2023 and the court held oral argument on February 28, 2023. On March 7, 2023, the court denied the motion to stay. On March 10, 2023, defendants filed their brief in support of their motion to dismiss. The motion to dismiss was fully briefed on April 27, 2023, and was scheduled for oral argument on May 10, 2023. On May 6, 2023, defendants withdrew the motion to dismiss without prejudice. On July 22, 2023, co-lead plaintiffs filed an amended class action complaint asserting similar claims. Defendants filed a motion to dismiss the amended class action complaint on October 14, 2023. Plaintiffs’ answering brief and Defendants’ reply brief were due on November</w:t>
      </w:r>
    </w:p>
    <w:p>
      <w:pPr>
        <w:spacing w:after="0" w:line="3" w:lineRule="exact"/>
        <w:rPr>
          <w:sz w:val="20"/>
          <w:szCs w:val="20"/>
          <w:color w:val="auto"/>
        </w:rPr>
      </w:pPr>
    </w:p>
    <w:p>
      <w:pPr>
        <w:ind w:left="60" w:right="219"/>
        <w:spacing w:after="0" w:line="238" w:lineRule="auto"/>
        <w:rPr>
          <w:sz w:val="20"/>
          <w:szCs w:val="20"/>
          <w:color w:val="auto"/>
        </w:rPr>
      </w:pPr>
      <w:r>
        <w:rPr>
          <w:rFonts w:ascii="Arial" w:cs="Arial" w:eastAsia="Arial" w:hAnsi="Arial"/>
          <w:sz w:val="18"/>
          <w:szCs w:val="18"/>
          <w:color w:val="auto"/>
        </w:rPr>
        <w:t>18 and December 9, 2023, respectively. Oral argument on the motion to dismiss was scheduled for January 6, 2023. On January 5, 2023, the defendants withdrew their motion to dismiss. On February 2, 2023, the court issued a case scheduling order setting forth pre-trial deadlines and a date for trial in March 2024. On February 3, 2023, defendants filed their answer to plaintiffs’ amended class action complaint. On February 7, 2023, plaintiffs served the Company, as a non-party, with a subpoena for certain information, which the Company responded to on February 21, 2023.</w:t>
      </w:r>
    </w:p>
    <w:p>
      <w:pPr>
        <w:spacing w:after="0" w:line="154"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 xml:space="preserve">On June 9, 2023, the court granted in part and denied in part the plaintiffs’ motion to compel regarding the appropriate scope of the Company’s response to the subpoena. On July 5, 2023, in the Chapter 11 Cases, the Company filed (i) an adversary complaint seeking injunctive relief to extend the automatic stay to the plaintiffs in the Delaware Class Action Litigation, initiating the adversary proceeding captioned </w:t>
      </w:r>
      <w:r>
        <w:rPr>
          <w:rFonts w:ascii="Arial" w:cs="Arial" w:eastAsia="Arial" w:hAnsi="Arial"/>
          <w:sz w:val="18"/>
          <w:szCs w:val="18"/>
          <w:i w:val="1"/>
          <w:iCs w:val="1"/>
          <w:color w:val="auto"/>
        </w:rPr>
        <w:t>Lordstown Motors Corp. v.</w:t>
      </w:r>
      <w:r>
        <w:rPr>
          <w:rFonts w:ascii="Arial" w:cs="Arial" w:eastAsia="Arial" w:hAnsi="Arial"/>
          <w:sz w:val="18"/>
          <w:szCs w:val="18"/>
          <w:color w:val="auto"/>
        </w:rPr>
        <w:t xml:space="preserve"> </w:t>
      </w:r>
      <w:r>
        <w:rPr>
          <w:rFonts w:ascii="Arial" w:cs="Arial" w:eastAsia="Arial" w:hAnsi="Arial"/>
          <w:sz w:val="18"/>
          <w:szCs w:val="18"/>
          <w:i w:val="1"/>
          <w:iCs w:val="1"/>
          <w:color w:val="auto"/>
        </w:rPr>
        <w:t>Amin</w:t>
      </w:r>
      <w:r>
        <w:rPr>
          <w:rFonts w:ascii="Arial" w:cs="Arial" w:eastAsia="Arial" w:hAnsi="Arial"/>
          <w:sz w:val="18"/>
          <w:szCs w:val="18"/>
          <w:color w:val="auto"/>
        </w:rPr>
        <w:t>, Adv. Proc. No. 23-50428 (Bankr. D. Del.) and (ii) a motion and brief in support thereof, seeking a</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preliminary injunction extending the automatic stay to the Delaware Class Action Litigation. On August 3, 2023, the Bankruptcy Court denied the Company’s preliminary injunction motion. On July 21, 2023, plaintiffs filed a motion for class certification in the Delaware Class Action Litigation. The parties have advised the Company that they have reached an agreement to resolve this matter, and the former DiamondPeak directors are seeking indemnification from the Company with respect to a portion of the settlement amount. The Company believes it has defenses to such indemnification claims, including that such indemnification claims are subject to subordination pursuant to applicable law, and, if allowed, should receive the treatment set forth in Article III B.8 of the Plan. The proceedings remain subject to uncertainties inherent in the litigation process.</w:t>
      </w:r>
    </w:p>
    <w:p>
      <w:pPr>
        <w:spacing w:after="0" w:line="140" w:lineRule="exact"/>
        <w:rPr>
          <w:sz w:val="20"/>
          <w:szCs w:val="20"/>
          <w:color w:val="auto"/>
        </w:rPr>
      </w:pPr>
    </w:p>
    <w:p>
      <w:pPr>
        <w:jc w:val="both"/>
        <w:ind w:left="60" w:right="399"/>
        <w:spacing w:after="0" w:line="253" w:lineRule="auto"/>
        <w:rPr>
          <w:sz w:val="20"/>
          <w:szCs w:val="20"/>
          <w:color w:val="auto"/>
        </w:rPr>
      </w:pPr>
      <w:r>
        <w:rPr>
          <w:rFonts w:ascii="Arial" w:cs="Arial" w:eastAsia="Arial" w:hAnsi="Arial"/>
          <w:sz w:val="18"/>
          <w:szCs w:val="18"/>
          <w:color w:val="auto"/>
        </w:rPr>
        <w:t>Subsequent to June 30, 2024, settlement discussions have progressed and the Company believes that it is probable that an agreement will be reached with the former DiamondPeak directors, pursuant to which such directors’ claims against the Company will be settled.</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SEC Claim</w:t>
      </w:r>
    </w:p>
    <w:p>
      <w:pPr>
        <w:spacing w:after="0" w:line="183"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The Company received two subpoenas from the SEC for the production of documents and information, including relating to the merger between DiamondPeak and Legacy Lordstown and pre-orders of vehicles, and the Company was informed by the U.S. Attorney’s Office for the Southern District of New York that it is investigating these matters. The Company cooperated, and will continue to cooperate, with these and any other regulatory or governmental investigations and inquiries. Ultimately, the SEC filed a claim against the Company for $45.0 million (the “SEC Claim”). The Company settled the SEC Claim by (i) settling the Ohio Securities Class Action and (ii) making an offer of settlement to the SEC, which was approved by the SEC on February 29, 2024. Upon the Company’s emergence from bankruptcy, the SEC Claim was deemed withdrawn pursuant to the terms of the offer of settlement and the Plan. See the section in this Note 8 titled “Ohio Securities Class Action” for additional information regarding the Company’s continuing contingent obligations related to the Ohio Securities Class Action settlement. No amounts attributable to the Company’s settlement of the SEC Claim were paid or are payable to the SEC.</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Indemnification Obligations</w:t>
      </w:r>
    </w:p>
    <w:p>
      <w:pPr>
        <w:spacing w:after="0" w:line="183"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color w:val="auto"/>
        </w:rPr>
        <w:t>The Company may have potential indemnification obligations with respect to the current and former directors named in the above-referenced actions, which obligations may be significant and may not be covered by the Company’s applicable directors and officers insurance. The Company believes it has defenses to certain of these potential indemnification obligations, including that such claims for indemnification are subject to subordination pursuant to applicable law, and, if allowed, should receive the treatment set forth in Article III.B.8 of the Plan.</w:t>
      </w:r>
    </w:p>
    <w:p>
      <w:pPr>
        <w:spacing w:after="0" w:line="22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Transactions</w:t>
      </w:r>
    </w:p>
    <w:p>
      <w:pPr>
        <w:spacing w:after="0" w:line="250" w:lineRule="exact"/>
        <w:rPr>
          <w:sz w:val="20"/>
          <w:szCs w:val="20"/>
          <w:color w:val="auto"/>
        </w:rPr>
      </w:pPr>
    </w:p>
    <w:p>
      <w:pPr>
        <w:ind w:left="60" w:right="179"/>
        <w:spacing w:after="0" w:line="239" w:lineRule="auto"/>
        <w:rPr>
          <w:sz w:val="20"/>
          <w:szCs w:val="20"/>
          <w:color w:val="auto"/>
        </w:rPr>
      </w:pPr>
      <w:r>
        <w:rPr>
          <w:rFonts w:ascii="Arial" w:cs="Arial" w:eastAsia="Arial" w:hAnsi="Arial"/>
          <w:sz w:val="18"/>
          <w:szCs w:val="18"/>
          <w:color w:val="auto"/>
        </w:rPr>
        <w:t>The Company entered into a series of transactions with affiliates of Foxconn, beginning with the Agreement in Principle that was announced on September 30, 2021, pursuant to which the Company entered into definitive agreements to sell our manufacturing facility in Lordstown, Ohio under an asset purchase agreement (the “Foxconn APA”) and outsource manufacturing of the Endurance to Foxconn under a contract manufacturing agreement (the “CMA”). On November 7, 2022, the Company entered into an investment agreement with Foxconn under which Foxconn agreed to make additional equity investments in the Company (the “Investment Agreement”). The Investment Agreement superseded and replaced an earlier joint venture agreement. The Foxconn APA, the CMA and the Investment Agreement together are herein referred to as the “Foxconn Transactions.”</w:t>
      </w:r>
    </w:p>
    <w:p>
      <w:pPr>
        <w:spacing w:after="0" w:line="224"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On June 27, 2023, the Company commenced the Foxconn Litigation in the Bankruptcy Court seeking relief for breaches of the Investment Agreement, the Foxconn APA and the CMA and fraudulent and tortious actions that the Company believes were committed by Foxconn. See the following section and Note 1 – Description of Business – Foxconn Litigation for additional information. The Investment Agreement and the CMA were rejected pursuant to the Plan upon the Company’s emergence from bankruptcy. The Foxconn APA transaction was consummated before the Chapter 11 Cases.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Foxconn Litigation</w:t>
      </w:r>
    </w:p>
    <w:p>
      <w:pPr>
        <w:spacing w:after="0" w:line="250"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June 27, 2023, the Company commenced the Foxconn Litigation in the Bankruptcy Court seeking relief for breaches of the Investment Agreement and other agreements and fraudulent and tortious actions that the Company believes were committed by Foxconn, which have caused substantial harm to our operations and prospects and significant damages. On September 29, 2023, Foxconn filed a motion to dismiss all counts of the Foxconn Litigation and brief in support of the same (the “Foxconn Adversary Motion to Dismiss”), asserting that all of the Company’s claims are subject to binding arbitration provisions and that the Company has failed to state a claim for relief.</w:t>
      </w:r>
    </w:p>
    <w:p>
      <w:pPr>
        <w:spacing w:after="0" w:line="225"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On November 6, 2023, the Company filed an opposition to Foxconn’s Adversary Motion to Dismiss. Subsequently, Foxconn filed a reply in support of the Foxconn Adversary Motion to Dismiss on November 30, 2023.</w:t>
      </w:r>
    </w:p>
    <w:p>
      <w:pPr>
        <w:spacing w:after="0" w:line="209" w:lineRule="exact"/>
        <w:rPr>
          <w:sz w:val="20"/>
          <w:szCs w:val="20"/>
          <w:color w:val="auto"/>
        </w:rPr>
      </w:pPr>
    </w:p>
    <w:p>
      <w:pPr>
        <w:ind w:left="60" w:right="159"/>
        <w:spacing w:after="0" w:line="244" w:lineRule="auto"/>
        <w:rPr>
          <w:sz w:val="20"/>
          <w:szCs w:val="20"/>
          <w:color w:val="auto"/>
        </w:rPr>
      </w:pPr>
      <w:r>
        <w:rPr>
          <w:rFonts w:ascii="Arial" w:cs="Arial" w:eastAsia="Arial" w:hAnsi="Arial"/>
          <w:sz w:val="18"/>
          <w:szCs w:val="18"/>
          <w:color w:val="auto"/>
        </w:rPr>
        <w:t>On August 1, 2024, the Bankruptcy Court entered an opinion and order partially denying and partially granting the Foxconn Adversary Motion to Dismiss. Nine of the Company’s claims survived the motion to dismiss on the grounds that the Company pled viable claims against Foxconn and the claims were not subject to mandatory arbitration. The Court also dismissed two of the Company’s claims. The Company intends to vigorously pursue this litigation.</w:t>
      </w:r>
    </w:p>
    <w:p>
      <w:pPr>
        <w:spacing w:after="0" w:line="21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The Post-Petition Securities Action</w:t>
      </w:r>
    </w:p>
    <w:p>
      <w:pPr>
        <w:spacing w:after="0" w:line="250" w:lineRule="exact"/>
        <w:rPr>
          <w:sz w:val="20"/>
          <w:szCs w:val="20"/>
          <w:color w:val="auto"/>
        </w:rPr>
      </w:pPr>
    </w:p>
    <w:p>
      <w:pPr>
        <w:ind w:left="60" w:right="279"/>
        <w:spacing w:after="0" w:line="253" w:lineRule="auto"/>
        <w:rPr>
          <w:sz w:val="20"/>
          <w:szCs w:val="20"/>
          <w:color w:val="auto"/>
        </w:rPr>
      </w:pPr>
      <w:r>
        <w:rPr>
          <w:rFonts w:ascii="Arial" w:cs="Arial" w:eastAsia="Arial" w:hAnsi="Arial"/>
          <w:sz w:val="18"/>
          <w:szCs w:val="18"/>
          <w:color w:val="auto"/>
        </w:rPr>
        <w:t>On July 26, 2023, a putative class action lawsuit was filed in the U.S. District Court for the Northern District of Ohio by Bandol Lim (“Plaintiff Lim”), individually and on behalf of other stockholders asserting violations of Section 10(b), Section 20(a) of the Exchange Act and Rule 10b-5 thereunder relating to the Company’s</w:t>
      </w:r>
    </w:p>
    <w:p>
      <w:pPr>
        <w:sectPr>
          <w:pgSz w:w="11900" w:h="16838" w:orient="portrait"/>
          <w:cols w:equalWidth="0" w:num="1">
            <w:col w:w="9019"/>
          </w:cols>
          <w:pgMar w:left="1440" w:top="512" w:right="1440" w:bottom="1440" w:gutter="0" w:footer="0" w:header="0"/>
        </w:sect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79"/>
        <w:spacing w:after="0" w:line="237" w:lineRule="auto"/>
        <w:rPr>
          <w:sz w:val="20"/>
          <w:szCs w:val="20"/>
          <w:color w:val="auto"/>
        </w:rPr>
      </w:pPr>
      <w:r>
        <w:rPr>
          <w:rFonts w:ascii="Arial" w:cs="Arial" w:eastAsia="Arial" w:hAnsi="Arial"/>
          <w:sz w:val="18"/>
          <w:szCs w:val="18"/>
          <w:color w:val="auto"/>
        </w:rPr>
        <w:t>disclosure regarding its relationship with Foxconn and the Foxconn Transactions (the “Post-Petition Securities Action”). The lawsuit names Edward Hightower, Adam Kroll, and Daniel Ninivaggi as Defendants (“Defendants”) in their capacities as Company officers and/or directors. Defendants dispute the allegations and intend to vigorously defend against the suit. None of the Debtors is named as a Defendant in the Post-Petition Securities Action. Plaintiff Lim and RIDE Investor Group have each filed motions for appointment as lead plaintiff in the Post-Petition Securities Action and those motions remain pending as of the date of this filing. Separately, each of the members of the RIDE Investor Group filed proofs of claim (the “RIDE Proofs of Claims”) against the Company, purportedly on behalf of themselves and the putative class in the Post-Petition Securities Action, in an unliquidated amount. The RIDE Investor Group has not sought authority from the Bankruptcy Court to file its purported class proofs of claim. The Debtors dispute, each of the RIDE Proofs of Claim, and further dispute that the members of the Ride Investment Group had authority to file proofs of claim on behalf of the putative class in the Post-Petition Securities Action. Messrs. Hightower, Kroll, and Ninivaggi contend that they are both insureds under the directors’ and officers’ insurance policies of the Debtors that are currently in effect and have been granted relief from the automatic stay with respect to the Company to seek advancement and payment of expenses relating to the Post-Petition Securities Action under such policies. The Plan constituted an objection to each of the RIDE Proofs of Claim. To the extent any of the RIDE Claims are Allowed, the Plan provides for the treatment of Claims filed against the Debtors on the same or similar basis as those set forth in the Post-Petition Securities Action to limit recoveries (if any) from the Debtors on account of such Claims to available insurance. The Debtors dispute the merits of any such claims.</w:t>
      </w:r>
    </w:p>
    <w:p>
      <w:pPr>
        <w:spacing w:after="0" w:line="23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NHTSA Matters</w:t>
      </w:r>
    </w:p>
    <w:p>
      <w:pPr>
        <w:spacing w:after="0" w:line="25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color w:val="auto"/>
        </w:rPr>
        <w:t>The Company’s obligations under the Safety Act administered by NHTSA for the vehicles it has manufactured and sold continued in force during the pendency of and following the Chapter 11 Cases. During the Chapter 11 Cases, the Company’s obligations were treated as a claim of the United States government against the Company. The Plan did not discharge the Company from claims arising after emergence from bankruptcy, nor did it preclude or enjoin the enforcement of any police or regulatory power. The Company sought to repurchase all vehicles that remain in the possession of our customers (other than LAS Capital or its affiliates); however, it repurchased 35 vehicles, with 3 vehicles still in use. Accordingly, the Company cannot predict the extent of the liability that may arise from the Safety Act obligations for vehicles the Company has already manufactured and sold, or any claims that may be asserted by NHTSA.</w:t>
      </w:r>
    </w:p>
    <w:p>
      <w:pPr>
        <w:spacing w:after="0" w:line="14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NOTE 9 — RELATED PARTY TRANSACTIONS</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Under the Investment Agreement, Foxconn made additional equity investments in the Company, whereby it became a related party under the Company’s Related Party Transaction Policy as a 5% or more beneficial owner of the Company’s Class A common stock. For the three and six months ended June 30, 2023, the Company paid Foxconn approximately $0.3 million, primarily related to payments under the CMA and other manufacturing expenses. For the three and six months ended June 30, 2024, the Company made no payments, and had no amounts payable, to Foxconn.</w:t>
      </w:r>
    </w:p>
    <w:p>
      <w:pPr>
        <w:spacing w:after="0" w:line="152" w:lineRule="exact"/>
        <w:rPr>
          <w:sz w:val="20"/>
          <w:szCs w:val="20"/>
          <w:color w:val="auto"/>
        </w:rPr>
      </w:pPr>
    </w:p>
    <w:p>
      <w:pPr>
        <w:ind w:left="60" w:right="139"/>
        <w:spacing w:after="0" w:line="254" w:lineRule="auto"/>
        <w:rPr>
          <w:sz w:val="20"/>
          <w:szCs w:val="20"/>
          <w:color w:val="auto"/>
        </w:rPr>
      </w:pPr>
      <w:r>
        <w:rPr>
          <w:rFonts w:ascii="Arial" w:cs="Arial" w:eastAsia="Arial" w:hAnsi="Arial"/>
          <w:sz w:val="17"/>
          <w:szCs w:val="17"/>
          <w:color w:val="auto"/>
        </w:rPr>
        <w:t>William Gallagher, the Company’s Chief Executive Officer, is a principal of M3 Partners, LP (“M3 Partners”). M3 Partners served as the Equity Committee’s financial consultant during the bankruptcy proceedings. Upon emergence from bankruptcy, the Company engaged M3 Partners to provide executive management and support services pursuant to the terms of an engagement agreement (the “Engagement Agreement”). Mr. Gallagher has been, and will remain, employed by M3 Partners and will provide his services pursuant to the Engagement Agreement. Pursuant to the Engagement Agreement, M3 Partners’ fees are calculated on an hourly basis. The Company incurred approximately $0.5 million and $0.6 million in fees payable to M3 Partners under the Engagement Agreement for the three and six months ended June 30, 2024, respectively, which is included in selling, general, and administrative expenses within the condensed consolidated statements of operations. For the three and six months ended June 30, 2023, Mr. Gallagher was not a related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11" w:lineRule="exact"/>
        <w:rPr>
          <w:sz w:val="20"/>
          <w:szCs w:val="20"/>
          <w:color w:val="auto"/>
        </w:rPr>
      </w:pPr>
    </w:p>
    <w:p>
      <w:pPr>
        <w:ind w:left="60" w:right="119"/>
        <w:spacing w:after="0"/>
        <w:rPr>
          <w:sz w:val="20"/>
          <w:szCs w:val="20"/>
          <w:color w:val="auto"/>
        </w:rPr>
      </w:pPr>
      <w:r>
        <w:rPr>
          <w:rFonts w:ascii="Arial" w:cs="Arial" w:eastAsia="Arial" w:hAnsi="Arial"/>
          <w:sz w:val="18"/>
          <w:szCs w:val="18"/>
          <w:i w:val="1"/>
          <w:iCs w:val="1"/>
          <w:color w:val="auto"/>
        </w:rPr>
        <w:t>This Management's Discussion and Analysis of Financial Condition and Results of Operations (“MD&amp;A”) should be read in conjunction with the accompanying audited consolidated financial statements and notes. Forward-looking statements in this MD&amp;A are not guarantees of future performance and may involve risks and uncertainties that could cause actual results to differ materially from those projected. Refer to the "Cautionary Note Regarding Forward-Looking Statements" and Part I Item 1A. Risk Factors for a discussion of these risks and uncertainties, including without limitation, with respect to the Chapter 11 Cases, our emergence from bankruptcy and our liquidity, capital resources and financial condition.</w:t>
      </w:r>
    </w:p>
    <w:p>
      <w:pPr>
        <w:spacing w:after="0" w:line="142"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color w:val="auto"/>
        </w:rPr>
        <w:t>As previously disclosed, on June 27, 2023, Lordstown Motors Corp. and its subsidiaries commenced voluntary proceedings under chapter 11 (the “Chapter 11 Cases”) of the U.S. Bankruptcy Code in the U.S. Bankruptcy Court for the District of Delaware (the “Bankruptcy Court”). On September 1, 2023, we filed with the Bankruptcy Court a plan of reorganization and related disclosure statement, which were amended and modified on each of October 24, 2023, October 29, 2023, and October 30, 2023 (as amended, the “Proposed Plan”). On November 1, 2023, the Bankruptcy Court entered the Disclosure Statement Order and, thereafter, we solicited votes from their creditors and shareholders for approval of the Proposed Plan. On January 31, 2024, we filed the as-approved Proposed Plan with the Bankruptcy Court. On March 5, 2024, the Bankruptcy Court entered a confirmation order confirming the Proposed Plan (as confirmed, the “Plan”). Following the entry of the confirmation order and all conditions to effectiveness of the Plan being satisfied, we emerged from bankruptcy on March 14, 2024 under the name “Nu Ride Inc.”</w:t>
      </w:r>
    </w:p>
    <w:p>
      <w:pPr>
        <w:spacing w:after="0" w:line="145" w:lineRule="exact"/>
        <w:rPr>
          <w:sz w:val="20"/>
          <w:szCs w:val="20"/>
          <w:color w:val="auto"/>
        </w:rPr>
      </w:pPr>
    </w:p>
    <w:p>
      <w:pPr>
        <w:ind w:left="60" w:right="99"/>
        <w:spacing w:after="0" w:line="238" w:lineRule="auto"/>
        <w:rPr>
          <w:sz w:val="20"/>
          <w:szCs w:val="20"/>
          <w:color w:val="auto"/>
        </w:rPr>
      </w:pPr>
      <w:r>
        <w:rPr>
          <w:rFonts w:ascii="Arial" w:cs="Arial" w:eastAsia="Arial" w:hAnsi="Arial"/>
          <w:sz w:val="18"/>
          <w:szCs w:val="18"/>
          <w:color w:val="auto"/>
        </w:rPr>
        <w:t>The Bankruptcy Court established October 10, 2023, as the general bar date for all creditors (except governmental entities) to file their proofs of claim or interest, and December 26, 2023, as the bar date for all governmental entities, which was extended until January 5, 2024, in the case of the SEC. In addition, the deadline for parties to file proofs of claim arising from the Debtors’ rejection of an executory contract or unexpired lease is the later of (a) the general bar date or the governmental bar date, as applicable, and (b) 5:00 p.m. (ET) on the date that is 30 days after the service of an order of the Bankruptcy Court authorizing the Debtors’ rejection of the applicable executory contract or unexpired lease. Finally, the deadline for parties to file administrative claims against the Debtors was April 15, 2024. Claimants may have the ability to amend their proofs of claim that could significantly increase the total claims, beyond our estimates or reserve. Furthermore, proofs of claim have been filed asserting unliquidated damages or claims in respect of certain indemnifications or otherwise, that we may not be able to estimate, or may be materially more than we estimate.</w:t>
      </w:r>
    </w:p>
    <w:p>
      <w:pPr>
        <w:spacing w:after="0" w:line="159"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Upon emergence: (i) the Foxconn Litigation and other retained causes of action of the Company were preserved and may be prosecuted; (ii) claims filed in the bankruptcy will continue to be resolved pursuant to the claims resolution process with allowed claims being treated in accordance with the Plan; (iii) distributions to holders of allowed claims and allowed Interests will be made subject to the provisions of the Plan of Reorganization, and (iv) we will continue to conduct business and may enter into transactions, including business combinations, or otherwise, that could permit the Company to create value, including through use of the NOLs.</w:t>
      </w:r>
    </w:p>
    <w:p>
      <w:pPr>
        <w:spacing w:after="0" w:line="144" w:lineRule="exact"/>
        <w:rPr>
          <w:sz w:val="20"/>
          <w:szCs w:val="20"/>
          <w:color w:val="auto"/>
        </w:rPr>
      </w:pPr>
    </w:p>
    <w:p>
      <w:pPr>
        <w:ind w:left="60" w:right="379"/>
        <w:spacing w:after="0" w:line="270" w:lineRule="auto"/>
        <w:rPr>
          <w:sz w:val="20"/>
          <w:szCs w:val="20"/>
          <w:color w:val="auto"/>
        </w:rPr>
      </w:pPr>
      <w:r>
        <w:rPr>
          <w:rFonts w:ascii="Arial" w:cs="Arial" w:eastAsia="Arial" w:hAnsi="Arial"/>
          <w:sz w:val="18"/>
          <w:szCs w:val="18"/>
          <w:color w:val="auto"/>
        </w:rPr>
        <w:t>Upon emergence, a new Board of Directors was appointed pursuant to the Plan and all remaining full-time employees, including the Company’s pre-emergence executive officers, were terminated. The Board of Directors oversees and directs the administration of the Company’s operations, in accordance with the Plan. Some of those employees continue to provide services to the Company as consultants. Our Chief Executive Officer, who is the sole executive officer, was elected by the new Board of Directors in accordance with the Plan, as of the date we emerged from bankruptcy.</w:t>
      </w:r>
    </w:p>
    <w:p>
      <w:pPr>
        <w:spacing w:after="0" w:line="142" w:lineRule="exact"/>
        <w:rPr>
          <w:sz w:val="20"/>
          <w:szCs w:val="20"/>
          <w:color w:val="auto"/>
        </w:rPr>
      </w:pPr>
    </w:p>
    <w:p>
      <w:pPr>
        <w:ind w:left="60" w:right="79"/>
        <w:spacing w:after="0" w:line="273" w:lineRule="auto"/>
        <w:rPr>
          <w:sz w:val="20"/>
          <w:szCs w:val="20"/>
          <w:color w:val="auto"/>
        </w:rPr>
      </w:pPr>
      <w:r>
        <w:rPr>
          <w:rFonts w:ascii="Arial" w:cs="Arial" w:eastAsia="Arial" w:hAnsi="Arial"/>
          <w:sz w:val="18"/>
          <w:szCs w:val="18"/>
          <w:color w:val="auto"/>
        </w:rPr>
        <w:t>Our primary operations during the six months ended June 30, 2024 and to date in the third quarter of 2024 have consisted of actions and related expenditures associated with completing the Chapter 11 Cases and emerging from bankruptcy, resolving substantial litigation, claims reconciliation, financial reporting and regulatory compliance. Our assets consist of cash, cash equivalents and restricted cash. Additional potential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59"/>
        <w:spacing w:after="0" w:line="303" w:lineRule="auto"/>
        <w:rPr>
          <w:sz w:val="20"/>
          <w:szCs w:val="20"/>
          <w:color w:val="auto"/>
        </w:rPr>
      </w:pPr>
      <w:r>
        <w:rPr>
          <w:rFonts w:ascii="Arial" w:cs="Arial" w:eastAsia="Arial" w:hAnsi="Arial"/>
          <w:sz w:val="18"/>
          <w:szCs w:val="18"/>
          <w:color w:val="auto"/>
        </w:rPr>
        <w:t>assets, such as the Foxconn Litigation claims, claims the Company may have against other parties, and NOLs, are not reflected in the financial statements.</w:t>
      </w:r>
    </w:p>
    <w:p>
      <w:pPr>
        <w:spacing w:after="0" w:line="112" w:lineRule="exact"/>
        <w:rPr>
          <w:sz w:val="20"/>
          <w:szCs w:val="20"/>
          <w:color w:val="auto"/>
        </w:rPr>
      </w:pPr>
    </w:p>
    <w:p>
      <w:pPr>
        <w:ind w:left="60" w:right="79"/>
        <w:spacing w:after="0" w:line="270" w:lineRule="auto"/>
        <w:rPr>
          <w:sz w:val="20"/>
          <w:szCs w:val="20"/>
          <w:color w:val="auto"/>
        </w:rPr>
      </w:pPr>
      <w:r>
        <w:rPr>
          <w:rFonts w:ascii="Arial" w:cs="Arial" w:eastAsia="Arial" w:hAnsi="Arial"/>
          <w:sz w:val="18"/>
          <w:szCs w:val="18"/>
          <w:color w:val="auto"/>
        </w:rPr>
        <w:t>In light of our emergence from bankruptcy on March 14, 2024, our results for the three and six months ended June 30, 2024, reflect the accounting assumptions and treatment caused by the Chapter 11 Cases and the Plan and may not be representative of our operations and results going forward. See Part I – Item 1A. Risk Factors for further discussion of the risks associated with our emergence from bankruptcy, our liquidity, capital resources and financial condition, and the use of estimates and resulting uncertainty in establishing our presented financial results, among other risks.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three months ended June 30, 2024 and 2023</w:t>
      </w:r>
    </w:p>
    <w:p>
      <w:pPr>
        <w:spacing w:after="0" w:line="262"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5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380" w:type="dxa"/>
            <w:vAlign w:val="bottom"/>
            <w:gridSpan w:val="4"/>
          </w:tcPr>
          <w:p>
            <w:pPr>
              <w:jc w:val="right"/>
              <w:ind w:right="1132"/>
              <w:spacing w:after="0"/>
              <w:rPr>
                <w:sz w:val="20"/>
                <w:szCs w:val="20"/>
                <w:color w:val="auto"/>
              </w:rPr>
            </w:pPr>
            <w:r>
              <w:rPr>
                <w:rFonts w:ascii="Arial" w:cs="Arial" w:eastAsia="Arial" w:hAnsi="Arial"/>
                <w:sz w:val="14"/>
                <w:szCs w:val="14"/>
                <w:color w:val="auto"/>
              </w:rPr>
              <w:t>(in thousands)</w:t>
            </w:r>
          </w:p>
        </w:tc>
      </w:tr>
      <w:tr>
        <w:trPr>
          <w:trHeight w:val="196"/>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7"/>
                <w:szCs w:val="17"/>
                <w:color w:val="auto"/>
              </w:rPr>
            </w:pPr>
          </w:p>
        </w:tc>
        <w:tc>
          <w:tcPr>
            <w:tcW w:w="1540" w:type="dxa"/>
            <w:vAlign w:val="bottom"/>
          </w:tcPr>
          <w:p>
            <w:pPr>
              <w:jc w:val="right"/>
              <w:ind w:right="32"/>
              <w:spacing w:after="0"/>
              <w:rPr>
                <w:sz w:val="20"/>
                <w:szCs w:val="20"/>
                <w:color w:val="auto"/>
              </w:rPr>
            </w:pPr>
            <w:r>
              <w:rPr>
                <w:rFonts w:ascii="Arial" w:cs="Arial" w:eastAsia="Arial" w:hAnsi="Arial"/>
                <w:sz w:val="14"/>
                <w:szCs w:val="14"/>
                <w:b w:val="1"/>
                <w:bCs w:val="1"/>
                <w:color w:val="auto"/>
              </w:rPr>
              <w:t>Three months ended</w:t>
            </w:r>
          </w:p>
        </w:tc>
      </w:tr>
      <w:tr>
        <w:trPr>
          <w:trHeight w:val="245"/>
        </w:trPr>
        <w:tc>
          <w:tcPr>
            <w:tcW w:w="5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2024</w:t>
            </w:r>
          </w:p>
        </w:tc>
        <w:tc>
          <w:tcPr>
            <w:tcW w:w="120" w:type="dxa"/>
            <w:vAlign w:val="bottom"/>
          </w:tcPr>
          <w:p>
            <w:pPr>
              <w:spacing w:after="0"/>
              <w:rPr>
                <w:sz w:val="21"/>
                <w:szCs w:val="21"/>
                <w:color w:val="auto"/>
              </w:rPr>
            </w:pPr>
          </w:p>
        </w:tc>
        <w:tc>
          <w:tcPr>
            <w:tcW w:w="154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shd w:val="clear" w:color="auto" w:fill="CCEEFF"/>
          </w:tcPr>
          <w:p>
            <w:pPr>
              <w:jc w:val="right"/>
              <w:ind w:right="13"/>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2,151</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Cost of sales:</w:t>
            </w:r>
          </w:p>
        </w:tc>
        <w:tc>
          <w:tcPr>
            <w:tcW w:w="120" w:type="dxa"/>
            <w:vAlign w:val="bottom"/>
          </w:tcPr>
          <w:p>
            <w:pPr>
              <w:spacing w:after="0"/>
              <w:rPr>
                <w:sz w:val="17"/>
                <w:szCs w:val="17"/>
                <w:color w:val="auto"/>
              </w:rPr>
            </w:pPr>
          </w:p>
        </w:tc>
        <w:tc>
          <w:tcPr>
            <w:tcW w:w="1720" w:type="dxa"/>
            <w:vAlign w:val="bottom"/>
            <w:gridSpan w:val="2"/>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60,739</w:t>
            </w:r>
          </w:p>
        </w:tc>
      </w:tr>
      <w:tr>
        <w:trPr>
          <w:trHeight w:val="203"/>
        </w:trPr>
        <w:tc>
          <w:tcPr>
            <w:tcW w:w="5400" w:type="dxa"/>
            <w:vAlign w:val="bottom"/>
            <w:shd w:val="clear" w:color="auto" w:fill="CCEEFF"/>
          </w:tcPr>
          <w:p>
            <w:pPr>
              <w:ind w:left="20"/>
              <w:spacing w:after="0" w:line="202" w:lineRule="exact"/>
              <w:rPr>
                <w:sz w:val="20"/>
                <w:szCs w:val="20"/>
                <w:color w:val="auto"/>
              </w:rPr>
            </w:pPr>
            <w:r>
              <w:rPr>
                <w:rFonts w:ascii="Arial" w:cs="Arial" w:eastAsia="Arial" w:hAnsi="Arial"/>
                <w:sz w:val="18"/>
                <w:szCs w:val="18"/>
                <w:color w:val="auto"/>
              </w:rPr>
              <w:t>Operating (income) expense:</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Selling, general and administrative expenses</w:t>
            </w:r>
          </w:p>
        </w:tc>
        <w:tc>
          <w:tcPr>
            <w:tcW w:w="120" w:type="dxa"/>
            <w:vAlign w:val="bottom"/>
          </w:tcPr>
          <w:p>
            <w:pPr>
              <w:spacing w:after="0"/>
              <w:rPr>
                <w:sz w:val="17"/>
                <w:szCs w:val="17"/>
                <w:color w:val="auto"/>
              </w:rPr>
            </w:pPr>
          </w:p>
        </w:tc>
        <w:tc>
          <w:tcPr>
            <w:tcW w:w="1520" w:type="dxa"/>
            <w:vAlign w:val="bottom"/>
          </w:tcPr>
          <w:p>
            <w:pPr>
              <w:jc w:val="right"/>
              <w:spacing w:after="0" w:line="202" w:lineRule="exact"/>
              <w:rPr>
                <w:sz w:val="20"/>
                <w:szCs w:val="20"/>
                <w:color w:val="auto"/>
              </w:rPr>
            </w:pPr>
            <w:r>
              <w:rPr>
                <w:rFonts w:ascii="Arial" w:cs="Arial" w:eastAsia="Arial" w:hAnsi="Arial"/>
                <w:sz w:val="18"/>
                <w:szCs w:val="18"/>
                <w:color w:val="auto"/>
              </w:rPr>
              <w:t>1,482</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57,688</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Research and development expenses</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12,303</w:t>
            </w:r>
          </w:p>
        </w:tc>
      </w:tr>
      <w:tr>
        <w:trPr>
          <w:trHeight w:val="203"/>
        </w:trPr>
        <w:tc>
          <w:tcPr>
            <w:tcW w:w="5400" w:type="dxa"/>
            <w:vAlign w:val="bottom"/>
          </w:tcPr>
          <w:p>
            <w:pPr>
              <w:ind w:left="120"/>
              <w:spacing w:after="0" w:line="202" w:lineRule="exact"/>
              <w:rPr>
                <w:sz w:val="20"/>
                <w:szCs w:val="20"/>
                <w:color w:val="auto"/>
              </w:rPr>
            </w:pPr>
            <w:r>
              <w:rPr>
                <w:rFonts w:ascii="Arial" w:cs="Arial" w:eastAsia="Arial" w:hAnsi="Arial"/>
                <w:sz w:val="18"/>
                <w:szCs w:val="18"/>
                <w:color w:val="auto"/>
              </w:rPr>
              <w:t>Legal settlement and litigation charges (benefit), net</w:t>
            </w:r>
          </w:p>
        </w:tc>
        <w:tc>
          <w:tcPr>
            <w:tcW w:w="120" w:type="dxa"/>
            <w:vAlign w:val="bottom"/>
          </w:tcPr>
          <w:p>
            <w:pPr>
              <w:spacing w:after="0"/>
              <w:rPr>
                <w:sz w:val="17"/>
                <w:szCs w:val="17"/>
                <w:color w:val="auto"/>
              </w:rPr>
            </w:pPr>
          </w:p>
        </w:tc>
        <w:tc>
          <w:tcPr>
            <w:tcW w:w="1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(2,015)</w:t>
            </w:r>
          </w:p>
        </w:tc>
        <w:tc>
          <w:tcPr>
            <w:tcW w:w="120" w:type="dxa"/>
            <w:vAlign w:val="bottom"/>
          </w:tcPr>
          <w:p>
            <w:pPr>
              <w:spacing w:after="0"/>
              <w:rPr>
                <w:sz w:val="17"/>
                <w:szCs w:val="17"/>
                <w:color w:val="auto"/>
              </w:rPr>
            </w:pPr>
          </w:p>
        </w:tc>
        <w:tc>
          <w:tcPr>
            <w:tcW w:w="1540" w:type="dxa"/>
            <w:vAlign w:val="bottom"/>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Impairment of property plant &amp; equipment and intangibles</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25,041</w:t>
            </w:r>
          </w:p>
        </w:tc>
      </w:tr>
      <w:tr>
        <w:trPr>
          <w:trHeight w:val="196"/>
        </w:trPr>
        <w:tc>
          <w:tcPr>
            <w:tcW w:w="54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Total operating (income) expense, net</w:t>
            </w: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(533)</w:t>
            </w:r>
          </w:p>
        </w:tc>
        <w:tc>
          <w:tcPr>
            <w:tcW w:w="2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95,032</w:t>
            </w:r>
          </w:p>
        </w:tc>
      </w:tr>
      <w:tr>
        <w:trPr>
          <w:trHeight w:val="196"/>
        </w:trPr>
        <w:tc>
          <w:tcPr>
            <w:tcW w:w="5400" w:type="dxa"/>
            <w:vAlign w:val="bottom"/>
            <w:shd w:val="clear" w:color="auto" w:fill="CCEEFF"/>
          </w:tcPr>
          <w:p>
            <w:pPr>
              <w:ind w:left="220"/>
              <w:spacing w:after="0" w:line="196" w:lineRule="exact"/>
              <w:rPr>
                <w:sz w:val="20"/>
                <w:szCs w:val="20"/>
                <w:color w:val="auto"/>
              </w:rPr>
            </w:pPr>
            <w:r>
              <w:rPr>
                <w:rFonts w:ascii="Arial" w:cs="Arial" w:eastAsia="Arial" w:hAnsi="Arial"/>
                <w:sz w:val="18"/>
                <w:szCs w:val="18"/>
                <w:color w:val="auto"/>
              </w:rPr>
              <w:t>Income (loss) from operations</w:t>
            </w:r>
          </w:p>
        </w:tc>
        <w:tc>
          <w:tcPr>
            <w:tcW w:w="120" w:type="dxa"/>
            <w:vAlign w:val="bottom"/>
            <w:shd w:val="clear" w:color="auto" w:fill="CCEEFF"/>
          </w:tcPr>
          <w:p>
            <w:pPr>
              <w:spacing w:after="0"/>
              <w:rPr>
                <w:sz w:val="17"/>
                <w:szCs w:val="17"/>
                <w:color w:val="auto"/>
              </w:rPr>
            </w:pPr>
          </w:p>
        </w:tc>
        <w:tc>
          <w:tcPr>
            <w:tcW w:w="1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533</w:t>
            </w: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(153,620)</w:t>
            </w:r>
          </w:p>
        </w:tc>
      </w:tr>
      <w:tr>
        <w:trPr>
          <w:trHeight w:val="203"/>
        </w:trPr>
        <w:tc>
          <w:tcPr>
            <w:tcW w:w="5400" w:type="dxa"/>
            <w:vAlign w:val="bottom"/>
          </w:tcPr>
          <w:p>
            <w:pPr>
              <w:ind w:left="20"/>
              <w:spacing w:after="0" w:line="202" w:lineRule="exact"/>
              <w:rPr>
                <w:sz w:val="20"/>
                <w:szCs w:val="20"/>
                <w:color w:val="auto"/>
              </w:rPr>
            </w:pPr>
            <w:r>
              <w:rPr>
                <w:rFonts w:ascii="Arial" w:cs="Arial" w:eastAsia="Arial" w:hAnsi="Arial"/>
                <w:sz w:val="18"/>
                <w:szCs w:val="18"/>
                <w:color w:val="auto"/>
              </w:rPr>
              <w:t>Other income (expense)</w:t>
            </w:r>
          </w:p>
        </w:tc>
        <w:tc>
          <w:tcPr>
            <w:tcW w:w="1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Loss on sale of assets</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(2,609)</w:t>
            </w:r>
          </w:p>
        </w:tc>
      </w:tr>
      <w:tr>
        <w:trPr>
          <w:trHeight w:val="203"/>
        </w:trPr>
        <w:tc>
          <w:tcPr>
            <w:tcW w:w="5400" w:type="dxa"/>
            <w:vAlign w:val="bottom"/>
          </w:tcPr>
          <w:p>
            <w:pPr>
              <w:ind w:left="220"/>
              <w:spacing w:after="0" w:line="202" w:lineRule="exact"/>
              <w:rPr>
                <w:sz w:val="20"/>
                <w:szCs w:val="20"/>
                <w:color w:val="auto"/>
              </w:rPr>
            </w:pPr>
            <w:r>
              <w:rPr>
                <w:rFonts w:ascii="Arial" w:cs="Arial" w:eastAsia="Arial" w:hAnsi="Arial"/>
                <w:sz w:val="18"/>
                <w:szCs w:val="18"/>
                <w:color w:val="auto"/>
              </w:rPr>
              <w:t>Other (expense) income</w:t>
            </w:r>
          </w:p>
        </w:tc>
        <w:tc>
          <w:tcPr>
            <w:tcW w:w="120" w:type="dxa"/>
            <w:vAlign w:val="bottom"/>
          </w:tcPr>
          <w:p>
            <w:pPr>
              <w:spacing w:after="0"/>
              <w:rPr>
                <w:sz w:val="17"/>
                <w:szCs w:val="17"/>
                <w:color w:val="auto"/>
              </w:rPr>
            </w:pPr>
          </w:p>
        </w:tc>
        <w:tc>
          <w:tcPr>
            <w:tcW w:w="1720" w:type="dxa"/>
            <w:vAlign w:val="bottom"/>
            <w:gridSpan w:val="2"/>
          </w:tcPr>
          <w:p>
            <w:pPr>
              <w:jc w:val="right"/>
              <w:ind w:right="200"/>
              <w:spacing w:after="0" w:line="202" w:lineRule="exact"/>
              <w:rPr>
                <w:sz w:val="20"/>
                <w:szCs w:val="20"/>
                <w:color w:val="auto"/>
              </w:rPr>
            </w:pPr>
            <w:r>
              <w:rPr>
                <w:rFonts w:ascii="Arial" w:cs="Arial" w:eastAsia="Arial" w:hAnsi="Arial"/>
                <w:sz w:val="18"/>
                <w:szCs w:val="18"/>
                <w:color w:val="auto"/>
              </w:rPr>
              <w:t>(65)</w:t>
            </w:r>
          </w:p>
        </w:tc>
        <w:tc>
          <w:tcPr>
            <w:tcW w:w="120" w:type="dxa"/>
            <w:vAlign w:val="bottom"/>
          </w:tcPr>
          <w:p>
            <w:pPr>
              <w:spacing w:after="0"/>
              <w:rPr>
                <w:sz w:val="17"/>
                <w:szCs w:val="17"/>
                <w:color w:val="auto"/>
              </w:rPr>
            </w:pPr>
          </w:p>
        </w:tc>
        <w:tc>
          <w:tcPr>
            <w:tcW w:w="1540" w:type="dxa"/>
            <w:vAlign w:val="bottom"/>
          </w:tcPr>
          <w:p>
            <w:pPr>
              <w:jc w:val="right"/>
              <w:spacing w:after="0" w:line="202" w:lineRule="exact"/>
              <w:rPr>
                <w:sz w:val="20"/>
                <w:szCs w:val="20"/>
                <w:color w:val="auto"/>
              </w:rPr>
            </w:pPr>
            <w:r>
              <w:rPr>
                <w:rFonts w:ascii="Arial" w:cs="Arial" w:eastAsia="Arial" w:hAnsi="Arial"/>
                <w:sz w:val="18"/>
                <w:szCs w:val="18"/>
                <w:color w:val="auto"/>
              </w:rPr>
              <w:t>93</w:t>
            </w: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Investment and interest income</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1,010</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1,645</w:t>
            </w:r>
          </w:p>
        </w:tc>
      </w:tr>
      <w:tr>
        <w:trPr>
          <w:trHeight w:val="196"/>
        </w:trPr>
        <w:tc>
          <w:tcPr>
            <w:tcW w:w="5400" w:type="dxa"/>
            <w:vAlign w:val="bottom"/>
          </w:tcPr>
          <w:p>
            <w:pPr>
              <w:ind w:left="120"/>
              <w:spacing w:after="0" w:line="196" w:lineRule="exact"/>
              <w:rPr>
                <w:sz w:val="20"/>
                <w:szCs w:val="20"/>
                <w:color w:val="auto"/>
              </w:rPr>
            </w:pPr>
            <w:r>
              <w:rPr>
                <w:rFonts w:ascii="Arial" w:cs="Arial" w:eastAsia="Arial" w:hAnsi="Arial"/>
                <w:sz w:val="18"/>
                <w:szCs w:val="18"/>
                <w:color w:val="auto"/>
              </w:rPr>
              <w:t>Income (loss) before income taxes</w:t>
            </w: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line="196" w:lineRule="exact"/>
              <w:rPr>
                <w:sz w:val="20"/>
                <w:szCs w:val="20"/>
                <w:color w:val="auto"/>
              </w:rPr>
            </w:pPr>
            <w:r>
              <w:rPr>
                <w:rFonts w:ascii="Arial" w:cs="Arial" w:eastAsia="Arial" w:hAnsi="Arial"/>
                <w:sz w:val="18"/>
                <w:szCs w:val="18"/>
                <w:color w:val="auto"/>
              </w:rPr>
              <w:t>1,478</w:t>
            </w:r>
          </w:p>
        </w:tc>
        <w:tc>
          <w:tcPr>
            <w:tcW w:w="200" w:type="dxa"/>
            <w:vAlign w:val="bottom"/>
          </w:tcPr>
          <w:p>
            <w:pPr>
              <w:spacing w:after="0"/>
              <w:rPr>
                <w:sz w:val="17"/>
                <w:szCs w:val="17"/>
                <w:color w:val="auto"/>
              </w:rPr>
            </w:pPr>
          </w:p>
        </w:tc>
        <w:tc>
          <w:tcPr>
            <w:tcW w:w="120" w:type="dxa"/>
            <w:vAlign w:val="bottom"/>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Pr>
          <w:p>
            <w:pPr>
              <w:jc w:val="right"/>
              <w:spacing w:after="0" w:line="196" w:lineRule="exact"/>
              <w:rPr>
                <w:sz w:val="20"/>
                <w:szCs w:val="20"/>
                <w:color w:val="auto"/>
              </w:rPr>
            </w:pPr>
            <w:r>
              <w:rPr>
                <w:rFonts w:ascii="Arial" w:cs="Arial" w:eastAsia="Arial" w:hAnsi="Arial"/>
                <w:sz w:val="18"/>
                <w:szCs w:val="18"/>
                <w:color w:val="auto"/>
              </w:rPr>
              <w:t>(154,491)</w:t>
            </w:r>
          </w:p>
        </w:tc>
      </w:tr>
      <w:tr>
        <w:trPr>
          <w:trHeight w:val="203"/>
        </w:trPr>
        <w:tc>
          <w:tcPr>
            <w:tcW w:w="5400" w:type="dxa"/>
            <w:vAlign w:val="bottom"/>
            <w:shd w:val="clear" w:color="auto" w:fill="CCEEFF"/>
          </w:tcPr>
          <w:p>
            <w:pPr>
              <w:ind w:left="220"/>
              <w:spacing w:after="0" w:line="202" w:lineRule="exact"/>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7"/>
                <w:szCs w:val="17"/>
                <w:color w:val="auto"/>
              </w:rPr>
            </w:pPr>
          </w:p>
        </w:tc>
        <w:tc>
          <w:tcPr>
            <w:tcW w:w="1720" w:type="dxa"/>
            <w:vAlign w:val="bottom"/>
            <w:gridSpan w:val="2"/>
            <w:shd w:val="clear" w:color="auto" w:fill="CCEEFF"/>
          </w:tcPr>
          <w:p>
            <w:pPr>
              <w:jc w:val="right"/>
              <w:ind w:right="300"/>
              <w:spacing w:after="0" w:line="202"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7"/>
                <w:szCs w:val="17"/>
                <w:color w:val="auto"/>
              </w:rPr>
            </w:pPr>
          </w:p>
        </w:tc>
        <w:tc>
          <w:tcPr>
            <w:tcW w:w="1540" w:type="dxa"/>
            <w:vAlign w:val="bottom"/>
            <w:shd w:val="clear" w:color="auto" w:fill="CCEEFF"/>
          </w:tcPr>
          <w:p>
            <w:pPr>
              <w:jc w:val="right"/>
              <w:ind w:right="12"/>
              <w:spacing w:after="0" w:line="202" w:lineRule="exact"/>
              <w:rPr>
                <w:sz w:val="20"/>
                <w:szCs w:val="20"/>
                <w:color w:val="auto"/>
              </w:rPr>
            </w:pPr>
            <w:r>
              <w:rPr>
                <w:rFonts w:ascii="Arial" w:cs="Arial" w:eastAsia="Arial" w:hAnsi="Arial"/>
                <w:sz w:val="18"/>
                <w:szCs w:val="18"/>
                <w:color w:val="auto"/>
              </w:rPr>
              <w:t>—</w:t>
            </w:r>
          </w:p>
        </w:tc>
      </w:tr>
      <w:tr>
        <w:trPr>
          <w:trHeight w:val="196"/>
        </w:trPr>
        <w:tc>
          <w:tcPr>
            <w:tcW w:w="5400" w:type="dxa"/>
            <w:vAlign w:val="bottom"/>
          </w:tcPr>
          <w:p>
            <w:pPr>
              <w:ind w:left="440"/>
              <w:spacing w:after="0" w:line="196" w:lineRule="exact"/>
              <w:rPr>
                <w:sz w:val="20"/>
                <w:szCs w:val="20"/>
                <w:color w:val="auto"/>
              </w:rPr>
            </w:pPr>
            <w:r>
              <w:rPr>
                <w:rFonts w:ascii="Arial" w:cs="Arial" w:eastAsia="Arial" w:hAnsi="Arial"/>
                <w:sz w:val="18"/>
                <w:szCs w:val="18"/>
                <w:color w:val="auto"/>
              </w:rPr>
              <w:t>Net income (loss)</w:t>
            </w: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1,478</w:t>
            </w:r>
          </w:p>
        </w:tc>
        <w:tc>
          <w:tcPr>
            <w:tcW w:w="200" w:type="dxa"/>
            <w:vAlign w:val="bottom"/>
          </w:tcPr>
          <w:p>
            <w:pPr>
              <w:spacing w:after="0"/>
              <w:rPr>
                <w:sz w:val="17"/>
                <w:szCs w:val="17"/>
                <w:color w:val="auto"/>
              </w:rPr>
            </w:pPr>
          </w:p>
        </w:tc>
        <w:tc>
          <w:tcPr>
            <w:tcW w:w="1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(154,491)</w:t>
            </w:r>
          </w:p>
        </w:tc>
      </w:tr>
      <w:tr>
        <w:trPr>
          <w:trHeight w:val="203"/>
        </w:trPr>
        <w:tc>
          <w:tcPr>
            <w:tcW w:w="5400" w:type="dxa"/>
            <w:vAlign w:val="bottom"/>
            <w:shd w:val="clear" w:color="auto" w:fill="CCEEFF"/>
          </w:tcPr>
          <w:p>
            <w:pPr>
              <w:ind w:left="120"/>
              <w:spacing w:after="0" w:line="202" w:lineRule="exact"/>
              <w:rPr>
                <w:sz w:val="20"/>
                <w:szCs w:val="20"/>
                <w:color w:val="auto"/>
              </w:rPr>
            </w:pPr>
            <w:r>
              <w:rPr>
                <w:rFonts w:ascii="Arial" w:cs="Arial" w:eastAsia="Arial" w:hAnsi="Arial"/>
                <w:sz w:val="18"/>
                <w:szCs w:val="18"/>
                <w:color w:val="auto"/>
              </w:rPr>
              <w:t>Less preferred stock dividend</w:t>
            </w:r>
          </w:p>
        </w:tc>
        <w:tc>
          <w:tcPr>
            <w:tcW w:w="120" w:type="dxa"/>
            <w:vAlign w:val="bottom"/>
            <w:tcBorders>
              <w:bottom w:val="single" w:sz="8" w:color="auto"/>
            </w:tcBorders>
            <w:shd w:val="clear" w:color="auto" w:fill="CCEEFF"/>
          </w:tcPr>
          <w:p>
            <w:pPr>
              <w:spacing w:after="0"/>
              <w:rPr>
                <w:sz w:val="17"/>
                <w:szCs w:val="17"/>
                <w:color w:val="auto"/>
              </w:rPr>
            </w:pPr>
          </w:p>
        </w:tc>
        <w:tc>
          <w:tcPr>
            <w:tcW w:w="152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668</w:t>
            </w:r>
          </w:p>
        </w:tc>
        <w:tc>
          <w:tcPr>
            <w:tcW w:w="2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540" w:type="dxa"/>
            <w:vAlign w:val="bottom"/>
            <w:tcBorders>
              <w:bottom w:val="single" w:sz="8" w:color="auto"/>
            </w:tcBorders>
            <w:shd w:val="clear" w:color="auto" w:fill="CCEEFF"/>
          </w:tcPr>
          <w:p>
            <w:pPr>
              <w:jc w:val="right"/>
              <w:spacing w:after="0" w:line="202" w:lineRule="exact"/>
              <w:rPr>
                <w:sz w:val="20"/>
                <w:szCs w:val="20"/>
                <w:color w:val="auto"/>
              </w:rPr>
            </w:pPr>
            <w:r>
              <w:rPr>
                <w:rFonts w:ascii="Arial" w:cs="Arial" w:eastAsia="Arial" w:hAnsi="Arial"/>
                <w:sz w:val="18"/>
                <w:szCs w:val="18"/>
                <w:color w:val="auto"/>
              </w:rPr>
              <w:t>(618)</w:t>
            </w:r>
          </w:p>
        </w:tc>
      </w:tr>
      <w:tr>
        <w:trPr>
          <w:trHeight w:val="196"/>
        </w:trPr>
        <w:tc>
          <w:tcPr>
            <w:tcW w:w="5400" w:type="dxa"/>
            <w:vAlign w:val="bottom"/>
          </w:tcPr>
          <w:p>
            <w:pPr>
              <w:ind w:left="120"/>
              <w:spacing w:after="0" w:line="196" w:lineRule="exact"/>
              <w:rPr>
                <w:sz w:val="20"/>
                <w:szCs w:val="20"/>
                <w:color w:val="auto"/>
              </w:rPr>
            </w:pPr>
            <w:r>
              <w:rPr>
                <w:rFonts w:ascii="Arial" w:cs="Arial" w:eastAsia="Arial" w:hAnsi="Arial"/>
                <w:sz w:val="18"/>
                <w:szCs w:val="18"/>
                <w:color w:val="auto"/>
              </w:rPr>
              <w:t>Net income (loss) attributable to common shareholders</w:t>
            </w: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810</w:t>
            </w:r>
          </w:p>
        </w:tc>
        <w:tc>
          <w:tcPr>
            <w:tcW w:w="200" w:type="dxa"/>
            <w:vAlign w:val="bottom"/>
          </w:tcPr>
          <w:p>
            <w:pPr>
              <w:spacing w:after="0"/>
              <w:rPr>
                <w:sz w:val="17"/>
                <w:szCs w:val="17"/>
                <w:color w:val="auto"/>
              </w:rPr>
            </w:pPr>
          </w:p>
        </w:tc>
        <w:tc>
          <w:tcPr>
            <w:tcW w:w="1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(153,873)</w:t>
            </w:r>
          </w:p>
        </w:tc>
      </w:tr>
      <w:tr>
        <w:trPr>
          <w:trHeight w:val="20"/>
        </w:trPr>
        <w:tc>
          <w:tcPr>
            <w:tcW w:w="5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400"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As a result of filing for Chapter 11 bankruptcy protection in June 2023 and the significant events that have transpired since then, the period-over-period comparisons of our results of operations are not indicative of consistent underlying business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 and Cost of Sales</w:t>
      </w:r>
    </w:p>
    <w:p>
      <w:pPr>
        <w:spacing w:after="0" w:line="169"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As a result of the Chapter 11 Cases, production of the Endurance ended in June 2023. Upon emergence from bankruptcy as a shell company, there were no sales or cost of sales during the three months ended June 30, 2024. A total of 33 vehicles were sold during the three months ended June 30, 2023, resulting in revenue of $2.2 million.</w:t>
      </w:r>
    </w:p>
    <w:p>
      <w:pPr>
        <w:spacing w:after="0" w:line="133" w:lineRule="exact"/>
        <w:rPr>
          <w:sz w:val="20"/>
          <w:szCs w:val="20"/>
          <w:color w:val="auto"/>
        </w:rPr>
      </w:pPr>
    </w:p>
    <w:p>
      <w:pPr>
        <w:ind w:left="60" w:right="219"/>
        <w:spacing w:after="0"/>
        <w:rPr>
          <w:sz w:val="20"/>
          <w:szCs w:val="20"/>
          <w:color w:val="auto"/>
        </w:rPr>
      </w:pPr>
      <w:r>
        <w:rPr>
          <w:rFonts w:ascii="Arial" w:cs="Arial" w:eastAsia="Arial" w:hAnsi="Arial"/>
          <w:sz w:val="18"/>
          <w:szCs w:val="18"/>
          <w:color w:val="auto"/>
        </w:rPr>
        <w:t>Cost of sales totaled $60.7 million for the second quarter of 2023. Costs associated with producing the Endurance totaled $4.0 million, including direct materials net of an adjustment to inventory to reflect its NRV, product warranty accruals and other costs related to selling and delivering the vehicles. We recorded $46.6 million in manufacturing depreciation for the three months ended June 30, 2023. Additionally, for the three months ended June 30, 2023, we recorded a $6.0 million charge to reduce the carrying value of inventory to NRV. Finally, we recorded an additional $4.1 million reserve for potential claims from suppliers regarding costs incurred for materials.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83"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Selling, general and administration expenses (“SG&amp;A”) totaled $1.5 million for the three months ended June 30, 2024 compared to $57.7 million for the three months ended June 30, 2023. With the Chapter 11 Cases commencing in June 2023, our SG&amp;A expense is not comparable on a year-over-year basis.</w:t>
      </w:r>
    </w:p>
    <w:p>
      <w:pPr>
        <w:spacing w:after="0" w:line="128" w:lineRule="exact"/>
        <w:rPr>
          <w:sz w:val="20"/>
          <w:szCs w:val="20"/>
          <w:color w:val="auto"/>
        </w:rPr>
      </w:pPr>
    </w:p>
    <w:p>
      <w:pPr>
        <w:ind w:left="60" w:right="79"/>
        <w:spacing w:after="0" w:line="271" w:lineRule="auto"/>
        <w:rPr>
          <w:sz w:val="20"/>
          <w:szCs w:val="20"/>
          <w:color w:val="auto"/>
        </w:rPr>
      </w:pPr>
      <w:r>
        <w:rPr>
          <w:rFonts w:ascii="Arial" w:cs="Arial" w:eastAsia="Arial" w:hAnsi="Arial"/>
          <w:sz w:val="18"/>
          <w:szCs w:val="18"/>
          <w:color w:val="auto"/>
        </w:rPr>
        <w:t>Legal and professional fees made up almost the entire SG&amp;A expenses for the three months ended June 30, 2024.</w:t>
      </w:r>
    </w:p>
    <w:p>
      <w:pPr>
        <w:spacing w:after="0" w:line="11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color w:val="auto"/>
        </w:rPr>
        <w:t>SG&amp;A of $57.7 million during the three months ended June 30, 2023 consisted primarily of $7.3 million in personnel and professional fees, $40.3 million in litigation accruals, $6.8 million in legal costs and $1.5 million in insurance premiums.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69" w:lineRule="exact"/>
        <w:rPr>
          <w:sz w:val="20"/>
          <w:szCs w:val="20"/>
          <w:color w:val="auto"/>
        </w:rPr>
      </w:pPr>
    </w:p>
    <w:p>
      <w:pPr>
        <w:ind w:left="60" w:right="939"/>
        <w:spacing w:after="0" w:line="271" w:lineRule="auto"/>
        <w:rPr>
          <w:sz w:val="20"/>
          <w:szCs w:val="20"/>
          <w:color w:val="auto"/>
        </w:rPr>
      </w:pPr>
      <w:r>
        <w:rPr>
          <w:rFonts w:ascii="Arial" w:cs="Arial" w:eastAsia="Arial" w:hAnsi="Arial"/>
          <w:sz w:val="18"/>
          <w:szCs w:val="18"/>
          <w:color w:val="auto"/>
        </w:rPr>
        <w:t>As a result of the actions taken in connection with the Chapter 11 Cases, there were no research and development (“R&amp;D”) expenses during the three months ended June 30, 2024.</w:t>
      </w:r>
    </w:p>
    <w:p>
      <w:pPr>
        <w:spacing w:after="0" w:line="113" w:lineRule="exact"/>
        <w:rPr>
          <w:sz w:val="20"/>
          <w:szCs w:val="20"/>
          <w:color w:val="auto"/>
        </w:rPr>
      </w:pPr>
    </w:p>
    <w:p>
      <w:pPr>
        <w:ind w:left="60" w:right="319"/>
        <w:spacing w:after="0" w:line="253" w:lineRule="auto"/>
        <w:rPr>
          <w:sz w:val="20"/>
          <w:szCs w:val="20"/>
          <w:color w:val="auto"/>
        </w:rPr>
      </w:pPr>
      <w:r>
        <w:rPr>
          <w:rFonts w:ascii="Arial" w:cs="Arial" w:eastAsia="Arial" w:hAnsi="Arial"/>
          <w:sz w:val="18"/>
          <w:szCs w:val="18"/>
          <w:color w:val="auto"/>
        </w:rPr>
        <w:t>R&amp;D expenses were $12.3 million during the three months ended June 30, 2023, consisting of $9.0 million in personnel costs, $1.3 million for outside engineering and consulting services and $2.0 million in prototype components, testing and development supplies.</w:t>
      </w:r>
    </w:p>
    <w:p>
      <w:pPr>
        <w:spacing w:after="0" w:line="14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 and litigation charges (benefit), net</w:t>
      </w:r>
    </w:p>
    <w:p>
      <w:pPr>
        <w:spacing w:after="0" w:line="169"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color w:val="auto"/>
        </w:rPr>
        <w:t>Legal settlement and litigation charges (benefit), net represents adjustments to accrued liabilities subject to compromise from claims as a result of the final settlement of claims. Given that claims began to be settled in 2024, no legal settlement and litigation charges (benefit) was recorded during the three months ended June 30, 2023.</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prepaids and other intangibles</w:t>
      </w:r>
    </w:p>
    <w:p>
      <w:pPr>
        <w:spacing w:after="0" w:line="183" w:lineRule="exact"/>
        <w:rPr>
          <w:sz w:val="20"/>
          <w:szCs w:val="20"/>
          <w:color w:val="auto"/>
        </w:rPr>
      </w:pPr>
    </w:p>
    <w:p>
      <w:pPr>
        <w:ind w:left="60" w:right="159"/>
        <w:spacing w:after="0"/>
        <w:rPr>
          <w:sz w:val="20"/>
          <w:szCs w:val="20"/>
          <w:color w:val="auto"/>
        </w:rPr>
      </w:pPr>
      <w:r>
        <w:rPr>
          <w:rFonts w:ascii="Arial" w:cs="Arial" w:eastAsia="Arial" w:hAnsi="Arial"/>
          <w:sz w:val="18"/>
          <w:szCs w:val="18"/>
          <w:color w:val="auto"/>
        </w:rPr>
        <w:t>As of June 30, 2023, property, plant, and equipment was reviewed for potential impairment for recoverability. In prior periods, fair value of our property, plant, and equipment was derived from our enterprise value at the time of impairment as we believed it represented the most appropriate fair value of the asset group in accordance with accounting guidance. In light of the Chapter 11 Cases, we valued property, plant and equipment based on our estimate of residual and salvage values, resulting in an impairment charge of $23.7 million for the three months ended June 30, 2023. Additionally, during the three months ended June 30, 2023, we recognized an impairment of $1.4 million related to prepaid inventory purchases. No such impairment charges were incurred for the same period of 2024.</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for the six months ended June 30, 2024 and 2023</w:t>
      </w:r>
    </w:p>
    <w:p>
      <w:pPr>
        <w:spacing w:after="0" w:line="248"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500" w:type="dxa"/>
            <w:vAlign w:val="bottom"/>
          </w:tcPr>
          <w:p>
            <w:pPr>
              <w:jc w:val="right"/>
              <w:ind w:right="112"/>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5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Pr>
          <w:p>
            <w:pPr>
              <w:spacing w:after="0"/>
              <w:rPr>
                <w:sz w:val="14"/>
                <w:szCs w:val="14"/>
                <w:color w:val="auto"/>
              </w:rPr>
            </w:pPr>
          </w:p>
        </w:tc>
        <w:tc>
          <w:tcPr>
            <w:tcW w:w="1500" w:type="dxa"/>
            <w:vAlign w:val="bottom"/>
          </w:tcPr>
          <w:p>
            <w:pPr>
              <w:jc w:val="right"/>
              <w:ind w:right="272"/>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5400" w:type="dxa"/>
            <w:vAlign w:val="bottom"/>
            <w:tcBorders>
              <w:top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Net sales</w:t>
            </w: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shd w:val="clear" w:color="auto" w:fill="CCEEFF"/>
          </w:tcPr>
          <w:p>
            <w:pPr>
              <w:jc w:val="right"/>
              <w:ind w:right="12"/>
              <w:spacing w:after="0" w:line="196"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2,340</w:t>
            </w:r>
          </w:p>
        </w:tc>
      </w:tr>
      <w:tr>
        <w:trPr>
          <w:trHeight w:val="216"/>
        </w:trPr>
        <w:tc>
          <w:tcPr>
            <w:tcW w:w="5400" w:type="dxa"/>
            <w:vAlign w:val="bottom"/>
          </w:tcPr>
          <w:p>
            <w:pPr>
              <w:ind w:left="20"/>
              <w:spacing w:after="0"/>
              <w:rPr>
                <w:sz w:val="20"/>
                <w:szCs w:val="20"/>
                <w:color w:val="auto"/>
              </w:rPr>
            </w:pPr>
            <w:r>
              <w:rPr>
                <w:rFonts w:ascii="Arial" w:cs="Arial" w:eastAsia="Arial" w:hAnsi="Arial"/>
                <w:sz w:val="18"/>
                <w:szCs w:val="18"/>
                <w:color w:val="auto"/>
              </w:rPr>
              <w:t>Cost of sales</w:t>
            </w:r>
          </w:p>
        </w:tc>
        <w:tc>
          <w:tcPr>
            <w:tcW w:w="1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91,550</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(income) expense: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Selling, general and administrative expenses</w:t>
            </w:r>
          </w:p>
        </w:tc>
        <w:tc>
          <w:tcPr>
            <w:tcW w:w="1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6,725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72,375</w:t>
            </w: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26,728</w:t>
            </w: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Legal settlement and litigation charges (benefit), net</w:t>
            </w:r>
          </w:p>
        </w:tc>
        <w:tc>
          <w:tcPr>
            <w:tcW w:w="160" w:type="dxa"/>
            <w:vAlign w:val="bottom"/>
          </w:tcPr>
          <w:p>
            <w:pPr>
              <w:spacing w:after="0"/>
              <w:rPr>
                <w:sz w:val="18"/>
                <w:szCs w:val="18"/>
                <w:color w:val="auto"/>
              </w:rPr>
            </w:pPr>
          </w:p>
        </w:tc>
        <w:tc>
          <w:tcPr>
            <w:tcW w:w="1680" w:type="dxa"/>
            <w:vAlign w:val="bottom"/>
            <w:gridSpan w:val="2"/>
          </w:tcPr>
          <w:p>
            <w:pPr>
              <w:jc w:val="right"/>
              <w:ind w:right="200"/>
              <w:spacing w:after="0"/>
              <w:rPr>
                <w:sz w:val="20"/>
                <w:szCs w:val="20"/>
                <w:color w:val="auto"/>
              </w:rPr>
            </w:pPr>
            <w:r>
              <w:rPr>
                <w:rFonts w:ascii="Arial" w:cs="Arial" w:eastAsia="Arial" w:hAnsi="Arial"/>
                <w:sz w:val="18"/>
                <w:szCs w:val="18"/>
                <w:color w:val="auto"/>
              </w:rPr>
              <w:t>(2,559)</w:t>
            </w:r>
          </w:p>
        </w:tc>
        <w:tc>
          <w:tcPr>
            <w:tcW w:w="160" w:type="dxa"/>
            <w:vAlign w:val="bottom"/>
          </w:tcPr>
          <w:p>
            <w:pPr>
              <w:spacing w:after="0"/>
              <w:rPr>
                <w:sz w:val="18"/>
                <w:szCs w:val="18"/>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16"/>
        </w:trPr>
        <w:tc>
          <w:tcPr>
            <w:tcW w:w="54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Reorganization items</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184"/>
        </w:trPr>
        <w:tc>
          <w:tcPr>
            <w:tcW w:w="5400" w:type="dxa"/>
            <w:vAlign w:val="bottom"/>
          </w:tcPr>
          <w:p>
            <w:pPr>
              <w:ind w:left="120"/>
              <w:spacing w:after="0" w:line="183" w:lineRule="exact"/>
              <w:rPr>
                <w:sz w:val="20"/>
                <w:szCs w:val="20"/>
                <w:color w:val="auto"/>
              </w:rPr>
            </w:pPr>
            <w:r>
              <w:rPr>
                <w:rFonts w:ascii="Arial" w:cs="Arial" w:eastAsia="Arial" w:hAnsi="Arial"/>
                <w:sz w:val="18"/>
                <w:szCs w:val="18"/>
                <w:color w:val="auto"/>
              </w:rPr>
              <w:t>Impairment of property plant &amp; equipment, prepaids and</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r>
      <w:tr>
        <w:trPr>
          <w:trHeight w:val="221"/>
        </w:trPr>
        <w:tc>
          <w:tcPr>
            <w:tcW w:w="5400" w:type="dxa"/>
            <w:vAlign w:val="bottom"/>
          </w:tcPr>
          <w:p>
            <w:pPr>
              <w:ind w:left="120"/>
              <w:spacing w:after="0"/>
              <w:rPr>
                <w:sz w:val="20"/>
                <w:szCs w:val="20"/>
                <w:color w:val="auto"/>
              </w:rPr>
            </w:pPr>
            <w:r>
              <w:rPr>
                <w:rFonts w:ascii="Arial" w:cs="Arial" w:eastAsia="Arial" w:hAnsi="Arial"/>
                <w:sz w:val="18"/>
                <w:szCs w:val="18"/>
                <w:color w:val="auto"/>
              </w:rPr>
              <w:t>intangibles</w:t>
            </w:r>
          </w:p>
        </w:tc>
        <w:tc>
          <w:tcPr>
            <w:tcW w:w="160" w:type="dxa"/>
            <w:vAlign w:val="bottom"/>
          </w:tcPr>
          <w:p>
            <w:pPr>
              <w:spacing w:after="0"/>
              <w:rPr>
                <w:sz w:val="19"/>
                <w:szCs w:val="19"/>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139,481</w:t>
            </w:r>
          </w:p>
        </w:tc>
      </w:tr>
      <w:tr>
        <w:trPr>
          <w:trHeight w:val="196"/>
        </w:trPr>
        <w:tc>
          <w:tcPr>
            <w:tcW w:w="54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Total operating expense, net</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8,951</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238,584</w:t>
            </w:r>
          </w:p>
        </w:tc>
      </w:tr>
      <w:tr>
        <w:trPr>
          <w:trHeight w:val="196"/>
        </w:trPr>
        <w:tc>
          <w:tcPr>
            <w:tcW w:w="5400" w:type="dxa"/>
            <w:vAlign w:val="bottom"/>
          </w:tcPr>
          <w:p>
            <w:pPr>
              <w:ind w:left="20"/>
              <w:spacing w:after="0" w:line="196" w:lineRule="exact"/>
              <w:rPr>
                <w:sz w:val="20"/>
                <w:szCs w:val="20"/>
                <w:color w:val="auto"/>
              </w:rPr>
            </w:pPr>
            <w:r>
              <w:rPr>
                <w:rFonts w:ascii="Arial" w:cs="Arial" w:eastAsia="Arial" w:hAnsi="Arial"/>
                <w:sz w:val="18"/>
                <w:szCs w:val="18"/>
                <w:color w:val="auto"/>
              </w:rPr>
              <w:t>Loss from operations</w:t>
            </w:r>
          </w:p>
        </w:tc>
        <w:tc>
          <w:tcPr>
            <w:tcW w:w="160" w:type="dxa"/>
            <w:vAlign w:val="bottom"/>
          </w:tcPr>
          <w:p>
            <w:pPr>
              <w:spacing w:after="0"/>
              <w:rPr>
                <w:sz w:val="17"/>
                <w:szCs w:val="17"/>
                <w:color w:val="auto"/>
              </w:rPr>
            </w:pPr>
          </w:p>
        </w:tc>
        <w:tc>
          <w:tcPr>
            <w:tcW w:w="1480" w:type="dxa"/>
            <w:vAlign w:val="bottom"/>
          </w:tcPr>
          <w:p>
            <w:pPr>
              <w:jc w:val="right"/>
              <w:spacing w:after="0" w:line="196" w:lineRule="exact"/>
              <w:rPr>
                <w:sz w:val="20"/>
                <w:szCs w:val="20"/>
                <w:color w:val="auto"/>
              </w:rPr>
            </w:pPr>
            <w:r>
              <w:rPr>
                <w:rFonts w:ascii="Arial" w:cs="Arial" w:eastAsia="Arial" w:hAnsi="Arial"/>
                <w:sz w:val="18"/>
                <w:szCs w:val="18"/>
                <w:color w:val="auto"/>
              </w:rPr>
              <w:t>(8,951)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500" w:type="dxa"/>
            <w:vAlign w:val="bottom"/>
          </w:tcPr>
          <w:p>
            <w:pPr>
              <w:jc w:val="right"/>
              <w:spacing w:after="0" w:line="196" w:lineRule="exact"/>
              <w:rPr>
                <w:sz w:val="20"/>
                <w:szCs w:val="20"/>
                <w:color w:val="auto"/>
              </w:rPr>
            </w:pPr>
            <w:r>
              <w:rPr>
                <w:rFonts w:ascii="Arial" w:cs="Arial" w:eastAsia="Arial" w:hAnsi="Arial"/>
                <w:sz w:val="18"/>
                <w:szCs w:val="18"/>
                <w:color w:val="auto"/>
              </w:rPr>
              <w:t>(327,794)</w:t>
            </w:r>
          </w:p>
        </w:tc>
      </w:tr>
      <w:tr>
        <w:trPr>
          <w:trHeight w:val="216"/>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1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spacing w:after="0"/>
              <w:rPr>
                <w:sz w:val="18"/>
                <w:szCs w:val="18"/>
                <w:color w:val="auto"/>
              </w:rPr>
            </w:pPr>
          </w:p>
        </w:tc>
      </w:tr>
      <w:tr>
        <w:trPr>
          <w:trHeight w:val="216"/>
        </w:trPr>
        <w:tc>
          <w:tcPr>
            <w:tcW w:w="5400" w:type="dxa"/>
            <w:vAlign w:val="bottom"/>
          </w:tcPr>
          <w:p>
            <w:pPr>
              <w:ind w:left="220"/>
              <w:spacing w:after="0"/>
              <w:rPr>
                <w:sz w:val="20"/>
                <w:szCs w:val="20"/>
                <w:color w:val="auto"/>
              </w:rPr>
            </w:pPr>
            <w:r>
              <w:rPr>
                <w:rFonts w:ascii="Arial" w:cs="Arial" w:eastAsia="Arial" w:hAnsi="Arial"/>
                <w:sz w:val="18"/>
                <w:szCs w:val="18"/>
                <w:color w:val="auto"/>
              </w:rPr>
              <w:t>Loss on sale of assets</w:t>
            </w:r>
          </w:p>
        </w:tc>
        <w:tc>
          <w:tcPr>
            <w:tcW w:w="1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(2,609)</w:t>
            </w:r>
          </w:p>
        </w:tc>
      </w:tr>
      <w:tr>
        <w:trPr>
          <w:trHeight w:val="216"/>
        </w:trPr>
        <w:tc>
          <w:tcPr>
            <w:tcW w:w="54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income</w:t>
            </w:r>
          </w:p>
        </w:tc>
        <w:tc>
          <w:tcPr>
            <w:tcW w:w="16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(163)</w:t>
            </w:r>
          </w:p>
        </w:tc>
        <w:tc>
          <w:tcPr>
            <w:tcW w:w="1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r>
      <w:tr>
        <w:trPr>
          <w:trHeight w:val="216"/>
        </w:trPr>
        <w:tc>
          <w:tcPr>
            <w:tcW w:w="540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Investment and interest income</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2,119</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4,036</w:t>
            </w:r>
          </w:p>
        </w:tc>
      </w:tr>
      <w:tr>
        <w:trPr>
          <w:trHeight w:val="196"/>
        </w:trPr>
        <w:tc>
          <w:tcPr>
            <w:tcW w:w="5400" w:type="dxa"/>
            <w:vAlign w:val="bottom"/>
            <w:shd w:val="clear" w:color="auto" w:fill="CCEEFF"/>
          </w:tcPr>
          <w:p>
            <w:pPr>
              <w:ind w:left="120"/>
              <w:spacing w:after="0" w:line="196" w:lineRule="exact"/>
              <w:rPr>
                <w:sz w:val="20"/>
                <w:szCs w:val="20"/>
                <w:color w:val="auto"/>
              </w:rPr>
            </w:pPr>
            <w:r>
              <w:rPr>
                <w:rFonts w:ascii="Arial" w:cs="Arial" w:eastAsia="Arial" w:hAnsi="Arial"/>
                <w:sz w:val="18"/>
                <w:szCs w:val="18"/>
                <w:color w:val="auto"/>
              </w:rPr>
              <w:t>Loss before income taxes</w:t>
            </w: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(6,995)</w:t>
            </w:r>
          </w:p>
        </w:tc>
        <w:tc>
          <w:tcPr>
            <w:tcW w:w="20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(326,210)</w:t>
            </w:r>
          </w:p>
        </w:tc>
      </w:tr>
      <w:tr>
        <w:trPr>
          <w:trHeight w:val="216"/>
        </w:trPr>
        <w:tc>
          <w:tcPr>
            <w:tcW w:w="5400" w:type="dxa"/>
            <w:vAlign w:val="bottom"/>
          </w:tcPr>
          <w:p>
            <w:pPr>
              <w:ind w:left="120"/>
              <w:spacing w:after="0"/>
              <w:rPr>
                <w:sz w:val="20"/>
                <w:szCs w:val="20"/>
                <w:color w:val="auto"/>
              </w:rPr>
            </w:pPr>
            <w:r>
              <w:rPr>
                <w:rFonts w:ascii="Arial" w:cs="Arial" w:eastAsia="Arial" w:hAnsi="Arial"/>
                <w:sz w:val="18"/>
                <w:szCs w:val="18"/>
                <w:color w:val="auto"/>
              </w:rPr>
              <w:t>Income tax expense</w:t>
            </w:r>
          </w:p>
        </w:tc>
        <w:tc>
          <w:tcPr>
            <w:tcW w:w="160" w:type="dxa"/>
            <w:vAlign w:val="bottom"/>
          </w:tcPr>
          <w:p>
            <w:pPr>
              <w:spacing w:after="0"/>
              <w:rPr>
                <w:sz w:val="18"/>
                <w:szCs w:val="18"/>
                <w:color w:val="auto"/>
              </w:rPr>
            </w:pPr>
          </w:p>
        </w:tc>
        <w:tc>
          <w:tcPr>
            <w:tcW w:w="16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96"/>
        </w:trPr>
        <w:tc>
          <w:tcPr>
            <w:tcW w:w="5400" w:type="dxa"/>
            <w:vAlign w:val="bottom"/>
            <w:tcBorders>
              <w:top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(6,995)</w:t>
            </w:r>
          </w:p>
        </w:tc>
        <w:tc>
          <w:tcPr>
            <w:tcW w:w="2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(326,210)</w:t>
            </w:r>
          </w:p>
        </w:tc>
      </w:tr>
      <w:tr>
        <w:trPr>
          <w:trHeight w:val="196"/>
        </w:trPr>
        <w:tc>
          <w:tcPr>
            <w:tcW w:w="5400" w:type="dxa"/>
            <w:vAlign w:val="bottom"/>
            <w:tcBorders>
              <w:bottom w:val="single" w:sz="8" w:color="CCEEFF"/>
            </w:tcBorders>
          </w:tcPr>
          <w:p>
            <w:pPr>
              <w:ind w:left="120"/>
              <w:spacing w:after="0" w:line="196" w:lineRule="exact"/>
              <w:rPr>
                <w:sz w:val="20"/>
                <w:szCs w:val="20"/>
                <w:color w:val="auto"/>
              </w:rPr>
            </w:pPr>
            <w:r>
              <w:rPr>
                <w:rFonts w:ascii="Arial" w:cs="Arial" w:eastAsia="Arial" w:hAnsi="Arial"/>
                <w:sz w:val="18"/>
                <w:szCs w:val="18"/>
                <w:color w:val="auto"/>
              </w:rPr>
              <w:t>Less accrued preferred stock dividend</w:t>
            </w:r>
          </w:p>
        </w:tc>
        <w:tc>
          <w:tcPr>
            <w:tcW w:w="1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1,323</w:t>
            </w:r>
          </w:p>
        </w:tc>
        <w:tc>
          <w:tcPr>
            <w:tcW w:w="2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(1,223)</w:t>
            </w:r>
          </w:p>
        </w:tc>
      </w:tr>
      <w:tr>
        <w:trPr>
          <w:trHeight w:val="196"/>
        </w:trPr>
        <w:tc>
          <w:tcPr>
            <w:tcW w:w="5400" w:type="dxa"/>
            <w:vAlign w:val="bottom"/>
            <w:tcBorders>
              <w:bottom w:val="single" w:sz="8" w:color="CCEEFF"/>
            </w:tcBorders>
            <w:shd w:val="clear" w:color="auto" w:fill="CCEEFF"/>
          </w:tcPr>
          <w:p>
            <w:pPr>
              <w:ind w:left="120"/>
              <w:spacing w:after="0" w:line="196" w:lineRule="exact"/>
              <w:rPr>
                <w:sz w:val="20"/>
                <w:szCs w:val="20"/>
                <w:color w:val="auto"/>
              </w:rPr>
            </w:pPr>
            <w:r>
              <w:rPr>
                <w:rFonts w:ascii="Arial" w:cs="Arial" w:eastAsia="Arial" w:hAnsi="Arial"/>
                <w:sz w:val="18"/>
                <w:szCs w:val="18"/>
                <w:color w:val="auto"/>
              </w:rPr>
              <w:t>Net loss attributable to common shareholders</w:t>
            </w: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(8,318)</w:t>
            </w:r>
          </w:p>
        </w:tc>
        <w:tc>
          <w:tcPr>
            <w:tcW w:w="2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5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(324,987)</w:t>
            </w:r>
          </w:p>
        </w:tc>
      </w:tr>
      <w:tr>
        <w:trPr>
          <w:trHeight w:val="20"/>
        </w:trPr>
        <w:tc>
          <w:tcPr>
            <w:tcW w:w="5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both"/>
        <w:ind w:left="60" w:right="559"/>
        <w:spacing w:after="0" w:line="253" w:lineRule="auto"/>
        <w:rPr>
          <w:sz w:val="20"/>
          <w:szCs w:val="20"/>
          <w:color w:val="auto"/>
        </w:rPr>
      </w:pPr>
      <w:r>
        <w:rPr>
          <w:rFonts w:ascii="Arial" w:cs="Arial" w:eastAsia="Arial" w:hAnsi="Arial"/>
          <w:sz w:val="18"/>
          <w:szCs w:val="18"/>
          <w:color w:val="auto"/>
        </w:rPr>
        <w:t>As a result of filing for Chapter 11 bankruptcy protection in June 2023 and the significant events that have transpired since then, the period-over-period comparisons of our results of operations are not indicative of consistent underlying business operations.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Sales and Cost of Sales</w:t>
      </w:r>
    </w:p>
    <w:p>
      <w:pPr>
        <w:spacing w:after="0" w:line="169" w:lineRule="exact"/>
        <w:rPr>
          <w:sz w:val="20"/>
          <w:szCs w:val="20"/>
          <w:color w:val="auto"/>
        </w:rPr>
      </w:pPr>
    </w:p>
    <w:p>
      <w:pPr>
        <w:ind w:left="60" w:right="259"/>
        <w:spacing w:after="0" w:line="247" w:lineRule="auto"/>
        <w:rPr>
          <w:sz w:val="20"/>
          <w:szCs w:val="20"/>
          <w:color w:val="auto"/>
        </w:rPr>
      </w:pPr>
      <w:r>
        <w:rPr>
          <w:rFonts w:ascii="Arial" w:cs="Arial" w:eastAsia="Arial" w:hAnsi="Arial"/>
          <w:sz w:val="18"/>
          <w:szCs w:val="18"/>
          <w:color w:val="auto"/>
        </w:rPr>
        <w:t>As a result of the Chapter 11 Cases, production of the Endurance ended in June 2023. Upon emergence from bankruptcy as a shell company, there were no sales or cost of sales during the six months ended June 30, 2024. A total of 36 vehicles were sold during the six months ended June 30, 2023 resulting in revenue of $2.3 million.</w:t>
      </w:r>
    </w:p>
    <w:p>
      <w:pPr>
        <w:spacing w:after="0" w:line="147"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Cost of sales totaled $91.6 million for the first half of 2023, consisting of $7.6 million in costs associated with producing the Endurance, including direct materials net of an adjustment to inventory to reflect its NRV, product warranty accruals and other costs related to selling and delivering the vehicles. We recorded $ 54.3 million in manufacturing depreciation, a $25.8 million charge to reduce the carrying value of inventory to NRV, and a $4.1 million reserve for potential claims from suppliers regarding costs incurred or otherwise that may be owed during the six months ended June 30, 2023.</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Selling, General and Administrative Expense</w:t>
      </w:r>
    </w:p>
    <w:p>
      <w:pPr>
        <w:spacing w:after="0" w:line="169" w:lineRule="exact"/>
        <w:rPr>
          <w:sz w:val="20"/>
          <w:szCs w:val="20"/>
          <w:color w:val="auto"/>
        </w:rPr>
      </w:pPr>
    </w:p>
    <w:p>
      <w:pPr>
        <w:ind w:left="60" w:right="119"/>
        <w:spacing w:after="0" w:line="253" w:lineRule="auto"/>
        <w:rPr>
          <w:sz w:val="20"/>
          <w:szCs w:val="20"/>
          <w:color w:val="auto"/>
        </w:rPr>
      </w:pPr>
      <w:r>
        <w:rPr>
          <w:rFonts w:ascii="Arial" w:cs="Arial" w:eastAsia="Arial" w:hAnsi="Arial"/>
          <w:sz w:val="18"/>
          <w:szCs w:val="18"/>
          <w:color w:val="auto"/>
        </w:rPr>
        <w:t>SG&amp;A totaled $6.7 million for the six months ended June 30, 2024 compared to $ 72.4 million for the six months ended June 30, 2023. With the Chapter 11 Cases commencing in June 2023, our SG&amp;A expense is not comparable on a year-over-year basis.</w:t>
      </w:r>
    </w:p>
    <w:p>
      <w:pPr>
        <w:spacing w:after="0" w:line="200" w:lineRule="exact"/>
        <w:rPr>
          <w:sz w:val="20"/>
          <w:szCs w:val="20"/>
          <w:color w:val="auto"/>
        </w:rPr>
      </w:pP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auto"/>
        </w:rPr>
        <w:t>SG&amp;A for the six months ended June 30, 2024 consisted primarily of $3.9 million in personnel and professional fees, including $3.4 million in accelerated stock compensation expense as well as insurance premium amortization of $2.9 million.</w:t>
      </w:r>
    </w:p>
    <w:p>
      <w:pPr>
        <w:spacing w:after="0" w:line="142" w:lineRule="exact"/>
        <w:rPr>
          <w:sz w:val="20"/>
          <w:szCs w:val="20"/>
          <w:color w:val="auto"/>
        </w:rPr>
      </w:pPr>
    </w:p>
    <w:p>
      <w:pPr>
        <w:ind w:left="60" w:right="159"/>
        <w:spacing w:after="0" w:line="253" w:lineRule="auto"/>
        <w:rPr>
          <w:sz w:val="20"/>
          <w:szCs w:val="20"/>
          <w:color w:val="auto"/>
        </w:rPr>
      </w:pPr>
      <w:r>
        <w:rPr>
          <w:rFonts w:ascii="Arial" w:cs="Arial" w:eastAsia="Arial" w:hAnsi="Arial"/>
          <w:sz w:val="18"/>
          <w:szCs w:val="18"/>
          <w:color w:val="auto"/>
        </w:rPr>
        <w:t>SG&amp;A of $72.4 million during the six months ended June 30, 2023 consisted primarily of $40.3 million in litigation accruals, $15.6 million in personnel and professional fees, $9.8 million in legal fees and $2.9 million in insurance premiums.</w:t>
      </w:r>
    </w:p>
    <w:p>
      <w:pPr>
        <w:spacing w:after="0" w:line="13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 Expense</w:t>
      </w:r>
    </w:p>
    <w:p>
      <w:pPr>
        <w:spacing w:after="0" w:line="169" w:lineRule="exact"/>
        <w:rPr>
          <w:sz w:val="20"/>
          <w:szCs w:val="20"/>
          <w:color w:val="auto"/>
        </w:rPr>
      </w:pPr>
    </w:p>
    <w:p>
      <w:pPr>
        <w:ind w:left="60" w:right="239"/>
        <w:spacing w:after="0" w:line="271" w:lineRule="auto"/>
        <w:rPr>
          <w:sz w:val="20"/>
          <w:szCs w:val="20"/>
          <w:color w:val="auto"/>
        </w:rPr>
      </w:pPr>
      <w:r>
        <w:rPr>
          <w:rFonts w:ascii="Arial" w:cs="Arial" w:eastAsia="Arial" w:hAnsi="Arial"/>
          <w:sz w:val="18"/>
          <w:szCs w:val="18"/>
          <w:color w:val="auto"/>
        </w:rPr>
        <w:t>As a result of the actions taken in connection with the Chapter 11 Cases, there were no R&amp;D expenses during the six months ended June 30, 2024.</w:t>
      </w:r>
    </w:p>
    <w:p>
      <w:pPr>
        <w:spacing w:after="0" w:line="127"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R&amp;D expenses consisted of the costs associated with the ongoing development and engineering work related to the Endurance and future programs, totaling $26.7 million during the six months ended June 30, 2023. The costs in the first half of 2023 included $18.7 million in personnel costs, $3.5 million for outside engineering and consulting services and $4.5 million in prototype components, other testing and development supplies.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Legal settlement and litigation charges (benefit), net</w:t>
      </w:r>
    </w:p>
    <w:p>
      <w:pPr>
        <w:spacing w:after="0" w:line="169" w:lineRule="exact"/>
        <w:rPr>
          <w:sz w:val="20"/>
          <w:szCs w:val="20"/>
          <w:color w:val="auto"/>
        </w:rPr>
      </w:pPr>
    </w:p>
    <w:p>
      <w:pPr>
        <w:ind w:left="60" w:right="319"/>
        <w:spacing w:after="0" w:line="247" w:lineRule="auto"/>
        <w:rPr>
          <w:sz w:val="20"/>
          <w:szCs w:val="20"/>
          <w:color w:val="auto"/>
        </w:rPr>
      </w:pPr>
      <w:r>
        <w:rPr>
          <w:rFonts w:ascii="Arial" w:cs="Arial" w:eastAsia="Arial" w:hAnsi="Arial"/>
          <w:sz w:val="18"/>
          <w:szCs w:val="18"/>
          <w:color w:val="auto"/>
        </w:rPr>
        <w:t>Legal settlement and litigation charges (benefit), net represents adjustments to accrued liabilities subject to compromise from claims as a result of the final settlement of claims. Given that claims began to be settled in 2024, no legal settlement and litigation charges (benefit) was recorded during the six months ended June 30, 2023.</w:t>
      </w:r>
    </w:p>
    <w:p>
      <w:pPr>
        <w:spacing w:after="0" w:line="13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Reorganization Items</w:t>
      </w:r>
    </w:p>
    <w:p>
      <w:pPr>
        <w:spacing w:after="0" w:line="210" w:lineRule="exact"/>
        <w:rPr>
          <w:sz w:val="20"/>
          <w:szCs w:val="20"/>
          <w:color w:val="auto"/>
        </w:rPr>
      </w:pPr>
    </w:p>
    <w:p>
      <w:pPr>
        <w:ind w:left="60" w:right="59"/>
        <w:spacing w:after="0" w:line="244" w:lineRule="auto"/>
        <w:rPr>
          <w:sz w:val="20"/>
          <w:szCs w:val="20"/>
          <w:color w:val="auto"/>
        </w:rPr>
      </w:pPr>
      <w:r>
        <w:rPr>
          <w:rFonts w:ascii="Arial" w:cs="Arial" w:eastAsia="Arial" w:hAnsi="Arial"/>
          <w:sz w:val="18"/>
          <w:szCs w:val="18"/>
          <w:color w:val="auto"/>
        </w:rPr>
        <w:t>Reorganization items represent the expenses directly and incrementally resulting from the Chapter 11 Cases filed on June 27, 2023. For the six months ended June 30, 2024, reorganization items consisted of $3.6 million in legal fees and $1.1 million in consulting fees. The reorganization items include costs incurred by us as well as those incurred by the official Unsecured Creditors Committee and official Equity Committee, for which we are responsible.</w:t>
      </w:r>
    </w:p>
    <w:p>
      <w:pPr>
        <w:spacing w:after="0" w:line="17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Impairment of property, plant, and equipment, prepaids and other intangibles</w:t>
      </w:r>
    </w:p>
    <w:p>
      <w:pPr>
        <w:spacing w:after="0" w:line="183"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As of June 30, 2023, property, plant, and equipment was reviewed for potential impairment for recoverability by comparing the carrying amount of our asset group to estimated undiscounted future cash flows expected to be generated by the asset group. The fair value was derived from our enterprise value at the time of impairment as we believe it represented the most appropriate fair value of the asset group in accordance with accounting guidance. As the carrying amount of our asset group exceeded its estimated undiscounted future cash flows, we recognized a $109.8 million impairment charge for the six months ended June 30, 2023 based on the difference between the carrying value of the fixed assets and their fair value as of June 30, 2023.</w:t>
      </w:r>
    </w:p>
    <w:p>
      <w:pPr>
        <w:spacing w:after="0" w:line="144" w:lineRule="exact"/>
        <w:rPr>
          <w:sz w:val="20"/>
          <w:szCs w:val="20"/>
          <w:color w:val="auto"/>
        </w:rPr>
      </w:pPr>
    </w:p>
    <w:p>
      <w:pPr>
        <w:ind w:left="60" w:right="459"/>
        <w:spacing w:after="0" w:line="253" w:lineRule="auto"/>
        <w:rPr>
          <w:sz w:val="20"/>
          <w:szCs w:val="20"/>
          <w:color w:val="auto"/>
        </w:rPr>
      </w:pPr>
      <w:r>
        <w:rPr>
          <w:rFonts w:ascii="Arial" w:cs="Arial" w:eastAsia="Arial" w:hAnsi="Arial"/>
          <w:sz w:val="18"/>
          <w:szCs w:val="18"/>
          <w:color w:val="auto"/>
        </w:rPr>
        <w:t>For the six months ended June 30, 2023 we recognized a $4.6 million impairment charge against prepaid inventory purchases and royalties related to payments for quantities in excess of our anticipated production requirements.</w:t>
      </w:r>
    </w:p>
    <w:p>
      <w:pPr>
        <w:spacing w:after="0" w:line="128"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 such impairment charges were incurred for the six months ended June 30, 2024.</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171"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As a result of our accumulated deficit, lack of any immediate sources of revenue, and the risks and uncertainties related to (i) our ability to successfully resolve litigation and other claims that may be filed against us, (ii) the effects of disruption from the Chapter 11 Cases, including the loss of our personnel, and (iii) the costs of the Chapter 11 Cases, substantial doubt exists regarding our ability to continue as a going</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71" w:lineRule="auto"/>
        <w:rPr>
          <w:sz w:val="20"/>
          <w:szCs w:val="20"/>
          <w:color w:val="auto"/>
        </w:rPr>
      </w:pPr>
      <w:r>
        <w:rPr>
          <w:rFonts w:ascii="Arial" w:cs="Arial" w:eastAsia="Arial" w:hAnsi="Arial"/>
          <w:sz w:val="18"/>
          <w:szCs w:val="18"/>
          <w:color w:val="auto"/>
        </w:rPr>
        <w:t>concern for a period of at least one year from the date of issuance of these condensed consolidated financial statements.</w:t>
      </w:r>
    </w:p>
    <w:p>
      <w:pPr>
        <w:spacing w:after="0" w:line="140" w:lineRule="exact"/>
        <w:rPr>
          <w:sz w:val="20"/>
          <w:szCs w:val="20"/>
          <w:color w:val="auto"/>
        </w:rPr>
      </w:pPr>
    </w:p>
    <w:p>
      <w:pPr>
        <w:ind w:left="60" w:right="299"/>
        <w:spacing w:after="0" w:line="275" w:lineRule="auto"/>
        <w:rPr>
          <w:sz w:val="20"/>
          <w:szCs w:val="20"/>
          <w:color w:val="auto"/>
        </w:rPr>
      </w:pPr>
      <w:r>
        <w:rPr>
          <w:rFonts w:ascii="Arial" w:cs="Arial" w:eastAsia="Arial" w:hAnsi="Arial"/>
          <w:sz w:val="17"/>
          <w:szCs w:val="17"/>
          <w:color w:val="auto"/>
        </w:rPr>
        <w:t>We had cash and cash equivalents of approximately $20.9 million, excluding restricted cash of approximately $41.3 million, an accumulated deficit of $1.2 billion at June 30, 2024, net income of $1.5 million for the three months ended June 30, 2024, and a net loss of $7.0 million for the six months ended June 30, 2024.</w:t>
      </w:r>
    </w:p>
    <w:p>
      <w:pPr>
        <w:spacing w:after="0" w:line="13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color w:val="auto"/>
        </w:rPr>
        <w:t>Our liquidity and ability to continue as a going concern is dependent upon, among other things: (i) the resolution of significant contingent and other claims, liabilities (see Note 8 – Commitments and Contingencies) and (ii) the outcome of our efforts to realize value, if any, from the Company’s retained causes of action, including the Foxconn Litigation, and other remaining assets.</w:t>
      </w:r>
    </w:p>
    <w:p>
      <w:pPr>
        <w:spacing w:after="0" w:line="160" w:lineRule="exact"/>
        <w:rPr>
          <w:sz w:val="20"/>
          <w:szCs w:val="20"/>
          <w:color w:val="auto"/>
        </w:rPr>
      </w:pPr>
    </w:p>
    <w:p>
      <w:pPr>
        <w:ind w:left="60" w:right="79"/>
        <w:spacing w:after="0"/>
        <w:rPr>
          <w:sz w:val="20"/>
          <w:szCs w:val="20"/>
          <w:color w:val="auto"/>
        </w:rPr>
      </w:pPr>
      <w:r>
        <w:rPr>
          <w:rFonts w:ascii="Arial" w:cs="Arial" w:eastAsia="Arial" w:hAnsi="Arial"/>
          <w:sz w:val="18"/>
          <w:szCs w:val="18"/>
          <w:color w:val="auto"/>
        </w:rPr>
        <w:t>We have incurred significant professional fees and other costs in connection with preparation for and prosecution of the Chapter 11 Cases and expect to continue to incur significant professional fees and costs. In addition, we are subject to significant contingent liabilities, the full scope of which is uncertain at this time (see Note 8 – Commitments and Contingencies). Furthermore, under the Plan, we are conducting a process to reconcile the claims asserted that has resulted in approximately $41.3 million of our cash being reserved for settling outstanding claims against the Company, including litigation and indemnification claims. Pursuant to the Bankruptcy Code, the Company is first required to pay all administrative claims in full. Under the Plan, the Company established an escrow for the payment of certain professional fees incurred in connection with the</w:t>
      </w:r>
    </w:p>
    <w:p>
      <w:pPr>
        <w:ind w:left="60" w:right="79"/>
        <w:spacing w:after="0" w:line="237" w:lineRule="auto"/>
        <w:rPr>
          <w:sz w:val="20"/>
          <w:szCs w:val="20"/>
          <w:color w:val="auto"/>
        </w:rPr>
      </w:pPr>
      <w:r>
        <w:rPr>
          <w:rFonts w:ascii="Arial" w:cs="Arial" w:eastAsia="Arial" w:hAnsi="Arial"/>
          <w:sz w:val="18"/>
          <w:szCs w:val="18"/>
          <w:color w:val="auto"/>
        </w:rPr>
        <w:t>Chapter 11 Cases (“Professional Fee Escrow”), which totaled $0.9 million as of June 30, 2024. The Professional Fee Escrow was established based upon estimates and assumptions as of the date the Company emerged from bankruptcy. Therefore, the actual obligations may be more or less than the amount escrowed. To the extent the Professional Fee Escrow is insufficient, the Company will be required to use its available unrestricted cash to settle its obligations. In the event the Professional Fee Escrow exceeds the Company’s obligations, funds will be returned to the Company and become unrestricted. The Plan also required the Company to establish a $45 million reserve for allowed and disputed claims of general unsecured creditors (the “Claims Reserve”), including interest (although there can be no assurance the Company will be able to pay such claims in full, with interest). As of June 30, 2024, $ 34.8 million was included in restricted cash, which represents the initial Claims Reserve of $ 45 million, less $10.2 million the Company paid into escrow upon emergence from bankruptcy for the cash portion of the Ohio Securities Litigation Settlement. Pursuant to the Plan (which includes certain exceptions), upon emergence (i) the Claims Ombudsman was appointed to oversee the administration of claims asserted against the Company by general unsecured creditors and (ii) a trustee was appointed to oversee the litigation trust, which may be funded with certain retained causes of action of the Company, as was determined by the Board. Holders of certain unsecured claims are expected to be entitled to receive post-petition interest on their claim amount as of the later of the date the claim was due to be paid, or the petition date. Therefore, if the claims resolution process takes longer than anticipated, the total liability to settle claims will increase.</w:t>
      </w:r>
    </w:p>
    <w:p>
      <w:pPr>
        <w:spacing w:after="0" w:line="172"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color w:val="auto"/>
        </w:rPr>
        <w:t>The amount of the Claims Reserve is subject to change and could increase materially. The Claims Reserve is adjusted downward as payments are made for allowed claims, and may also be adjusted downward as claims are resolved or otherwise as a result of the claims resolution process. Claimants may have the ability to amend their proofs of claim that could significantly increase the total claims, beyond our estimates or reserve. There is also risk of additional litigation and claims that may be asserted after the Chapter 11 Cases against the Company or its indemnified directors and officers that may be known or unknown and the Company may not have the resources to adequately defend or dispute such claims due to the Chapter 11 Cases. The Company cannot provide any assurances as to what the Company’s total actual liabilities will be based on any such claims. To the extent that the Claims Reserve is insufficient to pay general unsecured creditors in full with interest, such deficiency will be payable from certain other assets of the Company, as set forth in the Plan.</w:t>
      </w:r>
    </w:p>
    <w:p>
      <w:pPr>
        <w:spacing w:after="0" w:line="234" w:lineRule="exact"/>
        <w:rPr>
          <w:sz w:val="20"/>
          <w:szCs w:val="20"/>
          <w:color w:val="auto"/>
        </w:rPr>
      </w:pPr>
    </w:p>
    <w:p>
      <w:pPr>
        <w:ind w:left="60" w:right="499"/>
        <w:spacing w:after="0" w:line="271" w:lineRule="auto"/>
        <w:rPr>
          <w:sz w:val="20"/>
          <w:szCs w:val="20"/>
          <w:color w:val="auto"/>
        </w:rPr>
      </w:pPr>
      <w:r>
        <w:rPr>
          <w:rFonts w:ascii="Arial" w:cs="Arial" w:eastAsia="Arial" w:hAnsi="Arial"/>
          <w:sz w:val="18"/>
          <w:szCs w:val="18"/>
          <w:color w:val="auto"/>
        </w:rPr>
        <w:t>Our assets consist of cash and cash equivalents, restricted cash, the Foxconn Litigation claims, claims the Company may have against other parties and NOLs.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0" w:right="359"/>
        <w:spacing w:after="0" w:line="253" w:lineRule="auto"/>
        <w:rPr>
          <w:sz w:val="20"/>
          <w:szCs w:val="20"/>
          <w:color w:val="auto"/>
        </w:rPr>
      </w:pPr>
      <w:r>
        <w:rPr>
          <w:rFonts w:ascii="Arial" w:cs="Arial" w:eastAsia="Arial" w:hAnsi="Arial"/>
          <w:sz w:val="18"/>
          <w:szCs w:val="18"/>
          <w:color w:val="auto"/>
        </w:rPr>
        <w:t>See Risk Factors under Part I – Item 1A. in our Annual Report on Form 10 -K and Part II – Item 1A. below for further discussion of the risks associated with our limited capital resources and loss exposures, among other risks.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Summary of Cash Flows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provides a summary of Nu Ride’s cash flow data for the period indicated:</w:t>
      </w:r>
    </w:p>
    <w:p>
      <w:pPr>
        <w:spacing w:after="0" w:line="208" w:lineRule="exact"/>
        <w:rPr>
          <w:sz w:val="20"/>
          <w:szCs w:val="20"/>
          <w:color w:val="auto"/>
        </w:rPr>
      </w:pPr>
    </w:p>
    <w:tbl>
      <w:tblPr>
        <w:tblLayout w:type="fixed"/>
        <w:tblInd w:w="94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Six months ended</w:t>
            </w:r>
          </w:p>
        </w:tc>
        <w:tc>
          <w:tcPr>
            <w:tcW w:w="160" w:type="dxa"/>
            <w:vAlign w:val="bottom"/>
          </w:tcPr>
          <w:p>
            <w:pPr>
              <w:spacing w:after="0"/>
              <w:rPr>
                <w:sz w:val="14"/>
                <w:szCs w:val="14"/>
                <w:color w:val="auto"/>
              </w:rPr>
            </w:pPr>
          </w:p>
        </w:tc>
        <w:tc>
          <w:tcPr>
            <w:tcW w:w="1260" w:type="dxa"/>
            <w:vAlign w:val="bottom"/>
            <w:gridSpan w:val="2"/>
          </w:tcPr>
          <w:p>
            <w:pPr>
              <w:jc w:val="right"/>
              <w:spacing w:after="0"/>
              <w:rPr>
                <w:sz w:val="20"/>
                <w:szCs w:val="20"/>
                <w:color w:val="auto"/>
              </w:rPr>
            </w:pPr>
            <w:r>
              <w:rPr>
                <w:rFonts w:ascii="Arial" w:cs="Arial" w:eastAsia="Arial" w:hAnsi="Arial"/>
                <w:sz w:val="14"/>
                <w:szCs w:val="14"/>
                <w:b w:val="1"/>
                <w:bCs w:val="1"/>
                <w:color w:val="auto"/>
              </w:rPr>
              <w:t>Six months ended</w:t>
            </w:r>
          </w:p>
        </w:tc>
      </w:tr>
      <w:tr>
        <w:trPr>
          <w:trHeight w:val="171"/>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6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June 30, 2024</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rPr>
              <w:t>June 30, 2023</w:t>
            </w:r>
          </w:p>
        </w:tc>
      </w:tr>
      <w:tr>
        <w:trPr>
          <w:trHeight w:val="196"/>
        </w:trPr>
        <w:tc>
          <w:tcPr>
            <w:tcW w:w="20" w:type="dxa"/>
            <w:vAlign w:val="bottom"/>
          </w:tcPr>
          <w:p>
            <w:pPr>
              <w:spacing w:after="0"/>
              <w:rPr>
                <w:sz w:val="17"/>
                <w:szCs w:val="17"/>
                <w:color w:val="auto"/>
              </w:rPr>
            </w:pPr>
          </w:p>
        </w:tc>
        <w:tc>
          <w:tcPr>
            <w:tcW w:w="38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Cash used in operating activities</w:t>
            </w: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(24,738)</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(75,692)</w:t>
            </w:r>
          </w:p>
        </w:tc>
      </w:tr>
      <w:tr>
        <w:trPr>
          <w:trHeight w:val="203"/>
        </w:trPr>
        <w:tc>
          <w:tcPr>
            <w:tcW w:w="20" w:type="dxa"/>
            <w:vAlign w:val="bottom"/>
          </w:tcPr>
          <w:p>
            <w:pPr>
              <w:spacing w:after="0"/>
              <w:rPr>
                <w:sz w:val="17"/>
                <w:szCs w:val="17"/>
                <w:color w:val="auto"/>
              </w:rPr>
            </w:pPr>
          </w:p>
        </w:tc>
        <w:tc>
          <w:tcPr>
            <w:tcW w:w="3820" w:type="dxa"/>
            <w:vAlign w:val="bottom"/>
          </w:tcPr>
          <w:p>
            <w:pPr>
              <w:spacing w:after="0" w:line="202" w:lineRule="exact"/>
              <w:rPr>
                <w:sz w:val="20"/>
                <w:szCs w:val="20"/>
                <w:color w:val="auto"/>
              </w:rPr>
            </w:pPr>
            <w:r>
              <w:rPr>
                <w:rFonts w:ascii="Arial" w:cs="Arial" w:eastAsia="Arial" w:hAnsi="Arial"/>
                <w:sz w:val="18"/>
                <w:szCs w:val="18"/>
                <w:color w:val="auto"/>
              </w:rPr>
              <w:t>Net Cash provided by investing activities</w:t>
            </w:r>
          </w:p>
        </w:tc>
        <w:tc>
          <w:tcPr>
            <w:tcW w:w="720" w:type="dxa"/>
            <w:vAlign w:val="bottom"/>
            <w:gridSpan w:val="2"/>
          </w:tcPr>
          <w:p>
            <w:pPr>
              <w:ind w:left="6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5"/>
              <w:spacing w:after="0" w:line="202" w:lineRule="exact"/>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tcPr>
          <w:p>
            <w:pPr>
              <w:jc w:val="right"/>
              <w:spacing w:after="0" w:line="202" w:lineRule="exact"/>
              <w:rPr>
                <w:sz w:val="20"/>
                <w:szCs w:val="20"/>
                <w:color w:val="auto"/>
              </w:rPr>
            </w:pPr>
            <w:r>
              <w:rPr>
                <w:rFonts w:ascii="Arial" w:cs="Arial" w:eastAsia="Arial" w:hAnsi="Arial"/>
                <w:sz w:val="18"/>
                <w:szCs w:val="18"/>
                <w:color w:val="auto"/>
              </w:rPr>
              <w:t>70,066</w:t>
            </w:r>
          </w:p>
        </w:tc>
      </w:tr>
      <w:tr>
        <w:trPr>
          <w:trHeight w:val="203"/>
        </w:trPr>
        <w:tc>
          <w:tcPr>
            <w:tcW w:w="20" w:type="dxa"/>
            <w:vAlign w:val="bottom"/>
          </w:tcPr>
          <w:p>
            <w:pPr>
              <w:spacing w:after="0"/>
              <w:rPr>
                <w:sz w:val="17"/>
                <w:szCs w:val="17"/>
                <w:color w:val="auto"/>
              </w:rPr>
            </w:pPr>
          </w:p>
        </w:tc>
        <w:tc>
          <w:tcPr>
            <w:tcW w:w="38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Net Cash used in financing activities</w:t>
            </w:r>
          </w:p>
        </w:tc>
        <w:tc>
          <w:tcPr>
            <w:tcW w:w="720" w:type="dxa"/>
            <w:vAlign w:val="bottom"/>
            <w:gridSpan w:val="2"/>
            <w:shd w:val="clear" w:color="auto" w:fill="CCEEFF"/>
          </w:tcPr>
          <w:p>
            <w:pPr>
              <w:ind w:left="600"/>
              <w:spacing w:after="0" w:line="202" w:lineRule="exact"/>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(106)</w:t>
            </w:r>
          </w:p>
        </w:tc>
        <w:tc>
          <w:tcPr>
            <w:tcW w:w="280" w:type="dxa"/>
            <w:vAlign w:val="bottom"/>
            <w:gridSpan w:val="2"/>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color w:val="auto"/>
        </w:rPr>
        <w:t>Net cash used in operating activities decreased by $51.0 million for the six months ended June 30, 2024</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compared to 2023. The decrease of cash used in operating activities, was principally due to the cessation of</w:t>
      </w:r>
    </w:p>
    <w:p>
      <w:pPr>
        <w:ind w:left="60"/>
        <w:spacing w:after="0" w:line="234" w:lineRule="auto"/>
        <w:rPr>
          <w:sz w:val="20"/>
          <w:szCs w:val="20"/>
          <w:color w:val="auto"/>
        </w:rPr>
      </w:pPr>
      <w:r>
        <w:rPr>
          <w:rFonts w:ascii="Arial" w:cs="Arial" w:eastAsia="Arial" w:hAnsi="Arial"/>
          <w:sz w:val="18"/>
          <w:szCs w:val="18"/>
          <w:color w:val="auto"/>
        </w:rPr>
        <w:t>operations as a result of the Chapter 11 Cases. The Company’s net loss, as adjusted to reconcile cash used by</w:t>
      </w:r>
    </w:p>
    <w:p>
      <w:pPr>
        <w:ind w:left="60"/>
        <w:spacing w:after="0" w:line="235" w:lineRule="auto"/>
        <w:rPr>
          <w:sz w:val="20"/>
          <w:szCs w:val="20"/>
          <w:color w:val="auto"/>
        </w:rPr>
      </w:pPr>
      <w:r>
        <w:rPr>
          <w:rFonts w:ascii="Arial" w:cs="Arial" w:eastAsia="Arial" w:hAnsi="Arial"/>
          <w:sz w:val="18"/>
          <w:szCs w:val="18"/>
          <w:color w:val="auto"/>
        </w:rPr>
        <w:t>operating activities was $326.2 million for the first six months of 2023, compared to $7.1 million for same period</w:t>
      </w:r>
    </w:p>
    <w:p>
      <w:pPr>
        <w:ind w:left="60"/>
        <w:spacing w:after="0" w:line="235" w:lineRule="auto"/>
        <w:rPr>
          <w:sz w:val="20"/>
          <w:szCs w:val="20"/>
          <w:color w:val="auto"/>
        </w:rPr>
      </w:pPr>
      <w:r>
        <w:rPr>
          <w:rFonts w:ascii="Arial" w:cs="Arial" w:eastAsia="Arial" w:hAnsi="Arial"/>
          <w:sz w:val="18"/>
          <w:szCs w:val="18"/>
          <w:color w:val="auto"/>
        </w:rPr>
        <w:t>of 2024. The net loss, as adjusted to reconcile cash used by operating activities for the first six months of 2023</w:t>
      </w:r>
    </w:p>
    <w:p>
      <w:pPr>
        <w:ind w:left="60"/>
        <w:spacing w:after="0" w:line="235" w:lineRule="auto"/>
        <w:rPr>
          <w:sz w:val="20"/>
          <w:szCs w:val="20"/>
          <w:color w:val="auto"/>
        </w:rPr>
      </w:pPr>
      <w:r>
        <w:rPr>
          <w:rFonts w:ascii="Arial" w:cs="Arial" w:eastAsia="Arial" w:hAnsi="Arial"/>
          <w:sz w:val="18"/>
          <w:szCs w:val="18"/>
          <w:color w:val="auto"/>
        </w:rPr>
        <w:t>included non-cash manufacturing charges of $220.5 million, including $139.5 million in impairment charges,</w:t>
      </w:r>
    </w:p>
    <w:p>
      <w:pPr>
        <w:ind w:left="60"/>
        <w:spacing w:after="0" w:line="235" w:lineRule="auto"/>
        <w:rPr>
          <w:sz w:val="20"/>
          <w:szCs w:val="20"/>
          <w:color w:val="auto"/>
        </w:rPr>
      </w:pPr>
      <w:r>
        <w:rPr>
          <w:rFonts w:ascii="Arial" w:cs="Arial" w:eastAsia="Arial" w:hAnsi="Arial"/>
          <w:sz w:val="18"/>
          <w:szCs w:val="18"/>
          <w:color w:val="auto"/>
        </w:rPr>
        <w:t>$24.1 million related to the write down of inventory and prepaid inventory, $2.6 million for the loss on disposal of</w:t>
      </w:r>
    </w:p>
    <w:p>
      <w:pPr>
        <w:ind w:left="60"/>
        <w:spacing w:after="0" w:line="234" w:lineRule="auto"/>
        <w:rPr>
          <w:sz w:val="20"/>
          <w:szCs w:val="20"/>
          <w:color w:val="auto"/>
        </w:rPr>
      </w:pPr>
      <w:r>
        <w:rPr>
          <w:rFonts w:ascii="Arial" w:cs="Arial" w:eastAsia="Arial" w:hAnsi="Arial"/>
          <w:sz w:val="18"/>
          <w:szCs w:val="18"/>
          <w:color w:val="auto"/>
        </w:rPr>
        <w:t>fixed assets, and $54.3 million in depreciation of property, plant and equipment and intangible assets. No such</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charges were incurred in the first six months of 2024.</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Provided by Investing Activities</w:t>
      </w:r>
    </w:p>
    <w:p>
      <w:pPr>
        <w:spacing w:after="0" w:line="183" w:lineRule="exact"/>
        <w:rPr>
          <w:sz w:val="20"/>
          <w:szCs w:val="20"/>
          <w:color w:val="auto"/>
        </w:rPr>
      </w:pPr>
    </w:p>
    <w:p>
      <w:pPr>
        <w:ind w:left="60" w:right="99"/>
        <w:spacing w:after="0" w:line="275" w:lineRule="auto"/>
        <w:rPr>
          <w:sz w:val="20"/>
          <w:szCs w:val="20"/>
          <w:color w:val="auto"/>
        </w:rPr>
      </w:pPr>
      <w:r>
        <w:rPr>
          <w:rFonts w:ascii="Arial" w:cs="Arial" w:eastAsia="Arial" w:hAnsi="Arial"/>
          <w:sz w:val="17"/>
          <w:szCs w:val="17"/>
          <w:color w:val="auto"/>
        </w:rPr>
        <w:t>The Company had no investing activities for the six months ended June 30, 2024. Investing activities for the six months ended June 30, 2023, included $112.2 million in maturities of short-term investments, offset by $32.1 million in purchases of short-term investments and $10.2 million in purchases of property, plant, and equipment.</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Net Cash Used in Financing Activities</w:t>
      </w:r>
    </w:p>
    <w:p>
      <w:pPr>
        <w:spacing w:after="0" w:line="169" w:lineRule="exact"/>
        <w:rPr>
          <w:sz w:val="20"/>
          <w:szCs w:val="20"/>
          <w:color w:val="auto"/>
        </w:rPr>
      </w:pPr>
    </w:p>
    <w:p>
      <w:pPr>
        <w:ind w:left="60" w:right="99"/>
        <w:spacing w:after="0" w:line="253" w:lineRule="auto"/>
        <w:rPr>
          <w:sz w:val="20"/>
          <w:szCs w:val="20"/>
          <w:color w:val="auto"/>
        </w:rPr>
      </w:pPr>
      <w:r>
        <w:rPr>
          <w:rFonts w:ascii="Arial" w:cs="Arial" w:eastAsia="Arial" w:hAnsi="Arial"/>
          <w:sz w:val="18"/>
          <w:szCs w:val="18"/>
          <w:color w:val="auto"/>
        </w:rPr>
        <w:t>For the six months ended June 30, 2024, financing activities were limited to tax withholding payments related to net-settled restricted stock compensation associated with the Company’s 2020 Plan. There were no financing transactions during the six months ended June 30,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Off-Balance Sheet Arrangements</w:t>
      </w:r>
    </w:p>
    <w:p>
      <w:pPr>
        <w:spacing w:after="0" w:line="171"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color w:val="auto"/>
        </w:rPr>
        <w:t>We have no obligations, assets or liabilities, which would be considered off-balance sheet arrangements as of June 30, 2024. We do not participate in transactions that create relationships with unconsolidated entities or financial partnerships, often referred to as variable interest entities, which would have been established for the purpose of facilitating off-balance sheet arrangements. We have not entered into any off-balance sheet financing arrangements, established any special purpose entities, guaranteed any debt or commitments of other entities, or purchased any non-financial assets.</w:t>
      </w:r>
    </w:p>
    <w:p>
      <w:pPr>
        <w:spacing w:after="0" w:line="13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Critical Accounting Estimates</w:t>
      </w:r>
    </w:p>
    <w:p>
      <w:pPr>
        <w:spacing w:after="0" w:line="18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Liabilities Subject to Compromise</w:t>
      </w:r>
    </w:p>
    <w:p>
      <w:pPr>
        <w:spacing w:after="0" w:line="210" w:lineRule="exact"/>
        <w:rPr>
          <w:sz w:val="20"/>
          <w:szCs w:val="20"/>
          <w:color w:val="auto"/>
        </w:rPr>
      </w:pPr>
    </w:p>
    <w:p>
      <w:pPr>
        <w:ind w:left="60" w:right="79"/>
        <w:spacing w:after="0" w:line="247" w:lineRule="auto"/>
        <w:rPr>
          <w:sz w:val="20"/>
          <w:szCs w:val="20"/>
          <w:color w:val="auto"/>
        </w:rPr>
      </w:pPr>
      <w:r>
        <w:rPr>
          <w:rFonts w:ascii="Arial" w:cs="Arial" w:eastAsia="Arial" w:hAnsi="Arial"/>
          <w:sz w:val="18"/>
          <w:szCs w:val="18"/>
          <w:color w:val="auto"/>
        </w:rPr>
        <w:t>Since filing the Chapter 11 Cases, the Company has operated as a debtor-in-possession under the jurisdiction of the Bankruptcy Court and in accordance with the applicable provisions of the Bankruptcy Code. In the accompanying Balance Sheet, the “Liabilities subject to compromise” line is reflective of expected allowed claim amounts in accordance with ASC 852-10 and are subject to change materially based on the</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179"/>
        <w:spacing w:after="0" w:line="271" w:lineRule="auto"/>
        <w:rPr>
          <w:sz w:val="20"/>
          <w:szCs w:val="20"/>
          <w:color w:val="auto"/>
        </w:rPr>
      </w:pPr>
      <w:r>
        <w:rPr>
          <w:rFonts w:ascii="Arial" w:cs="Arial" w:eastAsia="Arial" w:hAnsi="Arial"/>
          <w:sz w:val="18"/>
          <w:szCs w:val="18"/>
          <w:color w:val="auto"/>
        </w:rPr>
        <w:t>proceedings and continued consideration of claims that may be modified, allowed, or disallowed. Refer to Note 8 - Commitments and Contingencies for further detail.</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185" w:lineRule="exact"/>
        <w:rPr>
          <w:sz w:val="20"/>
          <w:szCs w:val="20"/>
          <w:color w:val="auto"/>
        </w:rPr>
      </w:pPr>
    </w:p>
    <w:p>
      <w:pPr>
        <w:ind w:left="60" w:right="419"/>
        <w:spacing w:after="0" w:line="247" w:lineRule="auto"/>
        <w:rPr>
          <w:sz w:val="20"/>
          <w:szCs w:val="20"/>
          <w:color w:val="auto"/>
        </w:rPr>
      </w:pPr>
      <w:r>
        <w:rPr>
          <w:rFonts w:ascii="Arial" w:cs="Arial" w:eastAsia="Arial" w:hAnsi="Arial"/>
          <w:sz w:val="18"/>
          <w:szCs w:val="18"/>
          <w:color w:val="auto"/>
        </w:rPr>
        <w:t xml:space="preserve">See Note 2 </w:t>
      </w:r>
      <w:r>
        <w:rPr>
          <w:rFonts w:ascii="Arial" w:cs="Arial" w:eastAsia="Arial" w:hAnsi="Arial"/>
          <w:sz w:val="18"/>
          <w:szCs w:val="18"/>
          <w:b w:val="1"/>
          <w:bCs w:val="1"/>
          <w:color w:val="auto"/>
        </w:rPr>
        <w:t>—</w:t>
      </w:r>
      <w:r>
        <w:rPr>
          <w:rFonts w:ascii="Arial" w:cs="Arial" w:eastAsia="Arial" w:hAnsi="Arial"/>
          <w:sz w:val="18"/>
          <w:szCs w:val="18"/>
          <w:color w:val="auto"/>
        </w:rPr>
        <w:t xml:space="preserve"> Summary of Significant Accounting Policies to the Condensed Consolidated Financial Statements for more information about recent accounting pronouncements, the timing of their adoption, and management’s assessment, to the extent they have made one, of their potential impact on the Company’s financial condition and results of operations.</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a smaller reporting company, the Company is not required to provide the information required by this Item.</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Management’s Evaluation of our Disclosure Controls and Procedures</w:t>
      </w:r>
    </w:p>
    <w:p>
      <w:pPr>
        <w:spacing w:after="0" w:line="183" w:lineRule="exact"/>
        <w:rPr>
          <w:sz w:val="20"/>
          <w:szCs w:val="20"/>
          <w:color w:val="auto"/>
        </w:rPr>
      </w:pPr>
    </w:p>
    <w:p>
      <w:pPr>
        <w:ind w:left="60" w:right="119"/>
        <w:spacing w:after="0"/>
        <w:rPr>
          <w:sz w:val="20"/>
          <w:szCs w:val="20"/>
          <w:color w:val="auto"/>
        </w:rPr>
      </w:pPr>
      <w:r>
        <w:rPr>
          <w:rFonts w:ascii="Arial" w:cs="Arial" w:eastAsia="Arial" w:hAnsi="Arial"/>
          <w:sz w:val="18"/>
          <w:szCs w:val="18"/>
          <w:color w:val="auto"/>
        </w:rPr>
        <w:t>Disclosure controls and procedures (as defined in Rules 13a-15(e) and 15d-15(e) under the Exchange Act) are controls and other procedures that are designed to ensure that information required to be disclosed in our reports filed or submitted under the Exchange Act, are recorded, processed, summarized and reported within the time periods specified in the SEC’s rules and forms. Disclosure controls and procedures include, without limitation, controls, activities, and procedures designed to ensure that information required to be disclosed in company reports filed or submitted under the Exchange Act is accumulated and communicated to management to allow timely decisions regarding required disclosure.</w:t>
      </w:r>
    </w:p>
    <w:p>
      <w:pPr>
        <w:spacing w:after="0" w:line="144"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We do not expect that our disclosure controls and procedures will prevent all errors and all instances of fraud. Disclosure controls and procedures, no matter how well conceived and operated, can provide only reasonable, not absolute, assurance that the objectives of the disclosure controls and procedures are met. The design of disclosure controls and procedures must reflect the fact that there are resource constraints, and the benefits must be considered relative to their costs and the nature of operating activities. Internal control over financial reporting also can be circumvented by collusion or improper override. Because of the inherent limitations in all disclosure controls and procedures, no evaluation of disclosure controls and procedures can provide absolute assurance that we have detected all our control deficiencies and instances of fraud, if any. The design of disclosure controls and procedures also is based partly on certain assumptions about the likelihood of future events, and there can be no assurance that any design will succeed in achieving its stated goals under all potential future conditions. As required by Rules 13a-15 and 15d-15 under the Exchange Act, our Chief Executive Officer, who also serves as our Chief Financial Officer, carried out an evaluation of the effectiveness of the design and operation of our disclosure controls and procedures as of the end of the period covered by this report. Based upon his evaluation, our Chief Executive Officer and Chief Financial Officer concluded that our disclosure controls and procedures were effective.</w:t>
      </w:r>
    </w:p>
    <w:p>
      <w:pPr>
        <w:spacing w:after="0" w:line="14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Changes in Internal Control over Financial Reporting</w:t>
      </w:r>
    </w:p>
    <w:p>
      <w:pPr>
        <w:spacing w:after="0" w:line="183" w:lineRule="exact"/>
        <w:rPr>
          <w:sz w:val="20"/>
          <w:szCs w:val="20"/>
          <w:color w:val="auto"/>
        </w:rPr>
      </w:pPr>
    </w:p>
    <w:p>
      <w:pPr>
        <w:ind w:left="60" w:right="359"/>
        <w:spacing w:after="0" w:line="253" w:lineRule="auto"/>
        <w:rPr>
          <w:sz w:val="20"/>
          <w:szCs w:val="20"/>
          <w:color w:val="auto"/>
        </w:rPr>
      </w:pPr>
      <w:r>
        <w:rPr>
          <w:rFonts w:ascii="Arial" w:cs="Arial" w:eastAsia="Arial" w:hAnsi="Arial"/>
          <w:sz w:val="18"/>
          <w:szCs w:val="18"/>
          <w:color w:val="auto"/>
        </w:rPr>
        <w:t>There have been no changes in our internal control over financial reporting (as such term is defined in Rules 13a-15(f) and 15d-15(f) of the Exchange Act) during the quarter ended June 30, 2024 that have materially affected, or are reasonably likely to materially affect, our internal control over financial reporting.</w:t>
      </w:r>
    </w:p>
    <w:p>
      <w:pPr>
        <w:spacing w:after="0" w:line="155"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color w:val="auto"/>
        </w:rPr>
        <w:t>In light of the limited nature of our operations, our controls primarily relate to financial reporting and payment of our expenses. As a result of eliminating personnel, including full-time employees, we have enhanced our oversight of accounting and payment processing with increased executive involvement and support from consultants and advisors to facilitate the presentation of information with respect to our operations that is accurate and complete. Our Chief Executive Officer also serves as our Chief Financial Officer.</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171" w:lineRule="exact"/>
        <w:rPr>
          <w:sz w:val="20"/>
          <w:szCs w:val="20"/>
          <w:color w:val="auto"/>
        </w:rPr>
      </w:pPr>
    </w:p>
    <w:p>
      <w:pPr>
        <w:ind w:left="60" w:right="339"/>
        <w:spacing w:after="0" w:line="271" w:lineRule="auto"/>
        <w:rPr>
          <w:sz w:val="20"/>
          <w:szCs w:val="20"/>
          <w:color w:val="auto"/>
        </w:rPr>
      </w:pPr>
      <w:r>
        <w:rPr>
          <w:rFonts w:ascii="Arial" w:cs="Arial" w:eastAsia="Arial" w:hAnsi="Arial"/>
          <w:sz w:val="18"/>
          <w:szCs w:val="18"/>
          <w:color w:val="auto"/>
        </w:rPr>
        <w:t>For a description of our legal proceedings, see Note 8 – Commitments and Contingencies of the notes to the unaudited Condensed Consolidated Financial Statements contained herein.</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171" w:lineRule="exact"/>
        <w:rPr>
          <w:sz w:val="20"/>
          <w:szCs w:val="20"/>
          <w:color w:val="auto"/>
        </w:rPr>
      </w:pPr>
    </w:p>
    <w:p>
      <w:pPr>
        <w:ind w:left="60" w:right="199"/>
        <w:spacing w:after="0" w:line="242" w:lineRule="auto"/>
        <w:rPr>
          <w:sz w:val="20"/>
          <w:szCs w:val="20"/>
          <w:color w:val="auto"/>
        </w:rPr>
      </w:pPr>
      <w:r>
        <w:rPr>
          <w:rFonts w:ascii="Arial" w:cs="Arial" w:eastAsia="Arial" w:hAnsi="Arial"/>
          <w:sz w:val="18"/>
          <w:szCs w:val="18"/>
          <w:color w:val="auto"/>
        </w:rPr>
        <w:t>An investment in our common stock involves a high degree of risk. You should carefully consider the risks set forth in the section captioned "Risk Factors" in (i) our Annual Report on Form 10-K for the year ended December 31, 2023, filed with the SEC on February 29, 2024, and (ii) our Quarterly Report on Form 10-Q for the quarter ended March 31, 2024, filed with the SEC on May 14, 2024 before making an investment decision. During the period covered by this Quarterly Report on Form 10-Q, there have been no material changes to the risk factors previously discussed in the Company’s SEC filings.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None.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Mine Safety Disclosures</w:t>
      </w:r>
    </w:p>
    <w:p>
      <w:pPr>
        <w:spacing w:after="0" w:line="185" w:lineRule="exact"/>
        <w:rPr>
          <w:sz w:val="20"/>
          <w:szCs w:val="20"/>
          <w:color w:val="auto"/>
        </w:rPr>
      </w:pPr>
    </w:p>
    <w:p>
      <w:pPr>
        <w:ind w:left="60"/>
        <w:spacing w:after="0"/>
        <w:rPr>
          <w:sz w:val="20"/>
          <w:szCs w:val="20"/>
          <w:color w:val="auto"/>
        </w:rPr>
      </w:pPr>
      <w:r>
        <w:rPr>
          <w:rFonts w:ascii="Arial" w:cs="Arial" w:eastAsia="Arial" w:hAnsi="Arial"/>
          <w:sz w:val="18"/>
          <w:szCs w:val="18"/>
          <w:color w:val="auto"/>
        </w:rPr>
        <w:t>Not applicable.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171" w:lineRule="exact"/>
        <w:rPr>
          <w:sz w:val="20"/>
          <w:szCs w:val="20"/>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11" w:lineRule="exact"/>
        <w:rPr>
          <w:rFonts w:ascii="Arial" w:cs="Arial" w:eastAsia="Arial" w:hAnsi="Arial"/>
          <w:sz w:val="18"/>
          <w:szCs w:val="18"/>
          <w:color w:val="auto"/>
        </w:rPr>
      </w:pPr>
    </w:p>
    <w:p>
      <w:pPr>
        <w:ind w:left="720" w:hanging="319"/>
        <w:spacing w:after="0"/>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None.</w:t>
      </w:r>
    </w:p>
    <w:p>
      <w:pPr>
        <w:spacing w:after="0" w:line="211" w:lineRule="exact"/>
        <w:rPr>
          <w:rFonts w:ascii="Arial" w:cs="Arial" w:eastAsia="Arial" w:hAnsi="Arial"/>
          <w:sz w:val="18"/>
          <w:szCs w:val="18"/>
          <w:color w:val="auto"/>
        </w:rPr>
      </w:pPr>
    </w:p>
    <w:p>
      <w:pPr>
        <w:ind w:left="720" w:right="119" w:hanging="319"/>
        <w:spacing w:after="0" w:line="253" w:lineRule="auto"/>
        <w:tabs>
          <w:tab w:leader="none" w:pos="720"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quarter ended June 30, 2024, none of our directors or officers adopted or terminated any “Rule 10b5-1 trading arrangement” or “non-Rule 10b5-1 trading arrangement,” (as each term is defined in Item 408(c)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 Index</w:t>
      </w:r>
    </w:p>
    <w:p>
      <w:pPr>
        <w:spacing w:after="0" w:line="212" w:lineRule="exact"/>
        <w:rPr>
          <w:sz w:val="20"/>
          <w:szCs w:val="20"/>
          <w:color w:val="auto"/>
        </w:rPr>
      </w:pPr>
    </w:p>
    <w:tbl>
      <w:tblPr>
        <w:tblLayout w:type="fixed"/>
        <w:tblInd w:w="60" w:type="dxa"/>
        <w:tblCellMar>
          <w:top w:w="0" w:type="dxa"/>
          <w:left w:w="0" w:type="dxa"/>
          <w:bottom w:w="0" w:type="dxa"/>
          <w:right w:w="0" w:type="dxa"/>
        </w:tblCellMar>
      </w:tblPr>
      <w:tr>
        <w:trPr>
          <w:trHeight w:val="221"/>
        </w:trPr>
        <w:tc>
          <w:tcPr>
            <w:tcW w:w="11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Exhibit No.</w:t>
            </w:r>
          </w:p>
        </w:tc>
        <w:tc>
          <w:tcPr>
            <w:tcW w:w="2800" w:type="dxa"/>
            <w:vAlign w:val="bottom"/>
            <w:tcBorders>
              <w:bottom w:val="single" w:sz="8" w:color="auto"/>
            </w:tcBorders>
          </w:tcPr>
          <w:p>
            <w:pPr>
              <w:spacing w:after="0"/>
              <w:rPr>
                <w:sz w:val="19"/>
                <w:szCs w:val="19"/>
                <w:color w:val="auto"/>
              </w:rPr>
            </w:pPr>
          </w:p>
        </w:tc>
        <w:tc>
          <w:tcPr>
            <w:tcW w:w="4920" w:type="dxa"/>
            <w:vAlign w:val="bottom"/>
            <w:tcBorders>
              <w:bottom w:val="single" w:sz="8" w:color="auto"/>
            </w:tcBorders>
            <w:gridSpan w:val="4"/>
          </w:tcPr>
          <w:p>
            <w:pPr>
              <w:ind w:left="56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1180" w:type="dxa"/>
            <w:vAlign w:val="bottom"/>
          </w:tcPr>
          <w:p>
            <w:pPr>
              <w:spacing w:after="0" w:line="169" w:lineRule="exact"/>
              <w:rPr>
                <w:sz w:val="20"/>
                <w:szCs w:val="20"/>
                <w:color w:val="auto"/>
              </w:rPr>
            </w:pPr>
            <w:r>
              <w:rPr>
                <w:rFonts w:ascii="Arial" w:cs="Arial" w:eastAsia="Arial" w:hAnsi="Arial"/>
                <w:sz w:val="18"/>
                <w:szCs w:val="18"/>
                <w:color w:val="auto"/>
              </w:rPr>
              <w:t>10.1*</w:t>
            </w:r>
          </w:p>
        </w:tc>
        <w:tc>
          <w:tcPr>
            <w:tcW w:w="7720" w:type="dxa"/>
            <w:vAlign w:val="bottom"/>
            <w:gridSpan w:val="5"/>
          </w:tcPr>
          <w:p>
            <w:pPr>
              <w:spacing w:after="0" w:line="169" w:lineRule="exact"/>
              <w:rPr>
                <w:sz w:val="20"/>
                <w:szCs w:val="20"/>
                <w:color w:val="auto"/>
              </w:rPr>
            </w:pPr>
            <w:r>
              <w:rPr>
                <w:rFonts w:ascii="Arial" w:cs="Arial" w:eastAsia="Arial" w:hAnsi="Arial"/>
                <w:sz w:val="18"/>
                <w:szCs w:val="18"/>
                <w:color w:val="0000EE"/>
              </w:rPr>
              <w:t>Form of Indemnification Agreement for Directors and Executive Officers.</w:t>
            </w:r>
          </w:p>
        </w:tc>
        <w:tc>
          <w:tcPr>
            <w:tcW w:w="0" w:type="dxa"/>
            <w:vAlign w:val="bottom"/>
          </w:tcPr>
          <w:p>
            <w:pPr>
              <w:spacing w:after="0"/>
              <w:rPr>
                <w:sz w:val="1"/>
                <w:szCs w:val="1"/>
                <w:color w:val="auto"/>
              </w:rPr>
            </w:pPr>
          </w:p>
        </w:tc>
      </w:tr>
      <w:tr>
        <w:trPr>
          <w:trHeight w:val="183"/>
        </w:trPr>
        <w:tc>
          <w:tcPr>
            <w:tcW w:w="1180" w:type="dxa"/>
            <w:vAlign w:val="bottom"/>
          </w:tcPr>
          <w:p>
            <w:pPr>
              <w:spacing w:after="0" w:line="183" w:lineRule="exact"/>
              <w:rPr>
                <w:sz w:val="20"/>
                <w:szCs w:val="20"/>
                <w:color w:val="auto"/>
              </w:rPr>
            </w:pPr>
            <w:r>
              <w:rPr>
                <w:rFonts w:ascii="Arial" w:cs="Arial" w:eastAsia="Arial" w:hAnsi="Arial"/>
                <w:sz w:val="15"/>
                <w:szCs w:val="15"/>
                <w:color w:val="auto"/>
              </w:rPr>
              <w:t>10.2*</w:t>
            </w:r>
            <w:r>
              <w:rPr>
                <w:rFonts w:ascii="Arial" w:cs="Arial" w:eastAsia="Arial" w:hAnsi="Arial"/>
                <w:sz w:val="21"/>
                <w:szCs w:val="21"/>
                <w:color w:val="auto"/>
                <w:vertAlign w:val="superscript"/>
              </w:rPr>
              <w:t>†</w:t>
            </w:r>
          </w:p>
        </w:tc>
        <w:tc>
          <w:tcPr>
            <w:tcW w:w="5740" w:type="dxa"/>
            <w:vAlign w:val="bottom"/>
            <w:tcBorders>
              <w:top w:val="single" w:sz="8" w:color="0000EE"/>
            </w:tcBorders>
            <w:gridSpan w:val="3"/>
          </w:tcPr>
          <w:p>
            <w:pPr>
              <w:spacing w:after="0" w:line="182" w:lineRule="exact"/>
              <w:rPr>
                <w:sz w:val="20"/>
                <w:szCs w:val="20"/>
                <w:color w:val="auto"/>
              </w:rPr>
            </w:pPr>
            <w:r>
              <w:rPr>
                <w:rFonts w:ascii="Arial" w:cs="Arial" w:eastAsia="Arial" w:hAnsi="Arial"/>
                <w:sz w:val="18"/>
                <w:szCs w:val="18"/>
                <w:color w:val="0000EE"/>
              </w:rPr>
              <w:t>Form of Restricted Stock Award Agreement for Directors.</w:t>
            </w:r>
          </w:p>
        </w:tc>
        <w:tc>
          <w:tcPr>
            <w:tcW w:w="1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tcPr>
          <w:p>
            <w:pPr>
              <w:spacing w:after="0" w:line="182" w:lineRule="exact"/>
              <w:rPr>
                <w:sz w:val="20"/>
                <w:szCs w:val="20"/>
                <w:color w:val="auto"/>
              </w:rPr>
            </w:pPr>
            <w:r>
              <w:rPr>
                <w:rFonts w:ascii="Arial" w:cs="Arial" w:eastAsia="Arial" w:hAnsi="Arial"/>
                <w:sz w:val="18"/>
                <w:szCs w:val="18"/>
                <w:color w:val="auto"/>
              </w:rPr>
              <w:t>31.1*</w:t>
            </w:r>
          </w:p>
        </w:tc>
        <w:tc>
          <w:tcPr>
            <w:tcW w:w="4560" w:type="dxa"/>
            <w:vAlign w:val="bottom"/>
            <w:tcBorders>
              <w:top w:val="single" w:sz="8" w:color="0000EE"/>
            </w:tcBorders>
            <w:gridSpan w:val="2"/>
          </w:tcPr>
          <w:p>
            <w:pPr>
              <w:spacing w:after="0" w:line="182" w:lineRule="exact"/>
              <w:rPr>
                <w:sz w:val="20"/>
                <w:szCs w:val="20"/>
                <w:color w:val="auto"/>
              </w:rPr>
            </w:pPr>
            <w:r>
              <w:rPr>
                <w:rFonts w:ascii="Arial" w:cs="Arial" w:eastAsia="Arial" w:hAnsi="Arial"/>
                <w:sz w:val="18"/>
                <w:szCs w:val="18"/>
                <w:color w:val="0000EE"/>
              </w:rPr>
              <w:t>Certification of Principal Executive Officer and Principal</w:t>
            </w:r>
          </w:p>
        </w:tc>
        <w:tc>
          <w:tcPr>
            <w:tcW w:w="3160" w:type="dxa"/>
            <w:vAlign w:val="bottom"/>
            <w:gridSpan w:val="3"/>
          </w:tcPr>
          <w:p>
            <w:pPr>
              <w:spacing w:after="0" w:line="182" w:lineRule="exact"/>
              <w:rPr>
                <w:sz w:val="20"/>
                <w:szCs w:val="20"/>
                <w:color w:val="auto"/>
              </w:rPr>
            </w:pPr>
            <w:r>
              <w:rPr>
                <w:rFonts w:ascii="Arial" w:cs="Arial" w:eastAsia="Arial" w:hAnsi="Arial"/>
                <w:sz w:val="18"/>
                <w:szCs w:val="18"/>
                <w:color w:val="0000EE"/>
                <w:w w:val="96"/>
              </w:rPr>
              <w:t>Financial Officer pursuant to Section 302</w:t>
            </w: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32.1**</w:t>
            </w:r>
          </w:p>
        </w:tc>
        <w:tc>
          <w:tcPr>
            <w:tcW w:w="77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180" w:type="dxa"/>
            <w:vAlign w:val="bottom"/>
            <w:vMerge w:val="continue"/>
          </w:tcPr>
          <w:p>
            <w:pPr>
              <w:spacing w:after="0"/>
              <w:rPr>
                <w:sz w:val="15"/>
                <w:szCs w:val="15"/>
                <w:color w:val="auto"/>
              </w:rPr>
            </w:pPr>
          </w:p>
        </w:tc>
        <w:tc>
          <w:tcPr>
            <w:tcW w:w="2800" w:type="dxa"/>
            <w:vAlign w:val="bottom"/>
            <w:tcBorders>
              <w:top w:val="single" w:sz="8" w:color="0000EE"/>
            </w:tcBorders>
          </w:tcPr>
          <w:p>
            <w:pPr>
              <w:spacing w:after="0" w:line="182" w:lineRule="exact"/>
              <w:rPr>
                <w:sz w:val="20"/>
                <w:szCs w:val="20"/>
                <w:color w:val="auto"/>
              </w:rPr>
            </w:pPr>
            <w:r>
              <w:rPr>
                <w:rFonts w:ascii="Arial" w:cs="Arial" w:eastAsia="Arial" w:hAnsi="Arial"/>
                <w:sz w:val="18"/>
                <w:szCs w:val="18"/>
                <w:color w:val="0000EE"/>
              </w:rPr>
              <w:t>Certification of Principal Executive</w:t>
            </w:r>
          </w:p>
        </w:tc>
        <w:tc>
          <w:tcPr>
            <w:tcW w:w="4920" w:type="dxa"/>
            <w:vAlign w:val="bottom"/>
            <w:gridSpan w:val="4"/>
          </w:tcPr>
          <w:p>
            <w:pPr>
              <w:spacing w:after="0" w:line="182" w:lineRule="exact"/>
              <w:rPr>
                <w:sz w:val="20"/>
                <w:szCs w:val="20"/>
                <w:color w:val="auto"/>
              </w:rPr>
            </w:pPr>
            <w:r>
              <w:rPr>
                <w:rFonts w:ascii="Arial" w:cs="Arial" w:eastAsia="Arial" w:hAnsi="Arial"/>
                <w:sz w:val="18"/>
                <w:szCs w:val="18"/>
                <w:color w:val="0000EE"/>
                <w:w w:val="99"/>
              </w:rPr>
              <w:t>Officer and Principal Financial Officer pursuant to Section 906</w:t>
            </w:r>
          </w:p>
        </w:tc>
        <w:tc>
          <w:tcPr>
            <w:tcW w:w="0" w:type="dxa"/>
            <w:vAlign w:val="bottom"/>
          </w:tcPr>
          <w:p>
            <w:pPr>
              <w:spacing w:after="0"/>
              <w:rPr>
                <w:sz w:val="1"/>
                <w:szCs w:val="1"/>
                <w:color w:val="auto"/>
              </w:rPr>
            </w:pPr>
          </w:p>
        </w:tc>
      </w:tr>
      <w:tr>
        <w:trPr>
          <w:trHeight w:val="183"/>
        </w:trPr>
        <w:tc>
          <w:tcPr>
            <w:tcW w:w="1180" w:type="dxa"/>
            <w:vAlign w:val="bottom"/>
            <w:vMerge w:val="restart"/>
          </w:tcPr>
          <w:p>
            <w:pPr>
              <w:spacing w:after="0"/>
              <w:rPr>
                <w:sz w:val="20"/>
                <w:szCs w:val="20"/>
                <w:color w:val="auto"/>
              </w:rPr>
            </w:pPr>
            <w:r>
              <w:rPr>
                <w:rFonts w:ascii="Arial" w:cs="Arial" w:eastAsia="Arial" w:hAnsi="Arial"/>
                <w:sz w:val="18"/>
                <w:szCs w:val="18"/>
                <w:color w:val="auto"/>
              </w:rPr>
              <w:t>101.INS*</w:t>
            </w:r>
          </w:p>
        </w:tc>
        <w:tc>
          <w:tcPr>
            <w:tcW w:w="7700" w:type="dxa"/>
            <w:vAlign w:val="bottom"/>
            <w:tcBorders>
              <w:top w:val="single" w:sz="8" w:color="0000EE"/>
            </w:tcBorders>
            <w:gridSpan w:val="4"/>
          </w:tcPr>
          <w:p>
            <w:pPr>
              <w:spacing w:after="0" w:line="182" w:lineRule="exact"/>
              <w:rPr>
                <w:sz w:val="20"/>
                <w:szCs w:val="20"/>
                <w:color w:val="auto"/>
              </w:rPr>
            </w:pPr>
            <w:r>
              <w:rPr>
                <w:rFonts w:ascii="Arial" w:cs="Arial" w:eastAsia="Arial" w:hAnsi="Arial"/>
                <w:sz w:val="18"/>
                <w:szCs w:val="18"/>
                <w:color w:val="0000EE"/>
              </w:rPr>
              <w:t>of the Sarbanes-Oxley Act of 2002.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1180" w:type="dxa"/>
            <w:vAlign w:val="bottom"/>
            <w:vMerge w:val="continue"/>
          </w:tcPr>
          <w:p>
            <w:pPr>
              <w:spacing w:after="0"/>
              <w:rPr>
                <w:sz w:val="16"/>
                <w:szCs w:val="16"/>
                <w:color w:val="auto"/>
              </w:rPr>
            </w:pPr>
          </w:p>
        </w:tc>
        <w:tc>
          <w:tcPr>
            <w:tcW w:w="2800" w:type="dxa"/>
            <w:vAlign w:val="bottom"/>
            <w:tcBorders>
              <w:top w:val="single" w:sz="8" w:color="0000EE"/>
            </w:tcBorders>
          </w:tcPr>
          <w:p>
            <w:pPr>
              <w:spacing w:after="0" w:line="191" w:lineRule="exact"/>
              <w:rPr>
                <w:sz w:val="20"/>
                <w:szCs w:val="20"/>
                <w:color w:val="auto"/>
              </w:rPr>
            </w:pPr>
            <w:r>
              <w:rPr>
                <w:rFonts w:ascii="Arial" w:cs="Arial" w:eastAsia="Arial" w:hAnsi="Arial"/>
                <w:sz w:val="18"/>
                <w:szCs w:val="18"/>
                <w:color w:val="auto"/>
              </w:rPr>
              <w:t>Inline XBRL Instance Document –</w:t>
            </w:r>
          </w:p>
        </w:tc>
        <w:tc>
          <w:tcPr>
            <w:tcW w:w="4920" w:type="dxa"/>
            <w:vAlign w:val="bottom"/>
            <w:gridSpan w:val="4"/>
          </w:tcPr>
          <w:p>
            <w:pPr>
              <w:spacing w:after="0" w:line="191" w:lineRule="exact"/>
              <w:rPr>
                <w:sz w:val="20"/>
                <w:szCs w:val="20"/>
                <w:color w:val="auto"/>
              </w:rPr>
            </w:pPr>
            <w:r>
              <w:rPr>
                <w:rFonts w:ascii="Arial" w:cs="Arial" w:eastAsia="Arial" w:hAnsi="Arial"/>
                <w:sz w:val="18"/>
                <w:szCs w:val="18"/>
                <w:color w:val="auto"/>
              </w:rPr>
              <w:t>the instance document does not appear in the Interactive</w:t>
            </w:r>
          </w:p>
        </w:tc>
        <w:tc>
          <w:tcPr>
            <w:tcW w:w="0" w:type="dxa"/>
            <w:vAlign w:val="bottom"/>
          </w:tcPr>
          <w:p>
            <w:pPr>
              <w:spacing w:after="0"/>
              <w:rPr>
                <w:sz w:val="1"/>
                <w:szCs w:val="1"/>
                <w:color w:val="auto"/>
              </w:rPr>
            </w:pPr>
          </w:p>
        </w:tc>
      </w:tr>
      <w:tr>
        <w:trPr>
          <w:trHeight w:val="203"/>
        </w:trPr>
        <w:tc>
          <w:tcPr>
            <w:tcW w:w="1180" w:type="dxa"/>
            <w:vAlign w:val="bottom"/>
          </w:tcPr>
          <w:p>
            <w:pPr>
              <w:spacing w:after="0"/>
              <w:rPr>
                <w:sz w:val="17"/>
                <w:szCs w:val="17"/>
                <w:color w:val="auto"/>
              </w:rPr>
            </w:pP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Data File because its XBRL tags are embedded within the Inline XBRL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101.SCH*</w:t>
            </w: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101.CAL*</w:t>
            </w: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101.DEF*</w:t>
            </w: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101.LAB*</w:t>
            </w: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101.PRE*</w:t>
            </w: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03"/>
        </w:trPr>
        <w:tc>
          <w:tcPr>
            <w:tcW w:w="1180" w:type="dxa"/>
            <w:vAlign w:val="bottom"/>
          </w:tcPr>
          <w:p>
            <w:pPr>
              <w:spacing w:after="0" w:line="202" w:lineRule="exact"/>
              <w:rPr>
                <w:sz w:val="20"/>
                <w:szCs w:val="20"/>
                <w:color w:val="auto"/>
              </w:rPr>
            </w:pPr>
            <w:r>
              <w:rPr>
                <w:rFonts w:ascii="Arial" w:cs="Arial" w:eastAsia="Arial" w:hAnsi="Arial"/>
                <w:sz w:val="18"/>
                <w:szCs w:val="18"/>
                <w:color w:val="auto"/>
              </w:rPr>
              <w:t>104*</w:t>
            </w:r>
          </w:p>
        </w:tc>
        <w:tc>
          <w:tcPr>
            <w:tcW w:w="7720" w:type="dxa"/>
            <w:vAlign w:val="bottom"/>
            <w:gridSpan w:val="5"/>
          </w:tcPr>
          <w:p>
            <w:pPr>
              <w:spacing w:after="0" w:line="202" w:lineRule="exact"/>
              <w:rPr>
                <w:sz w:val="20"/>
                <w:szCs w:val="20"/>
                <w:color w:val="auto"/>
              </w:rPr>
            </w:pPr>
            <w:r>
              <w:rPr>
                <w:rFonts w:ascii="Arial" w:cs="Arial" w:eastAsia="Arial" w:hAnsi="Arial"/>
                <w:sz w:val="18"/>
                <w:szCs w:val="18"/>
                <w:color w:val="auto"/>
              </w:rPr>
              <w:t>Cover Page Interactive Data File – The cover page interactive data file does not appear in the</w:t>
            </w:r>
          </w:p>
        </w:tc>
        <w:tc>
          <w:tcPr>
            <w:tcW w:w="0" w:type="dxa"/>
            <w:vAlign w:val="bottom"/>
          </w:tcPr>
          <w:p>
            <w:pPr>
              <w:spacing w:after="0"/>
              <w:rPr>
                <w:sz w:val="1"/>
                <w:szCs w:val="1"/>
                <w:color w:val="auto"/>
              </w:rPr>
            </w:pPr>
          </w:p>
        </w:tc>
      </w:tr>
      <w:tr>
        <w:trPr>
          <w:trHeight w:val="239"/>
        </w:trPr>
        <w:tc>
          <w:tcPr>
            <w:tcW w:w="1180" w:type="dxa"/>
            <w:vAlign w:val="bottom"/>
          </w:tcPr>
          <w:p>
            <w:pPr>
              <w:spacing w:after="0"/>
              <w:rPr>
                <w:sz w:val="20"/>
                <w:szCs w:val="20"/>
                <w:color w:val="auto"/>
              </w:rPr>
            </w:pPr>
          </w:p>
        </w:tc>
        <w:tc>
          <w:tcPr>
            <w:tcW w:w="7720" w:type="dxa"/>
            <w:vAlign w:val="bottom"/>
            <w:gridSpan w:val="5"/>
          </w:tcPr>
          <w:p>
            <w:pPr>
              <w:spacing w:after="0"/>
              <w:rPr>
                <w:sz w:val="20"/>
                <w:szCs w:val="20"/>
                <w:color w:val="auto"/>
              </w:rPr>
            </w:pPr>
            <w:r>
              <w:rPr>
                <w:rFonts w:ascii="Arial" w:cs="Arial" w:eastAsia="Arial" w:hAnsi="Arial"/>
                <w:sz w:val="18"/>
                <w:szCs w:val="18"/>
                <w:color w:val="auto"/>
              </w:rPr>
              <w:t>Interactive Data File because its XBRL tags are embedded within the Inline XBRL document</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380" w:hanging="330"/>
        <w:spacing w:after="0"/>
        <w:tabs>
          <w:tab w:leader="none" w:pos="380" w:val="left"/>
        </w:tabs>
        <w:numPr>
          <w:ilvl w:val="0"/>
          <w:numId w:val="6"/>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sz w:val="20"/>
          <w:szCs w:val="20"/>
          <w:color w:val="auto"/>
        </w:rPr>
      </w:pPr>
    </w:p>
    <w:p>
      <w:pPr>
        <w:ind w:left="380" w:hanging="330"/>
        <w:spacing w:after="0"/>
        <w:tabs>
          <w:tab w:leader="none" w:pos="38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Furnished herewith</w:t>
      </w:r>
    </w:p>
    <w:p>
      <w:pPr>
        <w:ind w:left="380" w:hanging="330"/>
        <w:spacing w:after="0"/>
        <w:tabs>
          <w:tab w:leader="none" w:pos="38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85" w:lineRule="exact"/>
        <w:rPr>
          <w:sz w:val="20"/>
          <w:szCs w:val="20"/>
          <w:color w:val="auto"/>
        </w:rPr>
      </w:pPr>
    </w:p>
    <w:p>
      <w:pPr>
        <w:ind w:left="60" w:right="59"/>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4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4460" w:type="dxa"/>
            <w:vAlign w:val="bottom"/>
          </w:tcPr>
          <w:p>
            <w:pPr>
              <w:spacing w:after="0"/>
              <w:rPr>
                <w:sz w:val="21"/>
                <w:szCs w:val="21"/>
                <w:color w:val="auto"/>
              </w:rPr>
            </w:pPr>
          </w:p>
        </w:tc>
        <w:tc>
          <w:tcPr>
            <w:tcW w:w="2860" w:type="dxa"/>
            <w:vAlign w:val="bottom"/>
            <w:gridSpan w:val="2"/>
          </w:tcPr>
          <w:p>
            <w:pPr>
              <w:spacing w:after="0"/>
              <w:rPr>
                <w:sz w:val="20"/>
                <w:szCs w:val="20"/>
                <w:color w:val="auto"/>
              </w:rPr>
            </w:pPr>
            <w:r>
              <w:rPr>
                <w:rFonts w:ascii="Arial" w:cs="Arial" w:eastAsia="Arial" w:hAnsi="Arial"/>
                <w:sz w:val="18"/>
                <w:szCs w:val="18"/>
                <w:b w:val="1"/>
                <w:bCs w:val="1"/>
                <w:color w:val="auto"/>
              </w:rPr>
              <w:t>NU RIDE INC.</w:t>
            </w:r>
          </w:p>
        </w:tc>
      </w:tr>
      <w:tr>
        <w:trPr>
          <w:trHeight w:val="555"/>
        </w:trPr>
        <w:tc>
          <w:tcPr>
            <w:tcW w:w="4460" w:type="dxa"/>
            <w:vAlign w:val="bottom"/>
          </w:tcPr>
          <w:p>
            <w:pPr>
              <w:spacing w:after="0"/>
              <w:rPr>
                <w:sz w:val="20"/>
                <w:szCs w:val="20"/>
                <w:color w:val="auto"/>
              </w:rPr>
            </w:pPr>
            <w:r>
              <w:rPr>
                <w:rFonts w:ascii="Arial" w:cs="Arial" w:eastAsia="Arial" w:hAnsi="Arial"/>
                <w:sz w:val="18"/>
                <w:szCs w:val="18"/>
                <w:color w:val="auto"/>
              </w:rPr>
              <w:t>Date: August 13, 2024</w:t>
            </w:r>
          </w:p>
        </w:tc>
        <w:tc>
          <w:tcPr>
            <w:tcW w:w="2860" w:type="dxa"/>
            <w:vAlign w:val="bottom"/>
            <w:gridSpan w:val="2"/>
          </w:tcPr>
          <w:p>
            <w:pPr>
              <w:spacing w:after="0"/>
              <w:rPr>
                <w:sz w:val="20"/>
                <w:szCs w:val="20"/>
                <w:color w:val="auto"/>
              </w:rPr>
            </w:pPr>
            <w:r>
              <w:rPr>
                <w:rFonts w:ascii="Arial" w:cs="Arial" w:eastAsia="Arial" w:hAnsi="Arial"/>
                <w:sz w:val="18"/>
                <w:szCs w:val="18"/>
                <w:color w:val="auto"/>
                <w:w w:val="99"/>
              </w:rPr>
              <w:t>/s/ William Gallagher____________</w:t>
            </w:r>
          </w:p>
        </w:tc>
      </w:tr>
      <w:tr>
        <w:trPr>
          <w:trHeight w:val="191"/>
        </w:trPr>
        <w:tc>
          <w:tcPr>
            <w:tcW w:w="4460" w:type="dxa"/>
            <w:vAlign w:val="bottom"/>
          </w:tcPr>
          <w:p>
            <w:pPr>
              <w:spacing w:after="0"/>
              <w:rPr>
                <w:sz w:val="16"/>
                <w:szCs w:val="16"/>
                <w:color w:val="auto"/>
              </w:rPr>
            </w:pPr>
          </w:p>
        </w:tc>
        <w:tc>
          <w:tcPr>
            <w:tcW w:w="2840" w:type="dxa"/>
            <w:vAlign w:val="bottom"/>
            <w:tcBorders>
              <w:top w:val="single" w:sz="8" w:color="auto"/>
            </w:tcBorders>
          </w:tcPr>
          <w:p>
            <w:pPr>
              <w:spacing w:after="0" w:line="191" w:lineRule="exact"/>
              <w:rPr>
                <w:sz w:val="20"/>
                <w:szCs w:val="20"/>
                <w:color w:val="auto"/>
              </w:rPr>
            </w:pPr>
            <w:r>
              <w:rPr>
                <w:rFonts w:ascii="Arial" w:cs="Arial" w:eastAsia="Arial" w:hAnsi="Arial"/>
                <w:sz w:val="18"/>
                <w:szCs w:val="18"/>
                <w:color w:val="auto"/>
              </w:rPr>
              <w:t>William Gallagher</w:t>
            </w:r>
          </w:p>
        </w:tc>
        <w:tc>
          <w:tcPr>
            <w:tcW w:w="20" w:type="dxa"/>
            <w:vAlign w:val="bottom"/>
          </w:tcPr>
          <w:p>
            <w:pPr>
              <w:spacing w:after="0"/>
              <w:rPr>
                <w:sz w:val="16"/>
                <w:szCs w:val="16"/>
                <w:color w:val="auto"/>
              </w:rPr>
            </w:pPr>
          </w:p>
        </w:tc>
      </w:tr>
      <w:tr>
        <w:trPr>
          <w:trHeight w:val="203"/>
        </w:trPr>
        <w:tc>
          <w:tcPr>
            <w:tcW w:w="446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Chief Executive Officer, President,</w:t>
            </w:r>
          </w:p>
        </w:tc>
      </w:tr>
      <w:tr>
        <w:trPr>
          <w:trHeight w:val="203"/>
        </w:trPr>
        <w:tc>
          <w:tcPr>
            <w:tcW w:w="446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Secretary, and Treasurer</w:t>
            </w:r>
          </w:p>
        </w:tc>
      </w:tr>
      <w:tr>
        <w:trPr>
          <w:trHeight w:val="202"/>
        </w:trPr>
        <w:tc>
          <w:tcPr>
            <w:tcW w:w="4460" w:type="dxa"/>
            <w:vAlign w:val="bottom"/>
          </w:tcPr>
          <w:p>
            <w:pPr>
              <w:spacing w:after="0"/>
              <w:rPr>
                <w:sz w:val="17"/>
                <w:szCs w:val="17"/>
                <w:color w:val="auto"/>
              </w:rPr>
            </w:pPr>
          </w:p>
        </w:tc>
        <w:tc>
          <w:tcPr>
            <w:tcW w:w="2860" w:type="dxa"/>
            <w:vAlign w:val="bottom"/>
            <w:gridSpan w:val="2"/>
          </w:tcPr>
          <w:p>
            <w:pPr>
              <w:spacing w:after="0" w:line="202" w:lineRule="exact"/>
              <w:rPr>
                <w:sz w:val="20"/>
                <w:szCs w:val="20"/>
                <w:color w:val="auto"/>
              </w:rPr>
            </w:pPr>
            <w:r>
              <w:rPr>
                <w:rFonts w:ascii="Arial" w:cs="Arial" w:eastAsia="Arial" w:hAnsi="Arial"/>
                <w:sz w:val="18"/>
                <w:szCs w:val="18"/>
                <w:color w:val="auto"/>
              </w:rPr>
              <w:t>(Principal Executive Officer and</w:t>
            </w:r>
          </w:p>
        </w:tc>
      </w:tr>
      <w:tr>
        <w:trPr>
          <w:trHeight w:val="239"/>
        </w:trPr>
        <w:tc>
          <w:tcPr>
            <w:tcW w:w="4460" w:type="dxa"/>
            <w:vAlign w:val="bottom"/>
          </w:tcPr>
          <w:p>
            <w:pPr>
              <w:spacing w:after="0"/>
              <w:rPr>
                <w:sz w:val="20"/>
                <w:szCs w:val="20"/>
                <w:color w:val="auto"/>
              </w:rPr>
            </w:pPr>
          </w:p>
        </w:tc>
        <w:tc>
          <w:tcPr>
            <w:tcW w:w="28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INDEMNITY AGREEMENT</w:t>
      </w:r>
    </w:p>
    <w:p>
      <w:pPr>
        <w:spacing w:after="0" w:line="2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b w:val="1"/>
          <w:bCs w:val="1"/>
          <w:color w:val="auto"/>
        </w:rPr>
        <w:t xml:space="preserve">THIS INDEMNITY AGREEMENT </w:t>
      </w:r>
      <w:r>
        <w:rPr>
          <w:rFonts w:ascii="Times New Roman" w:cs="Times New Roman" w:eastAsia="Times New Roman" w:hAnsi="Times New Roman"/>
          <w:sz w:val="22"/>
          <w:szCs w:val="22"/>
          <w:color w:val="auto"/>
        </w:rPr>
        <w:t>(this “</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color w:val="auto"/>
        </w:rPr>
        <w:t>”) is made as of _________________, by and</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between Nu Ride Inc., a Delaware corporation (the “</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color w:val="auto"/>
        </w:rPr>
        <w:t>”), and _________________(“</w:t>
      </w:r>
      <w:r>
        <w:rPr>
          <w:rFonts w:ascii="Times New Roman" w:cs="Times New Roman" w:eastAsia="Times New Roman" w:hAnsi="Times New Roman"/>
          <w:sz w:val="22"/>
          <w:szCs w:val="22"/>
          <w:b w:val="1"/>
          <w:bCs w:val="1"/>
          <w:i w:val="1"/>
          <w:iCs w:val="1"/>
          <w:color w:val="auto"/>
        </w:rPr>
        <w:t>Indemnitee</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highly competent persons have become more reluctant to serve publicly-held corporations as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directors, officers or in other capacities unless they are provided with adequate protection through insurance or adequate indemnification against inordinate risks of claims and actions against them arising out of their service to and activities on behalf of such corporations;</w:t>
      </w:r>
    </w:p>
    <w:p>
      <w:pPr>
        <w:spacing w:after="0" w:line="197" w:lineRule="exact"/>
        <w:rPr>
          <w:sz w:val="20"/>
          <w:szCs w:val="20"/>
          <w:color w:val="auto"/>
        </w:rPr>
      </w:pPr>
    </w:p>
    <w:p>
      <w:pPr>
        <w:jc w:val="both"/>
        <w:ind w:firstLine="648"/>
        <w:spacing w:after="0" w:line="234"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of Directors of the Company (the “</w:t>
      </w:r>
      <w:r>
        <w:rPr>
          <w:rFonts w:ascii="Times New Roman" w:cs="Times New Roman" w:eastAsia="Times New Roman" w:hAnsi="Times New Roman"/>
          <w:sz w:val="22"/>
          <w:szCs w:val="22"/>
          <w:b w:val="1"/>
          <w:bCs w:val="1"/>
          <w:i w:val="1"/>
          <w:iCs w:val="1"/>
          <w:color w:val="auto"/>
        </w:rPr>
        <w:t>Board</w:t>
      </w:r>
      <w:r>
        <w:rPr>
          <w:rFonts w:ascii="Times New Roman" w:cs="Times New Roman" w:eastAsia="Times New Roman" w:hAnsi="Times New Roman"/>
          <w:sz w:val="22"/>
          <w:szCs w:val="22"/>
          <w:color w:val="auto"/>
        </w:rPr>
        <w:t>”) has determined that, in order to attract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retain qualified individuals, the Company will attempt to maintain on an ongoing basis, at its sole expense, liability insurance to protect persons serving the Company and its subsidiaries from certain liabilities. The Third Amended and Restated Certificate of Incorporation (the “</w:t>
      </w:r>
      <w:r>
        <w:rPr>
          <w:rFonts w:ascii="Times New Roman" w:cs="Times New Roman" w:eastAsia="Times New Roman" w:hAnsi="Times New Roman"/>
          <w:sz w:val="22"/>
          <w:szCs w:val="22"/>
          <w:b w:val="1"/>
          <w:bCs w:val="1"/>
          <w:i w:val="1"/>
          <w:iCs w:val="1"/>
          <w:color w:val="auto"/>
        </w:rPr>
        <w:t>Charter</w:t>
      </w:r>
      <w:r>
        <w:rPr>
          <w:rFonts w:ascii="Times New Roman" w:cs="Times New Roman" w:eastAsia="Times New Roman" w:hAnsi="Times New Roman"/>
          <w:sz w:val="22"/>
          <w:szCs w:val="22"/>
          <w:color w:val="auto"/>
        </w:rPr>
        <w:t>”) and the Second Amended and Restated Bylaws (the “</w:t>
      </w:r>
      <w:r>
        <w:rPr>
          <w:rFonts w:ascii="Times New Roman" w:cs="Times New Roman" w:eastAsia="Times New Roman" w:hAnsi="Times New Roman"/>
          <w:sz w:val="22"/>
          <w:szCs w:val="22"/>
          <w:b w:val="1"/>
          <w:bCs w:val="1"/>
          <w:i w:val="1"/>
          <w:iCs w:val="1"/>
          <w:color w:val="auto"/>
        </w:rPr>
        <w:t>Bylaws</w:t>
      </w:r>
      <w:r>
        <w:rPr>
          <w:rFonts w:ascii="Times New Roman" w:cs="Times New Roman" w:eastAsia="Times New Roman" w:hAnsi="Times New Roman"/>
          <w:sz w:val="22"/>
          <w:szCs w:val="22"/>
          <w:color w:val="auto"/>
        </w:rPr>
        <w:t>”) of the Company require indemnification of the officers and directors of the Company. Indemnitee may also be entitled to indemnification pursuant to applicable provisions of the Delaware General Corporation Law (“</w:t>
      </w:r>
      <w:r>
        <w:rPr>
          <w:rFonts w:ascii="Times New Roman" w:cs="Times New Roman" w:eastAsia="Times New Roman" w:hAnsi="Times New Roman"/>
          <w:sz w:val="22"/>
          <w:szCs w:val="22"/>
          <w:b w:val="1"/>
          <w:bCs w:val="1"/>
          <w:i w:val="1"/>
          <w:iCs w:val="1"/>
          <w:color w:val="auto"/>
        </w:rPr>
        <w:t>DGCL</w:t>
      </w:r>
      <w:r>
        <w:rPr>
          <w:rFonts w:ascii="Times New Roman" w:cs="Times New Roman" w:eastAsia="Times New Roman" w:hAnsi="Times New Roman"/>
          <w:sz w:val="22"/>
          <w:szCs w:val="22"/>
          <w:color w:val="auto"/>
        </w:rPr>
        <w:t>”). The Charter, Bylaws and the DGCL expressly provide that the indemnification provisions set forth therein are not exclusive, and thereby contemplate that contracts may be entered into between the Company and members of the Board, officers and other persons with respect to indemnification, hold harmless, exoneration, advancement and reimbursement rights;</w:t>
      </w:r>
    </w:p>
    <w:p>
      <w:pPr>
        <w:spacing w:after="0" w:line="208"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uncertainties relating to such insurance and to indemnification have increased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difficulty of attracting and retaining such persons;</w:t>
      </w:r>
    </w:p>
    <w:p>
      <w:pPr>
        <w:spacing w:after="0" w:line="17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the Board has determined that the increased difficulty in attracting and retaining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persons is detrimental to the best interests of the Company’s stockholders and that the Company should act to assure such persons that there will be increased certainty of such protection in the future;</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it is reasonable, prudent and necessary for the Company contractually to obligate itself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indemnify, hold harmless, exonerate and to advance expenses on behalf of, such persons to the fullest extent permitted by applicable law so that they will serve or continue to serve the Company free from undue concern that they will not be so protected against liabilities;</w:t>
      </w:r>
    </w:p>
    <w:p>
      <w:pPr>
        <w:spacing w:after="0" w:line="19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this Agreement is a supplement to and in furtherance of the Charter and Bylaws of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and any resolutions adopted pursuant thereto, and shall not be deemed a substitute therefor, nor to diminish or abrogate any rights of Indemnitee thereunder; and</w:t>
      </w:r>
    </w:p>
    <w:p>
      <w:pPr>
        <w:spacing w:after="0" w:line="194"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22"/>
          <w:szCs w:val="22"/>
          <w:b w:val="1"/>
          <w:bCs w:val="1"/>
          <w:color w:val="auto"/>
        </w:rPr>
        <w:t>WHEREAS</w:t>
      </w:r>
      <w:r>
        <w:rPr>
          <w:rFonts w:ascii="Times New Roman" w:cs="Times New Roman" w:eastAsia="Times New Roman" w:hAnsi="Times New Roman"/>
          <w:sz w:val="22"/>
          <w:szCs w:val="22"/>
          <w:color w:val="auto"/>
        </w:rPr>
        <w:t>, Indemnitee may not be willing to serve as an officer or director without adequate protection,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the Company desires Indemnitee to serve in such capacity. Indemnitee is willing to serve, continue to serve and to take on additional service for or on behalf of the Company on the condition that he or she be so indemnified.</w:t>
      </w:r>
    </w:p>
    <w:p>
      <w:pPr>
        <w:spacing w:after="0" w:line="19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NOW, THEREFORE</w:t>
      </w:r>
      <w:r>
        <w:rPr>
          <w:rFonts w:ascii="Times New Roman" w:cs="Times New Roman" w:eastAsia="Times New Roman" w:hAnsi="Times New Roman"/>
          <w:sz w:val="22"/>
          <w:szCs w:val="22"/>
          <w:color w:val="auto"/>
        </w:rPr>
        <w:t>, in consideration of the premises and the covenants contained herein, the Company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Indemnitee do hereby covenant and agree as follows: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7" w:name="page38"/>
    <w:bookmarkEnd w:id="37"/>
    <w:p>
      <w:pPr>
        <w:jc w:val="both"/>
        <w:ind w:firstLine="656"/>
        <w:spacing w:after="0" w:line="235" w:lineRule="auto"/>
        <w:tabs>
          <w:tab w:leader="none" w:pos="1296"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SERVICES TO THE COMPANY</w:t>
      </w:r>
      <w:r>
        <w:rPr>
          <w:rFonts w:ascii="Times New Roman" w:cs="Times New Roman" w:eastAsia="Times New Roman" w:hAnsi="Times New Roman"/>
          <w:sz w:val="22"/>
          <w:szCs w:val="22"/>
          <w:color w:val="auto"/>
        </w:rPr>
        <w:t>. In consideration of the Company’s covenants and obligations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hereunder, Indemnitee will serve or continue to serve as an officer, director, advisor, key employee or in any other capacity of the Company, as applicable, for so long as Indemnitee is duly elected or appointed or retained or until Indemnitee tenders his or her resignation or until Indemnitee is removed. The foregoing notwithstanding, this Agreement shall continue in full force and effect after Indemnitee has ceased to serve as a director, officer, advisor, key employee or in any other capacity of the Company, as provided in Section 17. This Agreement, however, shall not impose any obligation on Indemnitee or the Company to continue Indemnitee’s service to the Company beyond any period otherwise required by law or by other agreements or commitments of the parties, if any.</w:t>
      </w:r>
    </w:p>
    <w:p>
      <w:pPr>
        <w:spacing w:after="0" w:line="201"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DEFINITIONS</w:t>
      </w:r>
      <w:r>
        <w:rPr>
          <w:rFonts w:ascii="Times New Roman" w:cs="Times New Roman" w:eastAsia="Times New Roman" w:hAnsi="Times New Roman"/>
          <w:sz w:val="22"/>
          <w:szCs w:val="22"/>
          <w:color w:val="auto"/>
        </w:rPr>
        <w:t>. As used in this Agreement:</w:t>
      </w:r>
    </w:p>
    <w:p>
      <w:pPr>
        <w:spacing w:after="0" w:line="231" w:lineRule="exact"/>
        <w:rPr>
          <w:sz w:val="20"/>
          <w:szCs w:val="20"/>
          <w:color w:val="auto"/>
        </w:rPr>
      </w:pPr>
    </w:p>
    <w:p>
      <w:pPr>
        <w:jc w:val="both"/>
        <w:ind w:firstLine="656"/>
        <w:spacing w:after="0" w:line="253" w:lineRule="auto"/>
        <w:tabs>
          <w:tab w:leader="none" w:pos="1296" w:val="left"/>
        </w:tabs>
        <w:numPr>
          <w:ilvl w:val="0"/>
          <w:numId w:val="1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References to “</w:t>
      </w:r>
      <w:r>
        <w:rPr>
          <w:rFonts w:ascii="Times New Roman" w:cs="Times New Roman" w:eastAsia="Times New Roman" w:hAnsi="Times New Roman"/>
          <w:sz w:val="21"/>
          <w:szCs w:val="21"/>
          <w:b w:val="1"/>
          <w:bCs w:val="1"/>
          <w:i w:val="1"/>
          <w:iCs w:val="1"/>
          <w:color w:val="auto"/>
        </w:rPr>
        <w:t>agent</w:t>
      </w:r>
      <w:r>
        <w:rPr>
          <w:rFonts w:ascii="Times New Roman" w:cs="Times New Roman" w:eastAsia="Times New Roman" w:hAnsi="Times New Roman"/>
          <w:sz w:val="21"/>
          <w:szCs w:val="21"/>
          <w:color w:val="auto"/>
        </w:rPr>
        <w:t>” shall mean any person who is or was a director, officer or employee of the Company or a subsidiary of the Company or other person authorized by the Company to act for the Company, to include such person serving in such capacity as a director, officer, employee, advisor, fiduciary or other official of another corporation, partnership, limited liability company, joint venture, trust or other enterprise at the request of, for the convenience of, or to represent the interests of the Company or a subsidiary of the Company.</w:t>
      </w:r>
    </w:p>
    <w:p>
      <w:pPr>
        <w:spacing w:after="0" w:line="185" w:lineRule="exact"/>
        <w:rPr>
          <w:rFonts w:ascii="Times New Roman" w:cs="Times New Roman" w:eastAsia="Times New Roman" w:hAnsi="Times New Roman"/>
          <w:sz w:val="21"/>
          <w:szCs w:val="21"/>
          <w:color w:val="auto"/>
        </w:rPr>
      </w:pPr>
    </w:p>
    <w:p>
      <w:pPr>
        <w:ind w:firstLine="656"/>
        <w:spacing w:after="0" w:line="264"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terms “</w:t>
      </w:r>
      <w:r>
        <w:rPr>
          <w:rFonts w:ascii="Times New Roman" w:cs="Times New Roman" w:eastAsia="Times New Roman" w:hAnsi="Times New Roman"/>
          <w:sz w:val="22"/>
          <w:szCs w:val="22"/>
          <w:b w:val="1"/>
          <w:bCs w:val="1"/>
          <w:i w:val="1"/>
          <w:iCs w:val="1"/>
          <w:color w:val="auto"/>
        </w:rPr>
        <w:t>Beneficial Owner</w:t>
      </w:r>
      <w:r>
        <w:rPr>
          <w:rFonts w:ascii="Times New Roman" w:cs="Times New Roman" w:eastAsia="Times New Roman" w:hAnsi="Times New Roman"/>
          <w:sz w:val="22"/>
          <w:szCs w:val="22"/>
          <w:color w:val="auto"/>
        </w:rPr>
        <w:t>” and “</w:t>
      </w:r>
      <w:r>
        <w:rPr>
          <w:rFonts w:ascii="Times New Roman" w:cs="Times New Roman" w:eastAsia="Times New Roman" w:hAnsi="Times New Roman"/>
          <w:sz w:val="22"/>
          <w:szCs w:val="22"/>
          <w:b w:val="1"/>
          <w:bCs w:val="1"/>
          <w:i w:val="1"/>
          <w:iCs w:val="1"/>
          <w:color w:val="auto"/>
        </w:rPr>
        <w:t>Beneficial Ownership</w:t>
      </w:r>
      <w:r>
        <w:rPr>
          <w:rFonts w:ascii="Times New Roman" w:cs="Times New Roman" w:eastAsia="Times New Roman" w:hAnsi="Times New Roman"/>
          <w:sz w:val="22"/>
          <w:szCs w:val="22"/>
          <w:color w:val="auto"/>
        </w:rPr>
        <w:t>” shall have the meanings set forth in Rule 13d-3 promulgated under the Exchange Act as in effect on the date hereof.</w:t>
      </w:r>
    </w:p>
    <w:p>
      <w:pPr>
        <w:spacing w:after="0" w:line="172"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w:t>
      </w:r>
      <w:r>
        <w:rPr>
          <w:rFonts w:ascii="Times New Roman" w:cs="Times New Roman" w:eastAsia="Times New Roman" w:hAnsi="Times New Roman"/>
          <w:sz w:val="22"/>
          <w:szCs w:val="22"/>
          <w:b w:val="1"/>
          <w:bCs w:val="1"/>
          <w:i w:val="1"/>
          <w:iCs w:val="1"/>
          <w:color w:val="auto"/>
        </w:rPr>
        <w:t>Change in Control</w:t>
      </w:r>
      <w:r>
        <w:rPr>
          <w:rFonts w:ascii="Times New Roman" w:cs="Times New Roman" w:eastAsia="Times New Roman" w:hAnsi="Times New Roman"/>
          <w:sz w:val="22"/>
          <w:szCs w:val="22"/>
          <w:color w:val="auto"/>
        </w:rPr>
        <w:t>” shall be deemed to occur upon the earliest to occur after the date of this Agreement of any of the following events:</w:t>
      </w:r>
    </w:p>
    <w:p>
      <w:pPr>
        <w:spacing w:after="0" w:line="178" w:lineRule="exact"/>
        <w:rPr>
          <w:rFonts w:ascii="Times New Roman" w:cs="Times New Roman" w:eastAsia="Times New Roman" w:hAnsi="Times New Roman"/>
          <w:sz w:val="22"/>
          <w:szCs w:val="22"/>
          <w:color w:val="auto"/>
        </w:rPr>
      </w:pPr>
    </w:p>
    <w:p>
      <w:pPr>
        <w:jc w:val="both"/>
        <w:ind w:firstLine="1304"/>
        <w:spacing w:after="0" w:line="235" w:lineRule="auto"/>
        <w:tabs>
          <w:tab w:leader="none" w:pos="1944"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Acquisition of Stock by Third Party</w:t>
      </w:r>
      <w:r>
        <w:rPr>
          <w:rFonts w:ascii="Times New Roman" w:cs="Times New Roman" w:eastAsia="Times New Roman" w:hAnsi="Times New Roman"/>
          <w:sz w:val="22"/>
          <w:szCs w:val="22"/>
          <w:color w:val="auto"/>
        </w:rPr>
        <w:t>. Any Person is or becomes the Beneficial Owner, directly or indirectly, of securities of the Company representing fifteen percent (15%) or more of the combined voting power of the Company’s then outstanding securities entitled to vote generally in the election of directors, unless (1) the change in the relative Beneficial Ownership of the Company’s securities by any Person results solely from a reduction in the aggregate number of outstanding shares of securities entitled to vote generally in the election of directors, or (2) such acquisition was approved in advance by the Continuing Directors and such acquisition would not constitute a Change in Control under part (iii) of this definition;</w:t>
      </w:r>
    </w:p>
    <w:p>
      <w:pPr>
        <w:spacing w:after="0" w:line="210" w:lineRule="exact"/>
        <w:rPr>
          <w:rFonts w:ascii="Times New Roman" w:cs="Times New Roman" w:eastAsia="Times New Roman" w:hAnsi="Times New Roman"/>
          <w:sz w:val="22"/>
          <w:szCs w:val="22"/>
          <w:color w:val="010000"/>
        </w:rPr>
      </w:pPr>
    </w:p>
    <w:p>
      <w:pPr>
        <w:jc w:val="both"/>
        <w:ind w:firstLine="1304"/>
        <w:spacing w:after="0" w:line="238" w:lineRule="auto"/>
        <w:tabs>
          <w:tab w:leader="none" w:pos="1944"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Change in Board of Directors</w:t>
      </w:r>
      <w:r>
        <w:rPr>
          <w:rFonts w:ascii="Times New Roman" w:cs="Times New Roman" w:eastAsia="Times New Roman" w:hAnsi="Times New Roman"/>
          <w:sz w:val="22"/>
          <w:szCs w:val="22"/>
          <w:color w:val="auto"/>
        </w:rPr>
        <w:t>. Individuals who, as of the date hereof, constitute the Board, and any new director whose election by the Board or nomination for election by the Company’s stockholders was approved by a vote of at least two thirds of the directors then still in office who were directors on the date hereof or whose election or nomination for election was previously so approved (collectively, the “</w:t>
      </w:r>
      <w:r>
        <w:rPr>
          <w:rFonts w:ascii="Times New Roman" w:cs="Times New Roman" w:eastAsia="Times New Roman" w:hAnsi="Times New Roman"/>
          <w:sz w:val="22"/>
          <w:szCs w:val="22"/>
          <w:b w:val="1"/>
          <w:bCs w:val="1"/>
          <w:i w:val="1"/>
          <w:iCs w:val="1"/>
          <w:color w:val="auto"/>
        </w:rPr>
        <w:t>Continuing</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i w:val="1"/>
          <w:iCs w:val="1"/>
          <w:color w:val="auto"/>
        </w:rPr>
        <w:t>Directors</w:t>
      </w:r>
      <w:r>
        <w:rPr>
          <w:rFonts w:ascii="Times New Roman" w:cs="Times New Roman" w:eastAsia="Times New Roman" w:hAnsi="Times New Roman"/>
          <w:sz w:val="22"/>
          <w:szCs w:val="22"/>
          <w:color w:val="auto"/>
        </w:rPr>
        <w:t>”), cease for any reason to constitute at least a majority of the members of the Board;</w:t>
      </w:r>
    </w:p>
    <w:p>
      <w:pPr>
        <w:spacing w:after="0" w:line="203" w:lineRule="exact"/>
        <w:rPr>
          <w:rFonts w:ascii="Times New Roman" w:cs="Times New Roman" w:eastAsia="Times New Roman" w:hAnsi="Times New Roman"/>
          <w:sz w:val="22"/>
          <w:szCs w:val="22"/>
          <w:color w:val="010000"/>
        </w:rPr>
      </w:pPr>
    </w:p>
    <w:p>
      <w:pPr>
        <w:jc w:val="both"/>
        <w:ind w:firstLine="1304"/>
        <w:spacing w:after="0" w:line="236" w:lineRule="auto"/>
        <w:tabs>
          <w:tab w:leader="none" w:pos="1944" w:val="left"/>
        </w:tabs>
        <w:numPr>
          <w:ilvl w:val="1"/>
          <w:numId w:val="1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Corporate Transactions</w:t>
      </w:r>
      <w:r>
        <w:rPr>
          <w:rFonts w:ascii="Times New Roman" w:cs="Times New Roman" w:eastAsia="Times New Roman" w:hAnsi="Times New Roman"/>
          <w:sz w:val="22"/>
          <w:szCs w:val="22"/>
          <w:color w:val="auto"/>
        </w:rPr>
        <w:t>. The effective date of a merger, capital stock exchange, asset acquisition, stock purchase, reorganization or similar business combination, involving the Company and one or more businesses (a “</w:t>
      </w:r>
      <w:r>
        <w:rPr>
          <w:rFonts w:ascii="Times New Roman" w:cs="Times New Roman" w:eastAsia="Times New Roman" w:hAnsi="Times New Roman"/>
          <w:sz w:val="22"/>
          <w:szCs w:val="22"/>
          <w:b w:val="1"/>
          <w:bCs w:val="1"/>
          <w:i w:val="1"/>
          <w:iCs w:val="1"/>
          <w:color w:val="auto"/>
        </w:rPr>
        <w:t>Business Combination</w:t>
      </w:r>
      <w:r>
        <w:rPr>
          <w:rFonts w:ascii="Times New Roman" w:cs="Times New Roman" w:eastAsia="Times New Roman" w:hAnsi="Times New Roman"/>
          <w:sz w:val="22"/>
          <w:szCs w:val="22"/>
          <w:color w:val="auto"/>
        </w:rPr>
        <w:t>”), in each case, unless, following such Business Combination: (1) all or substantially all of the individuals and entities who were the Beneficial Owners of securities entitled to vote generally in the election of directors immediately prior to such Business Combination beneficially own, directly or indirectly, more than 51% of the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38" w:name="page39"/>
    <w:bookmarkEnd w:id="38"/>
    <w:p>
      <w:pPr>
        <w:jc w:val="both"/>
        <w:spacing w:after="0" w:line="245" w:lineRule="auto"/>
        <w:rPr>
          <w:sz w:val="20"/>
          <w:szCs w:val="20"/>
          <w:color w:val="auto"/>
        </w:rPr>
      </w:pPr>
      <w:r>
        <w:rPr>
          <w:rFonts w:ascii="Times New Roman" w:cs="Times New Roman" w:eastAsia="Times New Roman" w:hAnsi="Times New Roman"/>
          <w:sz w:val="21"/>
          <w:szCs w:val="21"/>
          <w:color w:val="auto"/>
        </w:rPr>
        <w:t>combined voting power of the then outstanding securities of the Company entitled to vote generally in the election of directors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securities entitled to vote generally in the election of directors; (2) other than an affiliate of the Sponsor, no Person (excluding any corporation resulting from such Business Combination) is the Beneficial Owner, directly or indirectly, of 15% or more of the combined voting power of the then outstanding securities entitled to vote generally in the election of directors of the surviving corporation except to the extent that such ownership existed prior to the Business Combination; and (3) at least a majority of the board of directors of the corporation resulting from such Business Combination were Continuing Directors at the time of the execution of the initial agreement, or of the action of the Board, providing for such Business Combination;</w:t>
      </w:r>
    </w:p>
    <w:p>
      <w:pPr>
        <w:spacing w:after="0" w:line="205" w:lineRule="exact"/>
        <w:rPr>
          <w:sz w:val="20"/>
          <w:szCs w:val="20"/>
          <w:color w:val="auto"/>
        </w:rPr>
      </w:pPr>
    </w:p>
    <w:p>
      <w:pPr>
        <w:jc w:val="both"/>
        <w:ind w:firstLine="1304"/>
        <w:spacing w:after="0" w:line="238" w:lineRule="auto"/>
        <w:tabs>
          <w:tab w:leader="none" w:pos="1944"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Liquidation</w:t>
      </w:r>
      <w:r>
        <w:rPr>
          <w:rFonts w:ascii="Times New Roman" w:cs="Times New Roman" w:eastAsia="Times New Roman" w:hAnsi="Times New Roman"/>
          <w:sz w:val="22"/>
          <w:szCs w:val="22"/>
          <w:color w:val="auto"/>
        </w:rPr>
        <w:t>. The approval by the stockholders of the Company of a complete liquidation of the Company or an agreement or series of agreements for the sale or disposition by the Company of all or substantially all of the Company’s assets, other than factoring the Company’s current receivables or escrows due (or, if such stockholder approval is not required, the decision by the Board to proceed with such a liquidation, sale, or disposition in one transaction or a series of related transactions); or</w:t>
      </w:r>
    </w:p>
    <w:p>
      <w:pPr>
        <w:spacing w:after="0" w:line="203" w:lineRule="exact"/>
        <w:rPr>
          <w:rFonts w:ascii="Times New Roman" w:cs="Times New Roman" w:eastAsia="Times New Roman" w:hAnsi="Times New Roman"/>
          <w:sz w:val="22"/>
          <w:szCs w:val="22"/>
          <w:color w:val="010000"/>
        </w:rPr>
      </w:pPr>
    </w:p>
    <w:p>
      <w:pPr>
        <w:jc w:val="both"/>
        <w:ind w:firstLine="1304"/>
        <w:spacing w:after="0" w:line="239" w:lineRule="auto"/>
        <w:tabs>
          <w:tab w:leader="none" w:pos="1944" w:val="left"/>
        </w:tabs>
        <w:numPr>
          <w:ilvl w:val="1"/>
          <w:numId w:val="1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Other Events</w:t>
      </w:r>
      <w:r>
        <w:rPr>
          <w:rFonts w:ascii="Times New Roman" w:cs="Times New Roman" w:eastAsia="Times New Roman" w:hAnsi="Times New Roman"/>
          <w:sz w:val="22"/>
          <w:szCs w:val="22"/>
          <w:color w:val="auto"/>
        </w:rPr>
        <w:t>. There occurs any other event of a nature that would be required to be reported in response to Item 6(e) of Schedule 14A of Regulation 14A (or a response to any similar item on any similar schedule or form) promulgated under the Exchange Act, whether or not the Company is then subject to such reporting requirement.</w:t>
      </w:r>
    </w:p>
    <w:p>
      <w:pPr>
        <w:spacing w:after="0" w:line="201" w:lineRule="exact"/>
        <w:rPr>
          <w:rFonts w:ascii="Times New Roman" w:cs="Times New Roman" w:eastAsia="Times New Roman" w:hAnsi="Times New Roman"/>
          <w:sz w:val="22"/>
          <w:szCs w:val="22"/>
          <w:color w:val="010000"/>
        </w:rPr>
      </w:pPr>
    </w:p>
    <w:p>
      <w:pPr>
        <w:jc w:val="both"/>
        <w:ind w:firstLine="656"/>
        <w:spacing w:after="0" w:line="247"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Corporate Status</w:t>
      </w:r>
      <w:r>
        <w:rPr>
          <w:rFonts w:ascii="Times New Roman" w:cs="Times New Roman" w:eastAsia="Times New Roman" w:hAnsi="Times New Roman"/>
          <w:sz w:val="22"/>
          <w:szCs w:val="22"/>
          <w:color w:val="auto"/>
        </w:rPr>
        <w:t>” describes the status of a person who is or was a director, officer, trustee, general partner, manager, managing member, fiduciary, employee or agent of the Company or of any other Enterprise which such person is or was serving at the request of the Company.</w:t>
      </w:r>
    </w:p>
    <w:p>
      <w:pPr>
        <w:spacing w:after="0" w:line="19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Delaware Court</w:t>
      </w:r>
      <w:r>
        <w:rPr>
          <w:rFonts w:ascii="Times New Roman" w:cs="Times New Roman" w:eastAsia="Times New Roman" w:hAnsi="Times New Roman"/>
          <w:sz w:val="22"/>
          <w:szCs w:val="22"/>
          <w:color w:val="auto"/>
        </w:rPr>
        <w:t>” shall mean the Court of Chancery of the State of Delaware.</w:t>
      </w:r>
    </w:p>
    <w:p>
      <w:pPr>
        <w:spacing w:after="0" w:line="233" w:lineRule="exact"/>
        <w:rPr>
          <w:rFonts w:ascii="Times New Roman" w:cs="Times New Roman" w:eastAsia="Times New Roman" w:hAnsi="Times New Roman"/>
          <w:sz w:val="22"/>
          <w:szCs w:val="22"/>
          <w:color w:val="auto"/>
        </w:rPr>
      </w:pPr>
    </w:p>
    <w:p>
      <w:pPr>
        <w:ind w:firstLine="656"/>
        <w:spacing w:after="0" w:line="264"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Disinterested Director</w:t>
      </w:r>
      <w:r>
        <w:rPr>
          <w:rFonts w:ascii="Times New Roman" w:cs="Times New Roman" w:eastAsia="Times New Roman" w:hAnsi="Times New Roman"/>
          <w:sz w:val="22"/>
          <w:szCs w:val="22"/>
          <w:color w:val="auto"/>
        </w:rPr>
        <w:t>” shall mean a director of the Company who is not and was not a party to the Proceeding in respect of which indemnification is sought by Indemnitee.</w:t>
      </w:r>
    </w:p>
    <w:p>
      <w:pPr>
        <w:spacing w:after="0" w:line="172"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Enterprise</w:t>
      </w:r>
      <w:r>
        <w:rPr>
          <w:rFonts w:ascii="Times New Roman" w:cs="Times New Roman" w:eastAsia="Times New Roman" w:hAnsi="Times New Roman"/>
          <w:sz w:val="22"/>
          <w:szCs w:val="22"/>
          <w:color w:val="auto"/>
        </w:rPr>
        <w:t>” shall mean the Company and any other corporation, constituent corporation (including any constituent of a constituent) absorbed in a consolidation or merger to which the Company (or any of its wholly owned subsidiaries) is a party, limited liability company, partnership, joint venture, trust, employee benefit plan or other enterprise of which Indemnitee is or was serving at the request of the Company as a director, officer, trustee, general partner, managing member, fiduciary, employee or agent.</w:t>
      </w:r>
    </w:p>
    <w:p>
      <w:pPr>
        <w:spacing w:after="0" w:line="19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Exchange Act</w:t>
      </w:r>
      <w:r>
        <w:rPr>
          <w:rFonts w:ascii="Times New Roman" w:cs="Times New Roman" w:eastAsia="Times New Roman" w:hAnsi="Times New Roman"/>
          <w:sz w:val="22"/>
          <w:szCs w:val="22"/>
          <w:color w:val="auto"/>
        </w:rPr>
        <w:t>” shall mean the Securities Exchange Act of 1934, as amended.</w:t>
      </w:r>
    </w:p>
    <w:p>
      <w:pPr>
        <w:spacing w:after="0" w:line="233"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6"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Expenses</w:t>
      </w:r>
      <w:r>
        <w:rPr>
          <w:rFonts w:ascii="Times New Roman" w:cs="Times New Roman" w:eastAsia="Times New Roman" w:hAnsi="Times New Roman"/>
          <w:sz w:val="22"/>
          <w:szCs w:val="22"/>
          <w:color w:val="auto"/>
        </w:rPr>
        <w:t>” shall include all direct and indirect costs, fees and expenses of any type or nature whatsoever, including, without limitation, all reasonable attorneys’ fees and costs, retainers, court costs, transcript costs, fees of experts, witness fees, travel expenses, fees of private investigators</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39" w:name="page40"/>
    <w:bookmarkEnd w:id="39"/>
    <w:p>
      <w:pPr>
        <w:jc w:val="both"/>
        <w:spacing w:after="0" w:line="234" w:lineRule="auto"/>
        <w:rPr>
          <w:sz w:val="20"/>
          <w:szCs w:val="20"/>
          <w:color w:val="auto"/>
        </w:rPr>
      </w:pPr>
      <w:r>
        <w:rPr>
          <w:rFonts w:ascii="Times New Roman" w:cs="Times New Roman" w:eastAsia="Times New Roman" w:hAnsi="Times New Roman"/>
          <w:sz w:val="22"/>
          <w:szCs w:val="22"/>
          <w:color w:val="auto"/>
        </w:rPr>
        <w:t>and professional advisors, duplicating costs, printing and binding costs, telephone charges, postage, delivery service fees, fax transmission charges, secretarial services and all other disbursements, obligations or expenses in connection with prosecuting, defending, preparing to prosecute or defend, investigating, being or preparing to be a witness in, settlement or appeal of, or otherwise participating in, a Proceeding, including reasonable compensation for time spent by the Indemnitee for which he or she is not otherwise compensated by the Company or any third party. Expenses also shall include Expenses incurred in connection with any appeal resulting from any Proceeding, including without limitation the principal, premium, security for, and other costs relating to any cost bond, supersedeas bond, or other appeal bond or its equivalent. Expenses, however, shall not include amounts paid in settlement by Indemnitee or the amount of judgments or fines against Indemnitee.</w:t>
      </w:r>
    </w:p>
    <w:p>
      <w:pPr>
        <w:spacing w:after="0" w:line="205" w:lineRule="exact"/>
        <w:rPr>
          <w:sz w:val="20"/>
          <w:szCs w:val="20"/>
          <w:color w:val="auto"/>
        </w:rPr>
      </w:pPr>
    </w:p>
    <w:p>
      <w:pPr>
        <w:ind w:firstLine="656"/>
        <w:spacing w:after="0" w:line="264"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i w:val="1"/>
          <w:iCs w:val="1"/>
          <w:color w:val="auto"/>
        </w:rPr>
        <w:t>fines</w:t>
      </w:r>
      <w:r>
        <w:rPr>
          <w:rFonts w:ascii="Times New Roman" w:cs="Times New Roman" w:eastAsia="Times New Roman" w:hAnsi="Times New Roman"/>
          <w:sz w:val="22"/>
          <w:szCs w:val="22"/>
          <w:color w:val="auto"/>
        </w:rPr>
        <w:t>” shall include any excise tax assessed on Indemnitee with respect to any employee benefit plan.</w:t>
      </w:r>
    </w:p>
    <w:p>
      <w:pPr>
        <w:spacing w:after="0" w:line="172" w:lineRule="exact"/>
        <w:rPr>
          <w:rFonts w:ascii="Times New Roman" w:cs="Times New Roman" w:eastAsia="Times New Roman" w:hAnsi="Times New Roman"/>
          <w:sz w:val="22"/>
          <w:szCs w:val="22"/>
          <w:color w:val="auto"/>
        </w:rPr>
      </w:pPr>
    </w:p>
    <w:p>
      <w:pPr>
        <w:jc w:val="both"/>
        <w:ind w:firstLine="656"/>
        <w:spacing w:after="0" w:line="237"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References to “</w:t>
      </w:r>
      <w:r>
        <w:rPr>
          <w:rFonts w:ascii="Times New Roman" w:cs="Times New Roman" w:eastAsia="Times New Roman" w:hAnsi="Times New Roman"/>
          <w:sz w:val="22"/>
          <w:szCs w:val="22"/>
          <w:b w:val="1"/>
          <w:bCs w:val="1"/>
          <w:i w:val="1"/>
          <w:iCs w:val="1"/>
          <w:color w:val="auto"/>
        </w:rPr>
        <w:t>serving at the request of the Company</w:t>
      </w:r>
      <w:r>
        <w:rPr>
          <w:rFonts w:ascii="Times New Roman" w:cs="Times New Roman" w:eastAsia="Times New Roman" w:hAnsi="Times New Roman"/>
          <w:sz w:val="22"/>
          <w:szCs w:val="22"/>
          <w:color w:val="auto"/>
        </w:rPr>
        <w:t>” shall include any service as a director, officer, employee, agent or fiduciary of the Company which imposes duties on, or involves services by, such director, officer, employee, agent or fiduciary with respect to an employee benefit plan, its participants or beneficiaries; and if Indemnitee acted in good faith and in a manner Indemnitee reasonably believed to be in the best interests of the participants and beneficiaries of an employee benefit plan, Indemnitee shall be deemed to have acted in a manner “</w:t>
      </w:r>
      <w:r>
        <w:rPr>
          <w:rFonts w:ascii="Times New Roman" w:cs="Times New Roman" w:eastAsia="Times New Roman" w:hAnsi="Times New Roman"/>
          <w:sz w:val="22"/>
          <w:szCs w:val="22"/>
          <w:b w:val="1"/>
          <w:bCs w:val="1"/>
          <w:i w:val="1"/>
          <w:iCs w:val="1"/>
          <w:color w:val="auto"/>
        </w:rPr>
        <w:t>not opposed to the best interests of the Company</w:t>
      </w:r>
      <w:r>
        <w:rPr>
          <w:rFonts w:ascii="Times New Roman" w:cs="Times New Roman" w:eastAsia="Times New Roman" w:hAnsi="Times New Roman"/>
          <w:sz w:val="22"/>
          <w:szCs w:val="22"/>
          <w:color w:val="auto"/>
        </w:rPr>
        <w:t>” as referred to in this Agreement.</w:t>
      </w:r>
    </w:p>
    <w:p>
      <w:pPr>
        <w:spacing w:after="0" w:line="202"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Independent Counsel</w:t>
      </w:r>
      <w:r>
        <w:rPr>
          <w:rFonts w:ascii="Times New Roman" w:cs="Times New Roman" w:eastAsia="Times New Roman" w:hAnsi="Times New Roman"/>
          <w:sz w:val="22"/>
          <w:szCs w:val="22"/>
          <w:color w:val="auto"/>
        </w:rPr>
        <w:t>” shall mean a law firm or a member of a law firm with significant experience in matters of corporate law and that neither presently is, nor in the past five years has been, retained to represent: (i) the Company or Indemnitee in any matter material to either such party (other than with respect to matters concerning Indemnitee under this Agreement, or of other indemnitees under similar indemnification agreements); or (ii) any other party to the Proceeding giving rise to a claim for indemnification hereunder. Notwithstanding the foregoing, the term “</w:t>
      </w:r>
      <w:r>
        <w:rPr>
          <w:rFonts w:ascii="Times New Roman" w:cs="Times New Roman" w:eastAsia="Times New Roman" w:hAnsi="Times New Roman"/>
          <w:sz w:val="22"/>
          <w:szCs w:val="22"/>
          <w:b w:val="1"/>
          <w:bCs w:val="1"/>
          <w:i w:val="1"/>
          <w:iCs w:val="1"/>
          <w:color w:val="auto"/>
        </w:rPr>
        <w:t>Independent Counsel</w:t>
      </w:r>
      <w:r>
        <w:rPr>
          <w:rFonts w:ascii="Times New Roman" w:cs="Times New Roman" w:eastAsia="Times New Roman" w:hAnsi="Times New Roman"/>
          <w:sz w:val="22"/>
          <w:szCs w:val="22"/>
          <w:color w:val="auto"/>
        </w:rPr>
        <w:t>” shall not include any person who, under the applicable standards of professional conduct then prevailing, would have a conflict of interest in representing either the Company or Indemnitee in an action to determine Indemnitee’s rights under this Agreement.</w:t>
      </w:r>
    </w:p>
    <w:p>
      <w:pPr>
        <w:spacing w:after="0" w:line="205"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shall have the meaning as set forth in Sections 13(d) and 14(d) of the Exchange Act as in effect on the date hereof; provided, however, that “</w:t>
      </w:r>
      <w:r>
        <w:rPr>
          <w:rFonts w:ascii="Times New Roman" w:cs="Times New Roman" w:eastAsia="Times New Roman" w:hAnsi="Times New Roman"/>
          <w:sz w:val="22"/>
          <w:szCs w:val="22"/>
          <w:b w:val="1"/>
          <w:bCs w:val="1"/>
          <w:i w:val="1"/>
          <w:iCs w:val="1"/>
          <w:color w:val="auto"/>
        </w:rPr>
        <w:t>Person</w:t>
      </w:r>
      <w:r>
        <w:rPr>
          <w:rFonts w:ascii="Times New Roman" w:cs="Times New Roman" w:eastAsia="Times New Roman" w:hAnsi="Times New Roman"/>
          <w:sz w:val="22"/>
          <w:szCs w:val="22"/>
          <w:color w:val="auto"/>
        </w:rPr>
        <w:t>” shall exclude: (i) the Company; (ii) any Subsidiaries of the Company; (iii) any employment benefit plan of the Company or of a Subsidiary of the Company or of any corporation owned, directly or indirectly, by the stockholders of the Company in substantially the same proportions as their ownership of stock of the Company; and (iv) any trustee or other fiduciary holding securities under an employee benefit plan of the Company or of a Subsidiary of the Company or of a corporation owned directly or indirectly by the stockholders of the Company in substantially the same proportions as their ownership of stock of the Company.</w:t>
      </w:r>
    </w:p>
    <w:p>
      <w:pPr>
        <w:spacing w:after="0" w:line="205" w:lineRule="exact"/>
        <w:rPr>
          <w:rFonts w:ascii="Times New Roman" w:cs="Times New Roman" w:eastAsia="Times New Roman" w:hAnsi="Times New Roman"/>
          <w:sz w:val="22"/>
          <w:szCs w:val="22"/>
          <w:color w:val="auto"/>
        </w:rPr>
      </w:pPr>
    </w:p>
    <w:p>
      <w:pPr>
        <w:jc w:val="both"/>
        <w:ind w:firstLine="656"/>
        <w:spacing w:after="0" w:line="241" w:lineRule="auto"/>
        <w:tabs>
          <w:tab w:leader="none" w:pos="1296"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Proceeding</w:t>
      </w:r>
      <w:r>
        <w:rPr>
          <w:rFonts w:ascii="Times New Roman" w:cs="Times New Roman" w:eastAsia="Times New Roman" w:hAnsi="Times New Roman"/>
          <w:sz w:val="22"/>
          <w:szCs w:val="22"/>
          <w:color w:val="auto"/>
        </w:rPr>
        <w:t>” shall include any threatened, pending or completed action, suit, arbitration, mediation, alternate dispute resolution mechanism, investigation, inquiry, administrative hearing or any other actual, threatened or completed proceeding, whether brought in the right of the Company or otherwise and whether of a civil (including intentional or unintentional tort claims),</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0" w:name="page41"/>
    <w:bookmarkEnd w:id="40"/>
    <w:p>
      <w:pPr>
        <w:jc w:val="both"/>
        <w:spacing w:after="0" w:line="235" w:lineRule="auto"/>
        <w:rPr>
          <w:sz w:val="20"/>
          <w:szCs w:val="20"/>
          <w:color w:val="auto"/>
        </w:rPr>
      </w:pPr>
      <w:r>
        <w:rPr>
          <w:rFonts w:ascii="Times New Roman" w:cs="Times New Roman" w:eastAsia="Times New Roman" w:hAnsi="Times New Roman"/>
          <w:sz w:val="22"/>
          <w:szCs w:val="22"/>
          <w:color w:val="auto"/>
        </w:rPr>
        <w:t>criminal, administrative or investigative or related nature, in which Indemnitee was, is, will or might be involved as a party or otherwise by reason of the fact that Indemnitee is or was a director or officer of the Company, by reason of any action (or failure to act) taken by him or her or of any action (or failure to act) on his or her part while acting as a director or officer of the Company, or by reason of the fact that he or she is or was serving at the request of the Company as a director, officer, trustee, general partner, managing member, fiduciary, employee or agent of any other Enterprise, in each case whether or not serving in such capacity at the time any liability or expense is incurred for which indemnification, reimbursement, or advancement of expenses can be provided under this Agreement.</w:t>
      </w:r>
    </w:p>
    <w:p>
      <w:pPr>
        <w:spacing w:after="0" w:line="200" w:lineRule="exact"/>
        <w:rPr>
          <w:sz w:val="20"/>
          <w:szCs w:val="20"/>
          <w:color w:val="auto"/>
        </w:rPr>
      </w:pPr>
    </w:p>
    <w:p>
      <w:pPr>
        <w:jc w:val="both"/>
        <w:ind w:right="20" w:firstLine="656"/>
        <w:spacing w:after="0" w:line="247" w:lineRule="auto"/>
        <w:tabs>
          <w:tab w:leader="none" w:pos="1296"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 “</w:t>
      </w:r>
      <w:r>
        <w:rPr>
          <w:rFonts w:ascii="Times New Roman" w:cs="Times New Roman" w:eastAsia="Times New Roman" w:hAnsi="Times New Roman"/>
          <w:sz w:val="22"/>
          <w:szCs w:val="22"/>
          <w:b w:val="1"/>
          <w:bCs w:val="1"/>
          <w:i w:val="1"/>
          <w:iCs w:val="1"/>
          <w:color w:val="auto"/>
        </w:rPr>
        <w:t>Subsidiary</w:t>
      </w:r>
      <w:r>
        <w:rPr>
          <w:rFonts w:ascii="Times New Roman" w:cs="Times New Roman" w:eastAsia="Times New Roman" w:hAnsi="Times New Roman"/>
          <w:sz w:val="22"/>
          <w:szCs w:val="22"/>
          <w:color w:val="auto"/>
        </w:rPr>
        <w:t>,” with respect to any Person, shall mean any corporation, limited liability company, partnership, joint venture, trust or other entity of which a majority of the voting power of the voting equity securities or equity interest is owned, directly or indirectly, by that Person.</w:t>
      </w:r>
    </w:p>
    <w:p>
      <w:pPr>
        <w:spacing w:after="0" w:line="19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phrase “to the fullest extent permitted by applicable law” shall include, but not be limited to:</w:t>
      </w:r>
    </w:p>
    <w:p>
      <w:pPr>
        <w:spacing w:after="0" w:line="14" w:lineRule="exact"/>
        <w:rPr>
          <w:rFonts w:ascii="Times New Roman" w:cs="Times New Roman" w:eastAsia="Times New Roman" w:hAnsi="Times New Roman"/>
          <w:sz w:val="22"/>
          <w:szCs w:val="22"/>
          <w:color w:val="auto"/>
        </w:rPr>
      </w:pPr>
    </w:p>
    <w:p>
      <w:pPr>
        <w:jc w:val="both"/>
        <w:ind w:firstLine="8"/>
        <w:spacing w:after="0" w:line="233" w:lineRule="auto"/>
        <w:tabs>
          <w:tab w:leader="none" w:pos="322" w:val="left"/>
        </w:tabs>
        <w:numPr>
          <w:ilvl w:val="0"/>
          <w:numId w:val="1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authorized or permitted by the provision of the DGCL that authorizes or contemplates additional indemnification by agreement, or the corresponding provision of any amendment to or replacement of the DGCL, and (b) to the fullest extent authorized or permitted by any amendments to or replacements of the DGCL adopted after the date of this Agreement that increase the extent to which a corporation may indemnify its officers and directors.</w:t>
      </w:r>
    </w:p>
    <w:p>
      <w:pPr>
        <w:spacing w:after="0" w:line="202" w:lineRule="exact"/>
        <w:rPr>
          <w:sz w:val="20"/>
          <w:szCs w:val="20"/>
          <w:color w:val="auto"/>
        </w:rPr>
      </w:pPr>
    </w:p>
    <w:p>
      <w:pPr>
        <w:jc w:val="both"/>
        <w:ind w:firstLine="656"/>
        <w:spacing w:after="0" w:line="232" w:lineRule="auto"/>
        <w:tabs>
          <w:tab w:leader="none" w:pos="1296"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INDEMNITY IN THIRD-PARTY PROCEEDINGS</w:t>
      </w:r>
      <w:r>
        <w:rPr>
          <w:rFonts w:ascii="Times New Roman" w:cs="Times New Roman" w:eastAsia="Times New Roman" w:hAnsi="Times New Roman"/>
          <w:sz w:val="22"/>
          <w:szCs w:val="22"/>
          <w:color w:val="auto"/>
        </w:rPr>
        <w:t>. To the fullest extent permitted by</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applicable law, the Company shall indemnify, hold harmless and exonerate Indemnitee in accordance with the provisions of this Section 3 if Indemnitee was, is, or is threatened to be made, a party to or a participant (as a witness, deponent or otherwise) in any Proceeding, other than a Proceeding by or in the right of the Company to procure a judgment in its favor by reason of Indemnitee’s Corporate Status. Pursuant to this Section 3, Indemnitee shall be indemnified, held harmless and exonerated against all Expenses, judgments, liabilities, fines, penalties and amounts paid in settlement (including all interest, assessments and other charges paid or payable in connection with or in respect of such Expenses, judgments, fines, penalties and amounts paid in settlement) actually, and reasonably incurred by Indemnitee or on his or her behalf in connection with such Proceeding or any claim, issue or matter therein, if Indemnitee acted in good faith and in a manner he or she reasonably believed to be in or not opposed to the best interests of the Company and, in the case of a criminal Proceeding, had no reasonable cause to believe that his or her conduct was unlawful; provided, in no event shall Indemnitee be entitled to be indemnified, held harmless or advanced any amounts hereunder in respect of any Expenses, judgments, liabilities, fines, penalties and amounts paid in settlement (if any) that Indemnitee may incur by reason of his or her own actual fraud or intentional misconduct. Indemnitee shall not be found to have committed actual fraud or intentional misconduct for any purpose of this Agreement unless or until a court of competent jurisdiction shall have made a finding to that effect.</w:t>
      </w:r>
    </w:p>
    <w:p>
      <w:pPr>
        <w:spacing w:after="0" w:line="216" w:lineRule="exact"/>
        <w:rPr>
          <w:rFonts w:ascii="Times New Roman" w:cs="Times New Roman" w:eastAsia="Times New Roman" w:hAnsi="Times New Roman"/>
          <w:sz w:val="22"/>
          <w:szCs w:val="22"/>
          <w:b w:val="1"/>
          <w:bCs w:val="1"/>
          <w:color w:val="auto"/>
        </w:rPr>
      </w:pPr>
    </w:p>
    <w:p>
      <w:pPr>
        <w:jc w:val="both"/>
        <w:ind w:firstLine="656"/>
        <w:spacing w:after="0" w:line="237" w:lineRule="auto"/>
        <w:tabs>
          <w:tab w:leader="none" w:pos="1296" w:val="left"/>
        </w:tabs>
        <w:numPr>
          <w:ilvl w:val="0"/>
          <w:numId w:val="1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INDEMNITY IN PROCEEDINGS BY OR IN THE RIGHT OF THE COMPANY</w:t>
      </w:r>
      <w:r>
        <w:rPr>
          <w:rFonts w:ascii="Times New Roman" w:cs="Times New Roman" w:eastAsia="Times New Roman" w:hAnsi="Times New Roman"/>
          <w:sz w:val="22"/>
          <w:szCs w:val="22"/>
          <w:color w:val="auto"/>
        </w:rPr>
        <w:t>.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fullest extent permitted by applicable law, the Company shall indemnify, hold harmless and exonerate Indemnitee in accordance with the provisions of this Section 4 if Indemnitee was, is, or is threatened to be made, a party to or a participant (as a witness, deponent or otherwise) in any Proceeding by or in the right of the Company to procure a judgment in its favor by reason of Indemnitee’s Corporate Status. Pursuant to this Section 4, Indemnitee shall be indemnified, held</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1" w:name="page42"/>
    <w:bookmarkEnd w:id="41"/>
    <w:p>
      <w:pPr>
        <w:jc w:val="both"/>
        <w:spacing w:after="0" w:line="234" w:lineRule="auto"/>
        <w:rPr>
          <w:sz w:val="20"/>
          <w:szCs w:val="20"/>
          <w:color w:val="auto"/>
        </w:rPr>
      </w:pPr>
      <w:r>
        <w:rPr>
          <w:rFonts w:ascii="Times New Roman" w:cs="Times New Roman" w:eastAsia="Times New Roman" w:hAnsi="Times New Roman"/>
          <w:sz w:val="22"/>
          <w:szCs w:val="22"/>
          <w:color w:val="auto"/>
        </w:rPr>
        <w:t>harmless and exonerated against all Expenses actually and reasonably incurred by him or her or on his or her behalf in connection with such Proceeding or any claim, issue or matter therein, if Indemnitee acted in good faith and in a manner he or she reasonably believed to be in or not opposed to the best interests of the Company. No indemnification, hold harmless or exoneration for Expenses shall be made under this Section 4 in respect of any claim, issue or matter as to which Indemnitee shall have been finally adjudged by a court of competent jurisdiction to be liable to the Company, unless and only to the extent that any court in which the Proceeding was brought or the Delaware Court shall determine upon application that, despite the adjudication of liability but in view of all the circumstances of the case, Indemnitee is fairly and reasonably entitled to indemnification, to be held harmless or to exoneration.</w:t>
      </w:r>
    </w:p>
    <w:p>
      <w:pPr>
        <w:spacing w:after="0" w:line="207" w:lineRule="exact"/>
        <w:rPr>
          <w:sz w:val="20"/>
          <w:szCs w:val="20"/>
          <w:color w:val="auto"/>
        </w:rPr>
      </w:pPr>
    </w:p>
    <w:p>
      <w:pPr>
        <w:jc w:val="both"/>
        <w:ind w:firstLine="656"/>
        <w:spacing w:after="0" w:line="233" w:lineRule="auto"/>
        <w:tabs>
          <w:tab w:leader="none" w:pos="129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FOR EXPENSES OF A PARTY WHO IS WHOLLY OR PARTLY SUCCESSFUL</w:t>
      </w:r>
      <w:r>
        <w:rPr>
          <w:rFonts w:ascii="Times New Roman" w:cs="Times New Roman" w:eastAsia="Times New Roman" w:hAnsi="Times New Roman"/>
          <w:sz w:val="22"/>
          <w:szCs w:val="22"/>
          <w:color w:val="auto"/>
        </w:rPr>
        <w:t>. Notwithstanding any other provisions of this Agreement, but subject to Section 27, to the extent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that Indemnitee was or is, by reason of Indemnitee’s Corporate Status, a party to (or a participant in) and is successful, on the merits or otherwise, in any Proceeding or in defense of any claim, issue or matter therein, in whole or in part, the Company shall, to the fullest extent permitted by applicable law, indemnify, hold harmless and exonerate Indemnitee against all Expenses actually and reasonably incurred by him or her in connection therewith. If Indemnitee is not wholly successful in such Proceeding but is successful, on the merits or otherwise, as to one or more but less than all claims, issues or matters in such Proceeding, the Company shall, to the fullest extent permitted by applicable law, indemnify, hold harmless and exonerate Indemnitee against all Expenses actually and reasonably incurred by him or her or on his or her behalf in connection with each successfully resolved claim, issue or matter. If Indemnitee is not wholly successful in such Proceeding, the Company also shall, to the fullest extent permitted by applicable law, indemnify, hold harmless and exonerate Indemnitee against all Expenses reasonably incurred in connection with a claim, issue or matter related to any claim, issue, or matter on which Indemnitee was successful. For purposes of this Section 5 and without limitation, the termination of any claim, issue or matter in such a Proceeding by dismissal, with or without prejudice, shall be deemed to be a successful result as to such claim, issue or matter.</w:t>
      </w:r>
    </w:p>
    <w:p>
      <w:pPr>
        <w:spacing w:after="0" w:line="201" w:lineRule="exact"/>
        <w:rPr>
          <w:rFonts w:ascii="Times New Roman" w:cs="Times New Roman" w:eastAsia="Times New Roman" w:hAnsi="Times New Roman"/>
          <w:sz w:val="22"/>
          <w:szCs w:val="22"/>
          <w:b w:val="1"/>
          <w:bCs w:val="1"/>
          <w:color w:val="auto"/>
        </w:rPr>
      </w:pPr>
    </w:p>
    <w:p>
      <w:pPr>
        <w:jc w:val="both"/>
        <w:ind w:firstLine="656"/>
        <w:spacing w:after="0" w:line="237" w:lineRule="auto"/>
        <w:tabs>
          <w:tab w:leader="none" w:pos="129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INDEMNIFICATION FOR EXPENSES OF A WITNESS</w:t>
      </w:r>
      <w:r>
        <w:rPr>
          <w:rFonts w:ascii="Times New Roman" w:cs="Times New Roman" w:eastAsia="Times New Roman" w:hAnsi="Times New Roman"/>
          <w:sz w:val="22"/>
          <w:szCs w:val="22"/>
          <w:color w:val="auto"/>
        </w:rPr>
        <w:t>. Notwithstanding any other provision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but subject to Section 27, to the extent that Indemnitee is, by reason of his or her Corporate Status, a witness or deponent in any Proceeding to which Indemnitee is not a party or threatened to be made a party, he or she shall, to the fullest extent permitted by applicable law, be indemnified, held harmless and exonerated against all Expenses actually and reasonably incurred by him or her or on his or her behalf in connection therewith.</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35" w:lineRule="auto"/>
        <w:tabs>
          <w:tab w:leader="none" w:pos="1296" w:val="left"/>
        </w:tabs>
        <w:numPr>
          <w:ilvl w:val="0"/>
          <w:numId w:val="1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 xml:space="preserve">ADDITIONAL INDEMNIFICATION, HOLD HARMLESS AND EXONERATION RIGHTS. </w:t>
      </w:r>
      <w:r>
        <w:rPr>
          <w:rFonts w:ascii="Times New Roman" w:cs="Times New Roman" w:eastAsia="Times New Roman" w:hAnsi="Times New Roman"/>
          <w:sz w:val="22"/>
          <w:szCs w:val="22"/>
          <w:color w:val="auto"/>
        </w:rPr>
        <w:t>Notwithstanding any limitation in Sections 3, 4 or 5, but subject to Section 27, the Company shall,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fullest extent permitted by applicable law, indemnify, hold harmless and exonerate Indemnitee if Indemnitee is a party to or threatened to be made a party to any Proceeding (including a Proceeding by or in the right of the Company to procure a judgment in its favor) against all Expenses, judgments, fines, penalties and amounts paid in settlement (including all interest, assessments and other charges paid or payable in connection with or in respect of such Expenses, judgments, fines, penalties and amounts paid in settlement) actually and reasonably incurred by Indemnitee in connection with the Proceeding. No indemnification, hold harmless or exoneration</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2" w:name="page43"/>
    <w:bookmarkEnd w:id="42"/>
    <w:p>
      <w:pPr>
        <w:jc w:val="both"/>
        <w:spacing w:after="0" w:line="244" w:lineRule="auto"/>
        <w:rPr>
          <w:sz w:val="20"/>
          <w:szCs w:val="20"/>
          <w:color w:val="auto"/>
        </w:rPr>
      </w:pPr>
      <w:r>
        <w:rPr>
          <w:rFonts w:ascii="Times New Roman" w:cs="Times New Roman" w:eastAsia="Times New Roman" w:hAnsi="Times New Roman"/>
          <w:sz w:val="22"/>
          <w:szCs w:val="22"/>
          <w:color w:val="auto"/>
        </w:rPr>
        <w:t>rights shall be available under this Section 7 on account of Indemnitee’s conduct which constitutes a breach of Indemnitee’s duty of loyalty to the Company or its stockholders or is an act or omission not in good faith or which involves intentional misconduct or a knowing violation of the law.</w:t>
      </w:r>
    </w:p>
    <w:p>
      <w:pPr>
        <w:spacing w:after="0" w:line="197" w:lineRule="exact"/>
        <w:rPr>
          <w:sz w:val="20"/>
          <w:szCs w:val="20"/>
          <w:color w:val="auto"/>
        </w:rPr>
      </w:pPr>
    </w:p>
    <w:p>
      <w:pPr>
        <w:ind w:left="1300" w:hanging="644"/>
        <w:spacing w:after="0"/>
        <w:tabs>
          <w:tab w:leader="none" w:pos="1300" w:val="left"/>
        </w:tabs>
        <w:numPr>
          <w:ilvl w:val="0"/>
          <w:numId w:val="1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CONTRIBUTION IN THE EVENT OF JOINT LIABILITY.</w:t>
      </w:r>
    </w:p>
    <w:p>
      <w:pPr>
        <w:spacing w:after="0" w:line="237" w:lineRule="exact"/>
        <w:rPr>
          <w:sz w:val="20"/>
          <w:szCs w:val="20"/>
          <w:color w:val="auto"/>
        </w:rPr>
      </w:pPr>
    </w:p>
    <w:p>
      <w:pPr>
        <w:jc w:val="both"/>
        <w:ind w:firstLine="656"/>
        <w:spacing w:after="0" w:line="235"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fullest extent permissible under applicable law, if the indemnification, hold harmless and/or exoneration rights provided for in this Agreement are unavailable to Indemnitee in whole or in part for any reason whatsoever, the Company, in lieu of indemnifying, holding harmless or exonerating Indemnitee, shall pay, in the first instance, the entire amount incurred by Indemnitee, whether for judgments, liabilities, fines, penalties, amounts paid or to be paid in settlement and/or for Expenses, in connection with any Proceeding without requiring Indemnitee to contribute to such payment, and the Company hereby waives and relinquishes any right of contribution it may have at any time against Indemnitee.</w:t>
      </w:r>
    </w:p>
    <w:p>
      <w:pPr>
        <w:spacing w:after="0" w:line="210"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enter into any settlement of any Proceeding in which the Company is jointly liable with Indemnitee (or would be if joined in such Proceeding) unless such settlement provides for a full and final release of all claims asserted against Indemnitee.</w:t>
      </w:r>
    </w:p>
    <w:p>
      <w:pPr>
        <w:spacing w:after="0" w:line="200"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hereby agrees to fully indemnify, hold harmless and exonerate Indemnitee from any claims for contribution which may be brought by officers, directors or employees of the Company other than Indemnitee who may be jointly liable with Indemnitee. Indemnitee shall seek payments or advances from the Company only to the extent that such payments or advances are unavailable from any insurance policy of the Company covering Indemnitee.</w:t>
      </w:r>
    </w:p>
    <w:p>
      <w:pPr>
        <w:spacing w:after="0" w:line="200" w:lineRule="exact"/>
        <w:rPr>
          <w:sz w:val="20"/>
          <w:szCs w:val="20"/>
          <w:color w:val="auto"/>
        </w:rPr>
      </w:pPr>
    </w:p>
    <w:p>
      <w:pPr>
        <w:jc w:val="both"/>
        <w:ind w:firstLine="656"/>
        <w:spacing w:after="0" w:line="246" w:lineRule="auto"/>
        <w:tabs>
          <w:tab w:leader="none" w:pos="1296" w:val="left"/>
        </w:tabs>
        <w:numPr>
          <w:ilvl w:val="0"/>
          <w:numId w:val="2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EXCLUSIONS</w:t>
      </w:r>
      <w:r>
        <w:rPr>
          <w:rFonts w:ascii="Times New Roman" w:cs="Times New Roman" w:eastAsia="Times New Roman" w:hAnsi="Times New Roman"/>
          <w:sz w:val="22"/>
          <w:szCs w:val="22"/>
          <w:color w:val="auto"/>
        </w:rPr>
        <w:t>. Notwithstanding any provision in this Agreement, but subject to Section 27,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shall not be obligated under this Agreement to make any indemnification, advance Expenses, hold harmless or exoneration payment in connection with any claim made against Indemnitee:</w:t>
      </w:r>
    </w:p>
    <w:p>
      <w:pPr>
        <w:spacing w:after="0" w:line="198" w:lineRule="exact"/>
        <w:rPr>
          <w:sz w:val="20"/>
          <w:szCs w:val="20"/>
          <w:color w:val="auto"/>
        </w:rPr>
      </w:pPr>
    </w:p>
    <w:p>
      <w:pPr>
        <w:jc w:val="both"/>
        <w:ind w:firstLine="656"/>
        <w:spacing w:after="0" w:line="239"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which payment has actually been received by or on behalf of Indemnitee under any insurance policy or other indemnity or advancement provision, except with respect to any excess beyond the amount actually received under any insurance policy, contract, agreement, other indemnity or advancement provision or otherwise;</w:t>
      </w:r>
    </w:p>
    <w:p>
      <w:pPr>
        <w:spacing w:after="0" w:line="207"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an accounting of profits made from the purchase and sale (or sale and purchase) by Indemnitee of securities of the Company within the meaning of Section 16(b) of the Exchange Act (or any successor rule) or similar provisions of state statutory law or common law; or</w:t>
      </w:r>
    </w:p>
    <w:p>
      <w:pPr>
        <w:spacing w:after="0" w:line="200"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as otherwise provided in Sections 14(f) and (g) hereof, prior to a Change in Control, in connection with any Proceeding (or any part of any Proceeding) initiated by Indemnitee, including any Proceeding (or any part of any Proceeding) initiated by Indemnitee against the Company or its directors, officers, employees or other indemnitees, unless (i) the Board authorized the Proceeding (or any part of any Proceeding) prior to its initiation or (ii) the Company provides the indemnification, hold harmless or exoneration payment, in its sole discretion, pursuant to the powers vested in the Company under applicable law.</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3" w:name="page44"/>
    <w:bookmarkEnd w:id="43"/>
    <w:p>
      <w:pPr>
        <w:ind w:left="1300" w:hanging="644"/>
        <w:spacing w:after="0"/>
        <w:tabs>
          <w:tab w:leader="none" w:pos="1300" w:val="left"/>
        </w:tabs>
        <w:numPr>
          <w:ilvl w:val="0"/>
          <w:numId w:val="2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ADVANCES OF EXPENSES; DEFENSE OF CLAIM.</w:t>
      </w:r>
    </w:p>
    <w:p>
      <w:pPr>
        <w:spacing w:after="0" w:line="238" w:lineRule="exact"/>
        <w:rPr>
          <w:sz w:val="20"/>
          <w:szCs w:val="20"/>
          <w:color w:val="auto"/>
        </w:rPr>
      </w:pPr>
    </w:p>
    <w:p>
      <w:pPr>
        <w:jc w:val="both"/>
        <w:ind w:firstLine="656"/>
        <w:spacing w:after="0" w:line="232"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 provision of this Agreement to the contrary, but subject to Section 27, and to the fullest extent not prohibited by applicable law, the Company shall pay the Expenses incurred by Indemnitee (or reasonably expected by Indemnitee to be incurred by Indemnitee within three months) in connection with any Proceeding within ten (10) days after the receipt by the Company of a statement or statements requesting such advances from time to time, prior to the final disposition of any Proceeding. Advances shall, to the fullest extent permitted by law, be unsecured and interest free. Advances shall, to the fullest extent permitted by law, be made without regard to Indemnitee’s ability to repay the Expenses and without regard to Indemnitee’s ultimate entitlement to be indemnified, held harmless or exonerated under the other provisions of this Agreement. Advances shall include any and all reasonable Expenses incurred pursuing a Proceeding to enforce this right of advancement, including Expenses incurred preparing and forwarding statements to the Company to support the advances claimed. To the fullest extent required by applicable law, such payments of Expenses in advance of the final disposition of the Proceeding shall be made only upon the Company’s receipt of an undertaking, by or on behalf of Indemnitee, to repay the advanced amounts to the extent that it is ultimately determined that Indemnitee is not entitled to be indemnified by the Company under the provisions of this Agreement, the Charter, the Bylaws of the Company, applicable law or otherwise. If it shall be determined by a final judgment or other final adjudication that Indemnitee was not so entitled to indemnification, any advancement shall be returned to the Company (without interest) by the Indemnitee. This Section 10(a) shall not apply to any claim made by Indemnitee for which an indemnification, hold harmless or exoneration payment is excluded pursuant to Section 9, but shall apply to any Proceeding referenced in Section 9(b) prior to a final determination that Indemnitee is liable therefor.</w:t>
      </w:r>
    </w:p>
    <w:p>
      <w:pPr>
        <w:spacing w:after="0" w:line="212"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will be entitled to participate in the Proceeding at its own expense.</w:t>
      </w:r>
    </w:p>
    <w:p>
      <w:pPr>
        <w:spacing w:after="0" w:line="233"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not settle any action, claim or Proceeding (in whole or in part) which would impose any Expense, judgment, fine, penalty or limitation on Indemnitee without Indemnitee’s prior written consent.</w:t>
      </w:r>
    </w:p>
    <w:p>
      <w:pPr>
        <w:spacing w:after="0" w:line="196" w:lineRule="exact"/>
        <w:rPr>
          <w:sz w:val="20"/>
          <w:szCs w:val="20"/>
          <w:color w:val="auto"/>
        </w:rPr>
      </w:pPr>
    </w:p>
    <w:p>
      <w:pPr>
        <w:ind w:left="1300" w:hanging="644"/>
        <w:spacing w:after="0"/>
        <w:tabs>
          <w:tab w:leader="none" w:pos="1300" w:val="left"/>
        </w:tabs>
        <w:numPr>
          <w:ilvl w:val="0"/>
          <w:numId w:val="2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 FOR NOTIFICATION AND APPLICATION FOR INDEMNIFICATION.</w:t>
      </w:r>
    </w:p>
    <w:p>
      <w:pPr>
        <w:spacing w:after="0" w:line="237" w:lineRule="exact"/>
        <w:rPr>
          <w:sz w:val="20"/>
          <w:szCs w:val="20"/>
          <w:color w:val="auto"/>
        </w:rPr>
      </w:pPr>
    </w:p>
    <w:p>
      <w:pPr>
        <w:jc w:val="both"/>
        <w:ind w:firstLine="656"/>
        <w:spacing w:after="0" w:line="238"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agrees to notify promptly the Company in writing upon being served with any summons, citation, subpoena, complaint, indictment, information or other document relating to any Proceeding, claim, issue or matter therein which may be subject to indemnification, hold harmless or exoneration rights, or advancement of Expenses covered hereunder. The failure of Indemnitee to so notify the Company shall not relieve the Company of any obligation which it may have to Indemnitee under this Agreement, or otherwise.</w:t>
      </w:r>
    </w:p>
    <w:p>
      <w:pPr>
        <w:spacing w:after="0" w:line="203"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Indemnitee may deliver to the Company a written application to indemnify, hold harmless or exonerate Indemnitee in accordance with this Agreement. Such application(s) may be delivered from time to time and at such time(s) as Indemnitee deems appropriate in his or her sole discretion. Following such a written application for indemnification by Indemnitee, Indemnitee’s entitlement to indemnification shall be determined according to Section 12(a) of this Agreement.</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4" w:name="page45"/>
    <w:bookmarkEnd w:id="44"/>
    <w:p>
      <w:pPr>
        <w:ind w:left="1300" w:hanging="644"/>
        <w:spacing w:after="0"/>
        <w:tabs>
          <w:tab w:leader="none" w:pos="1300" w:val="left"/>
        </w:tabs>
        <w:numPr>
          <w:ilvl w:val="0"/>
          <w:numId w:val="2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PROCEDURE UPON APPLICATION FOR INDEMNIFICATION.</w:t>
      </w:r>
    </w:p>
    <w:p>
      <w:pPr>
        <w:spacing w:after="0" w:line="238" w:lineRule="exact"/>
        <w:rPr>
          <w:sz w:val="20"/>
          <w:szCs w:val="20"/>
          <w:color w:val="auto"/>
        </w:rPr>
      </w:pPr>
    </w:p>
    <w:p>
      <w:pPr>
        <w:jc w:val="both"/>
        <w:ind w:firstLine="656"/>
        <w:spacing w:after="0" w:line="249" w:lineRule="auto"/>
        <w:tabs>
          <w:tab w:leader="none" w:pos="1296"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determination, if required by applicable law, with respect to Indemnitee’s entitlement to indemnification shall be made in the specific case by one of the following methods, which shall be at the election of Indemnitee: (i) by a majority vote of the Disinterested Directors, even though less than a quorum of the Board,</w:t>
      </w:r>
    </w:p>
    <w:p>
      <w:pPr>
        <w:spacing w:after="0" w:line="1" w:lineRule="exact"/>
        <w:rPr>
          <w:rFonts w:ascii="Times New Roman" w:cs="Times New Roman" w:eastAsia="Times New Roman" w:hAnsi="Times New Roman"/>
          <w:sz w:val="21"/>
          <w:szCs w:val="21"/>
          <w:color w:val="auto"/>
        </w:rPr>
      </w:pPr>
    </w:p>
    <w:p>
      <w:pPr>
        <w:jc w:val="both"/>
        <w:ind w:firstLine="8"/>
        <w:spacing w:after="0" w:line="242" w:lineRule="auto"/>
        <w:tabs>
          <w:tab w:leader="none" w:pos="380" w:val="left"/>
        </w:tabs>
        <w:numPr>
          <w:ilvl w:val="0"/>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by a committee of such directors designated by majority vote of such directors, (iii) if there are no Disinterested Directors or if such directors so direct, by Independent Counsel in a written opinion to the Board, a copy of which shall be delivered to Indemnitee, or (iv) by vote of the stockholders by ordinary resolution. The Company promptly will advise Indemnitee in writing with respect to any determination that Indemnitee is or is not entitled to indemnification, including a description of any reason or basis for which indemnification has been denied. If it is so determined that Indemnitee is entitled to indemnification, payment to Indemnitee shall be made within ten (10) days after such determination. Indemnitee shall reasonably cooperate with the person, persons or entity making such determination with respect to Indemnitee’s entitlement to indemnification, including providing to such person, persons or entity upon reasonable advance request any documentation or information which is not privileged or otherwise protected from disclosure and which is reasonably available to Indemnitee and reasonably necessary to such determination. Any costs or Expenses (including reasonable attorneys’ fees and disbursements) incurred by Indemnitee in so cooperating with the person, persons or entity making such determination shall be borne by the Company (irrespective of the determination as to Indemnitee’s entitlement to indemnification) and the Company hereby agrees to indemnify and to hold Indemnitee harmless therefrom.</w:t>
      </w:r>
    </w:p>
    <w:p>
      <w:pPr>
        <w:spacing w:after="0" w:line="212" w:lineRule="exact"/>
        <w:rPr>
          <w:rFonts w:ascii="Times New Roman" w:cs="Times New Roman" w:eastAsia="Times New Roman" w:hAnsi="Times New Roman"/>
          <w:sz w:val="21"/>
          <w:szCs w:val="21"/>
          <w:color w:val="auto"/>
        </w:rPr>
      </w:pPr>
    </w:p>
    <w:p>
      <w:pPr>
        <w:jc w:val="both"/>
        <w:ind w:firstLine="656"/>
        <w:spacing w:after="0" w:line="243" w:lineRule="auto"/>
        <w:tabs>
          <w:tab w:leader="none" w:pos="1296" w:val="left"/>
        </w:tabs>
        <w:numPr>
          <w:ilvl w:val="1"/>
          <w:numId w:val="2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the determination of entitlement to indemnification is to be made by Independent Counsel pursuant to Section 12(a) hereof, the Independent Counsel shall be selected as provided in this Section 12(b). The Independent Counsel shall be selected by Indemnitee (unless Indemnitee shall request that such selection be made by the Board), and Indemnitee shall give written notice to the Company advising it of the identity of the Independent Counsel so selected and certifying that the Independent Counsel so selected meets the requirements of “Independent Counsel” as defined in Section 2 of this Agreement. If the Independent Counsel is selected by the Board, the Company shall give written notice to Indemnitee advising him or her of the identity of the Independent Counsel so selected and certifying that the Independent Counsel so selected meets the requirements of “Independent Counsel” as defined in Section 2 of this Agreement. In either event, Indemnitee or the Company, as the case may be, may, within ten (10) days after such written notice of selection shall have been received, deliver to the Company or to Indemnitee, as the case may be, a written objection to such selection; provided, however, that such objection may be asserted only on the ground that the Independent Counsel so selected does not meet the requirements of “Independent Counsel” as defined in Section 2 of this Agreement, and the objection shall set forth with particularity the factual basis of such assertion. Absent a proper and timely objection, the person so selected shall act as Independent Counsel. If such written objection is so made and substantiated, the Independent Counsel so selected may not serve as Independent Counsel unless and until such objection is withdrawn or a court of competent jurisdiction has determined that such objection is without merit. If, within twenty (20) days after submission by Indemnitee of a written request for indemnification pursuant to Section 11(b) hereof, no Independent Counsel shall have been selected and not objected to, either the Company or Indemnitee may petition the Delaware Court for resolution of any objection which shall have been made by the Company or Indemnitee to the other’s selection of Independent Counsel and/or for the appointment as Independent Counsel of a person selected by the Delaware Court, and the person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45" w:name="page46"/>
    <w:bookmarkEnd w:id="45"/>
    <w:p>
      <w:pPr>
        <w:jc w:val="both"/>
        <w:spacing w:after="0"/>
        <w:rPr>
          <w:sz w:val="20"/>
          <w:szCs w:val="20"/>
          <w:color w:val="auto"/>
        </w:rPr>
      </w:pPr>
      <w:r>
        <w:rPr>
          <w:rFonts w:ascii="Times New Roman" w:cs="Times New Roman" w:eastAsia="Times New Roman" w:hAnsi="Times New Roman"/>
          <w:sz w:val="22"/>
          <w:szCs w:val="22"/>
          <w:color w:val="auto"/>
        </w:rPr>
        <w:t>respect to whom all objections are so resolved or the person so appointed shall act as Independent Counsel under Section 12(a) hereof. Upon the due commencement of any judicial proceeding or arbitration pursuant to Section 14(a) of this Agreement, Independent Counsel shall be discharged and relieved of any further responsibility in such capacity (subject to the applicable standards of professional conduct then prevailing).</w:t>
      </w:r>
    </w:p>
    <w:p>
      <w:pPr>
        <w:spacing w:after="0" w:line="204" w:lineRule="exact"/>
        <w:rPr>
          <w:sz w:val="20"/>
          <w:szCs w:val="20"/>
          <w:color w:val="auto"/>
        </w:rPr>
      </w:pPr>
    </w:p>
    <w:p>
      <w:pPr>
        <w:jc w:val="both"/>
        <w:ind w:firstLine="656"/>
        <w:spacing w:after="0" w:line="244"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agrees to pay the reasonable fees and expenses of Independent Counsel and to fully indemnify and hold harmless such Independent Counsel against any and all Expenses, claims, liabilities and damages arising out of or relating to this Agreement or its engagement pursuant hereto.</w:t>
      </w:r>
    </w:p>
    <w:p>
      <w:pPr>
        <w:spacing w:after="0" w:line="200" w:lineRule="exact"/>
        <w:rPr>
          <w:rFonts w:ascii="Times New Roman" w:cs="Times New Roman" w:eastAsia="Times New Roman" w:hAnsi="Times New Roman"/>
          <w:sz w:val="22"/>
          <w:szCs w:val="22"/>
          <w:color w:val="auto"/>
        </w:rPr>
      </w:pPr>
    </w:p>
    <w:p>
      <w:pPr>
        <w:ind w:firstLine="656"/>
        <w:spacing w:after="0" w:line="258" w:lineRule="auto"/>
        <w:tabs>
          <w:tab w:leader="none" w:pos="1296"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Company disputes a portion of the amounts for which indemnification is requested, the undisputed portion shall be paid and only the disputed portion withheld pending resolution of any such dispute.</w:t>
      </w:r>
    </w:p>
    <w:p>
      <w:pPr>
        <w:spacing w:after="0" w:line="181" w:lineRule="exact"/>
        <w:rPr>
          <w:sz w:val="20"/>
          <w:szCs w:val="20"/>
          <w:color w:val="auto"/>
        </w:rPr>
      </w:pPr>
    </w:p>
    <w:p>
      <w:pPr>
        <w:ind w:left="1300" w:hanging="644"/>
        <w:spacing w:after="0"/>
        <w:tabs>
          <w:tab w:leader="none" w:pos="1300" w:val="left"/>
        </w:tabs>
        <w:numPr>
          <w:ilvl w:val="0"/>
          <w:numId w:val="30"/>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PRESUMPTIONS AND EFFECT OF CERTAIN PROCEEDINGS.</w:t>
      </w:r>
    </w:p>
    <w:p>
      <w:pPr>
        <w:spacing w:after="0" w:line="237" w:lineRule="exact"/>
        <w:rPr>
          <w:sz w:val="20"/>
          <w:szCs w:val="20"/>
          <w:color w:val="auto"/>
        </w:rPr>
      </w:pPr>
    </w:p>
    <w:p>
      <w:pPr>
        <w:jc w:val="both"/>
        <w:ind w:firstLine="656"/>
        <w:spacing w:after="0" w:line="233"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making a determination with respect to entitlement to indemnification hereunder, the person, persons or entity making such determination shall presume that Indemnitee is entitled to indemnification under this Agreement if Indemnitee has submitted a request for indemnification in accordance with Section 11(b) of this Agreement, and the Company shall have the burden of proof to overcome that presumption in connection with the making by any person, persons or entity of any determination contrary to that presumption. Neither the failure of the Company (including by the Disinterested Directors or Independent Counsel) to have made a determination prior to the commencement of any action pursuant to this Agreement that indemnification is proper in the circumstances because Indemnitee has met the applicable standard of conduct, nor an actual determination by the Company (including by the Disinterested Directors or Independent Counsel) that Indemnitee has not met such applicable standard of conduct, shall be a defense to the action or create a presumption that Indemnitee has not met the applicable standard of conduct.</w:t>
      </w:r>
    </w:p>
    <w:p>
      <w:pPr>
        <w:spacing w:after="0" w:line="214"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the person, persons or entity empowered or selected under Section 12 of this Agreement to determine whether Indemnitee is entitled to indemnification shall not have made a determination within thirty (30) days after receipt by the Company of the request therefor, the requisite determination of entitlement to indemnification shall, to the fullest extent permitted by law, be deemed to have been made and Indemnitee shall be entitled to such indemnification, absent (i) a misstatement by Indemnitee of a material fact, or an omission of a material fact necessary to make Indemnitee’s statement not materially misleading, in connection with the request for indemnification, or (ii) a final judicial determination that any or all such indemnification is expressly prohibited under applicable law; provided, however, that such 30-day period may be extended for a reasonable time, not to exceed an additional fifteen (15) days, if the person, persons or entity making the determination with respect to entitlement to indemnification in good faith requires such additional time for the obtaining or evaluating of documentation and/or information relating thereto.</w:t>
      </w:r>
    </w:p>
    <w:p>
      <w:pPr>
        <w:spacing w:after="0" w:line="214"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3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termination of any Proceeding or of any claim, issue or matter therein, by judgment, order, settlement or conviction, or upon a plea of nolo contendere or its equivalent, shall not (except as otherwise expressly provided in this Agreement) of itself adversely affect the right of</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6" w:name="page47"/>
    <w:bookmarkEnd w:id="46"/>
    <w:p>
      <w:pPr>
        <w:jc w:val="both"/>
        <w:spacing w:after="0" w:line="262" w:lineRule="auto"/>
        <w:rPr>
          <w:sz w:val="20"/>
          <w:szCs w:val="20"/>
          <w:color w:val="auto"/>
        </w:rPr>
      </w:pPr>
      <w:r>
        <w:rPr>
          <w:rFonts w:ascii="Times New Roman" w:cs="Times New Roman" w:eastAsia="Times New Roman" w:hAnsi="Times New Roman"/>
          <w:sz w:val="21"/>
          <w:szCs w:val="21"/>
          <w:color w:val="auto"/>
        </w:rPr>
        <w:t>Indemnitee to indemnification or create a presumption that Indemnitee did not act in good faith and in a manner which he or she reasonably believed to be in or not opposed to the best interests of the Company or, with respect to any criminal Proceeding, that Indemnitee had reasonable cause to believe that his or her conduct was unlawful.</w:t>
      </w:r>
    </w:p>
    <w:p>
      <w:pPr>
        <w:spacing w:after="0" w:line="182" w:lineRule="exact"/>
        <w:rPr>
          <w:sz w:val="20"/>
          <w:szCs w:val="20"/>
          <w:color w:val="auto"/>
        </w:rPr>
      </w:pPr>
    </w:p>
    <w:p>
      <w:pPr>
        <w:jc w:val="both"/>
        <w:ind w:firstLine="656"/>
        <w:spacing w:after="0" w:line="233"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any determination of good faith, Indemnitee shall be deemed to have acted in good faith if Indemnitee’s action is based on the records or books of account of the Enterprise, including financial statements, or on information supplied to Indemnitee by the directors, manager, or officers of the Enterprise in the course of their duties, or on the advice of legal counsel for the Enterprise, its Board, any committee of the Board or any director, trustee, general partner, manager or managing member, or on information or records given or reports made to the Enterprise, its Board, any committee of the Board or any director, trustee, general partner, manager or managing member, by an independent certified public accountant or by an appraiser or other expert selected by the Enterprise, its Board, any committee of the Board or any director, trustee, general partner, manager or managing member. The provisions of this Section 13(d) shall not be deemed to be exclusive or to limit in any way the other circumstances in which Indemnitee may be deemed or found to have met the applicable standard of conduct set forth in this Agreement.</w:t>
      </w:r>
    </w:p>
    <w:p>
      <w:pPr>
        <w:spacing w:after="0" w:line="214"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knowledge and/or actions, or failure to act, of any other director, officer, trustee, partner, manager, managing member, fiduciary, agent or employee of the Enterprise shall not be imputed to Indemnitee for purposes of determining the right to indemnification under this Agreement.</w:t>
      </w:r>
    </w:p>
    <w:p>
      <w:pPr>
        <w:spacing w:after="0" w:line="196"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REMEDIES OF INDEMNITEE.</w:t>
      </w:r>
    </w:p>
    <w:p>
      <w:pPr>
        <w:spacing w:after="0" w:line="237" w:lineRule="exact"/>
        <w:rPr>
          <w:sz w:val="20"/>
          <w:szCs w:val="20"/>
          <w:color w:val="auto"/>
        </w:rPr>
      </w:pPr>
    </w:p>
    <w:p>
      <w:pPr>
        <w:jc w:val="both"/>
        <w:ind w:firstLine="656"/>
        <w:spacing w:after="0" w:line="243" w:lineRule="auto"/>
        <w:tabs>
          <w:tab w:leader="none" w:pos="1296" w:val="left"/>
        </w:tabs>
        <w:numPr>
          <w:ilvl w:val="1"/>
          <w:numId w:val="3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In the event that (i) a determination is made pursuant to Section 12 of this Agreement that Indemnitee is not entitled to indemnification under this Agreement, (ii) advancement of Expenses, to the fullest extent permitted by applicable law, is not timely made pursuant to Section 10 of this Agreement, (iii) no determination of entitlement to indemnification shall have been made pursuant to Section 12(a) of this Agreement within thirty (30) days after receipt by the Company of the request for indemnification, (iv) payment of indemnification is not made pursuant to Sections 5, 6, 7 or the last sentence of Section 12(a) of this Agreement within ten (10) days after receipt by the Company of a written request therefor, (v) a contribution payment is not made in a timely manner pursuant to Section 8 of this Agreement, (vi) payment of indemnification pursuant to Section 3 or 4 of this Agreement is not made within ten (10) days after a determination has been made that Indemnitee is entitled to indemnification, or (vii) payment to Indemnitee pursuant to any hold harmless or exoneration rights under this Agreement or otherwise is not made in accordance with this Agreement within ten</w:t>
      </w:r>
    </w:p>
    <w:p>
      <w:pPr>
        <w:spacing w:after="0" w:line="7" w:lineRule="exact"/>
        <w:rPr>
          <w:rFonts w:ascii="Times New Roman" w:cs="Times New Roman" w:eastAsia="Times New Roman" w:hAnsi="Times New Roman"/>
          <w:sz w:val="21"/>
          <w:szCs w:val="21"/>
          <w:color w:val="auto"/>
        </w:rPr>
      </w:pPr>
    </w:p>
    <w:p>
      <w:pPr>
        <w:jc w:val="both"/>
        <w:ind w:firstLine="8"/>
        <w:spacing w:after="0" w:line="232" w:lineRule="auto"/>
        <w:tabs>
          <w:tab w:leader="none" w:pos="477"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receipt by the Company of a written request therefor, Indemnitee shall be entitled to an adjudication by the Delaware Court to such indemnification, hold harmless, exoneration, contribution or advancement rights. Alternatively, Indemnitee, at his or her option, may seek an award in arbitration to be conducted by a single arbitrator pursuant to the Commercial Arbitration Rules and Mediation Procedures of the American Arbitration Association. Except as set forth herein, the provisions of Delaware law (without regard to its conflict of laws rules) shall apply to any such arbitration. The Company shall not oppose Indemnitee’s right to seek any such adjudication or award in arbitration.</w:t>
      </w:r>
    </w:p>
    <w:p>
      <w:pPr>
        <w:spacing w:after="0" w:line="208"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1"/>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that a determination shall have been made pursuant to Section 12(a) of this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7" w:name="page48"/>
    <w:bookmarkEnd w:id="47"/>
    <w:p>
      <w:pPr>
        <w:jc w:val="both"/>
        <w:spacing w:after="0" w:line="244" w:lineRule="auto"/>
        <w:rPr>
          <w:sz w:val="20"/>
          <w:szCs w:val="20"/>
          <w:color w:val="auto"/>
        </w:rPr>
      </w:pPr>
      <w:r>
        <w:rPr>
          <w:rFonts w:ascii="Times New Roman" w:cs="Times New Roman" w:eastAsia="Times New Roman" w:hAnsi="Times New Roman"/>
          <w:sz w:val="22"/>
          <w:szCs w:val="22"/>
          <w:color w:val="auto"/>
        </w:rPr>
        <w:t>Agreement that Indemnitee is not entitled to indemnification, any judicial proceeding or arbitration commenced pursuant to this Section 14 shall be conducted in all respects as a de novo trial, or arbitration, on the merits and Indemnitee shall not be prejudiced by reason of that adverse determination.</w:t>
      </w:r>
    </w:p>
    <w:p>
      <w:pPr>
        <w:spacing w:after="0" w:line="201" w:lineRule="exact"/>
        <w:rPr>
          <w:sz w:val="20"/>
          <w:szCs w:val="20"/>
          <w:color w:val="auto"/>
        </w:rPr>
      </w:pPr>
    </w:p>
    <w:p>
      <w:pPr>
        <w:jc w:val="both"/>
        <w:ind w:firstLine="656"/>
        <w:spacing w:after="0" w:line="234"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any judicial proceeding or arbitration commenced pursuant to this Section 14, Indemnitee shall be presumed to be entitled to be indemnified, held harmless, exonerated to receive advancement of Expenses under this Agreement and the Company shall have the burden of proving Indemnitee is not entitled to be indemnified, held harmless, exonerated and to receive advancement of Expenses, as the case may be, and the Company may not refer to or introduce into evidence any determination pursuant to Section 12(a) of this Agreement adverse to Indemnitee for any purpose. If Indemnitee commences a judicial proceeding or arbitration pursuant to this Section 14, Indemnitee shall not be required to reimburse the Company for any advances pursuant to Section 10 until a final determination is made with respect to Indemnitee’s entitlement to indemnification (as to which all rights of appeal have been exhausted or lapsed).</w:t>
      </w:r>
    </w:p>
    <w:p>
      <w:pPr>
        <w:spacing w:after="0" w:line="210" w:lineRule="exact"/>
        <w:rPr>
          <w:rFonts w:ascii="Times New Roman" w:cs="Times New Roman" w:eastAsia="Times New Roman" w:hAnsi="Times New Roman"/>
          <w:sz w:val="22"/>
          <w:szCs w:val="22"/>
          <w:color w:val="auto"/>
        </w:rPr>
      </w:pPr>
    </w:p>
    <w:p>
      <w:pPr>
        <w:jc w:val="both"/>
        <w:ind w:firstLine="656"/>
        <w:spacing w:after="0" w:line="236"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a determination shall have been made pursuant to Section 12(a) of this Agreement that Indemnitee is entitled to indemnification, the Company shall be bound by such determination in any judicial proceeding or arbitration commenced pursuant to this Section 14, absent (i) a misstatement by Indemnitee of a material fact, or an omission of a material fact necessary to make Indemnitee’s statement not materially misleading, in connection with the request for indemnification, or (ii) a prohibition of such indemnification under applicable law.</w:t>
      </w:r>
    </w:p>
    <w:p>
      <w:pPr>
        <w:spacing w:after="0" w:line="208"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be precluded from asserting in any judicial proceeding or arbitration commenced pursuant to this Section 14 that the procedures and presumptions of this Agreement are not valid, binding and enforceable and shall stipulate in any such court or before any such arbitrator that the Company is bound by all the provisions of this Agreement.</w:t>
      </w:r>
    </w:p>
    <w:p>
      <w:pPr>
        <w:spacing w:after="0" w:line="207"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indemnify and hold harmless Indemnitee to the fullest extent permitted by law against all Expenses and, if requested by Indemnitee, shall (within ten (10) days after the Company’s receipt of such written request) pay to Indemnitee, to the fullest extent permitted by applicable law, such Expenses which are incurred by Indemnitee in connection with any judicial proceeding or arbitration brought by Indemnitee: (i) to enforce his or her rights under, or to recover damages for breach of, this Agreement or any other indemnification, hold harmless, exoneration, advancement or contribution agreement or provision of the Charter, or the Bylaws now or hereafter in effect; or (ii) for recovery or advances under any insurance policy maintained by any person for the benefit of Indemnitee, regardless of the outcome and whether Indemnitee ultimately is determined to be entitled to such indemnification, hold harmless or exoneration right, advancement, contribution or insurance recovery, as the case may be (unless such judicial proceeding or arbitration was not brought by Indemnitee in good faith).</w:t>
      </w:r>
    </w:p>
    <w:p>
      <w:pPr>
        <w:spacing w:after="0" w:line="214"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Interest shall be paid by the Company to Indemnitee at the legal rate under Delaware law for amounts which the Company indemnifies, holds harmless or exonerates, or advances, or is obliged to indemnify, hold harmless or exonerate or advance for the period commencing with the date on which Indemnitee requests indemnification, to be held harmless, exonerated, contribution, reimbursement or advancement of any Expenses and ending with the date on which such payment is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22"/>
          <w:szCs w:val="22"/>
          <w:color w:val="auto"/>
        </w:rPr>
        <w:t>made to Indemnitee by the Company.</w:t>
      </w:r>
    </w:p>
    <w:p>
      <w:pPr>
        <w:spacing w:after="0" w:line="234" w:lineRule="exact"/>
        <w:rPr>
          <w:sz w:val="20"/>
          <w:szCs w:val="20"/>
          <w:color w:val="auto"/>
        </w:rPr>
      </w:pPr>
    </w:p>
    <w:p>
      <w:pPr>
        <w:jc w:val="both"/>
        <w:ind w:firstLine="656"/>
        <w:spacing w:after="0" w:line="244" w:lineRule="auto"/>
        <w:tabs>
          <w:tab w:leader="none" w:pos="1296"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Indemnitee is entitled under any provision of this Agreement to indemnification by the Company for some or a portion of Expenses, but not, however, for the total amount thereof, the Company shall nevertheless indemnify Indemnitee for the portion thereof to which Indemnitee is entitled.</w:t>
      </w:r>
    </w:p>
    <w:p>
      <w:pPr>
        <w:spacing w:after="0" w:line="196" w:lineRule="exact"/>
        <w:rPr>
          <w:sz w:val="20"/>
          <w:szCs w:val="20"/>
          <w:color w:val="auto"/>
        </w:rPr>
      </w:pPr>
    </w:p>
    <w:p>
      <w:pPr>
        <w:jc w:val="both"/>
        <w:ind w:firstLine="656"/>
        <w:spacing w:after="0" w:line="238" w:lineRule="auto"/>
        <w:tabs>
          <w:tab w:leader="none" w:pos="1296"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SECURITY</w:t>
      </w:r>
      <w:r>
        <w:rPr>
          <w:rFonts w:ascii="Times New Roman" w:cs="Times New Roman" w:eastAsia="Times New Roman" w:hAnsi="Times New Roman"/>
          <w:sz w:val="22"/>
          <w:szCs w:val="22"/>
          <w:color w:val="auto"/>
        </w:rPr>
        <w:t>. Notwithstanding anything herein to the contrary, but subject to Section 27,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requested by Indemnitee and approved by the Board, the Company may at any time and from time to time provide security to Indemnitee for the Company’s obligations hereunder through an irrevocable bank line of credit, funded trust or other collateral. Any such security, once provided to Indemnitee, may not be revoked or released without the prior written consent of Indemnitee.</w:t>
      </w:r>
    </w:p>
    <w:p>
      <w:pPr>
        <w:spacing w:after="0" w:line="203" w:lineRule="exact"/>
        <w:rPr>
          <w:rFonts w:ascii="Times New Roman" w:cs="Times New Roman" w:eastAsia="Times New Roman" w:hAnsi="Times New Roman"/>
          <w:sz w:val="22"/>
          <w:szCs w:val="22"/>
          <w:b w:val="1"/>
          <w:bCs w:val="1"/>
          <w:color w:val="auto"/>
        </w:rPr>
      </w:pPr>
    </w:p>
    <w:p>
      <w:pPr>
        <w:ind w:left="1300" w:right="20" w:hanging="644"/>
        <w:spacing w:after="0" w:line="262" w:lineRule="auto"/>
        <w:tabs>
          <w:tab w:leader="none" w:pos="1300" w:val="left"/>
        </w:tabs>
        <w:numPr>
          <w:ilvl w:val="0"/>
          <w:numId w:val="3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NON-EXCLUSIVITY; SURVIVAL OF RIGHTS; INSURANCE; SUBROGATION; PRIORITY OF OBLIGATIONS.</w:t>
      </w:r>
    </w:p>
    <w:p>
      <w:pPr>
        <w:spacing w:after="0" w:line="181" w:lineRule="exact"/>
        <w:rPr>
          <w:sz w:val="20"/>
          <w:szCs w:val="20"/>
          <w:color w:val="auto"/>
        </w:rPr>
      </w:pPr>
    </w:p>
    <w:p>
      <w:pPr>
        <w:jc w:val="both"/>
        <w:ind w:firstLine="656"/>
        <w:spacing w:after="0" w:line="233"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rights of Indemnitee as provided by this Agreement shall not be deemed exclusive of any other rights to which Indemnitee may at any time be entitled under applicable law, the Charter, the Bylaws, any agreement, a vote of stockholders or a resolution of directors, or otherwise. No amendment, alteration or repeal of this Agreement or of any provision hereof shall limit or restrict any right of Indemnitee under this Agreement in respect of any Proceeding (regardless of when such Proceeding is first threatened, commenced or completed) or claim, issue or matter therein arising out of, or related to, any action taken or omitted by such Indemnitee in his or her Corporate Status prior to such amendment, alteration or repeal. To the extent that a change in applicable law, whether by statute or judicial decision, permits greater indemnification, hold harmless or exoneration rights or advancement of Expenses than would be afforded currently under the Charter, the Bylaws or this Agreement, then this Agreement (without any further action by the parties hereto) shall automatically be deemed to be amended to require that the Company indemnifies the Indemnitee to the fullest extent permitted by law. No right or remedy herein conferred is intended to be exclusive of any other right or remedy, and every other right and remedy shall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right or remedy.</w:t>
      </w:r>
    </w:p>
    <w:p>
      <w:pPr>
        <w:spacing w:after="0" w:line="204"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DGCL, the Charter and the Bylaws permit the Company to purchase and maintain insurance or furnish similar protection or make other arrangements including, but not limited to, providing a trust fund, letter of credit, or surety bond (“</w:t>
      </w:r>
      <w:r>
        <w:rPr>
          <w:rFonts w:ascii="Times New Roman" w:cs="Times New Roman" w:eastAsia="Times New Roman" w:hAnsi="Times New Roman"/>
          <w:sz w:val="22"/>
          <w:szCs w:val="22"/>
          <w:b w:val="1"/>
          <w:bCs w:val="1"/>
          <w:i w:val="1"/>
          <w:iCs w:val="1"/>
          <w:color w:val="auto"/>
        </w:rPr>
        <w:t>Indemnification Arrangements</w:t>
      </w:r>
      <w:r>
        <w:rPr>
          <w:rFonts w:ascii="Times New Roman" w:cs="Times New Roman" w:eastAsia="Times New Roman" w:hAnsi="Times New Roman"/>
          <w:sz w:val="22"/>
          <w:szCs w:val="22"/>
          <w:color w:val="auto"/>
        </w:rPr>
        <w:t>”) on behalf of Indemnitee against any liability asserted against him or her or incurred by or on behalf of him or her or in such capacity as a director, officer, employee or agent of the Company, or arising out of his or her status as such, whether or not the Company would have the power to indemnify him or her against such liability under the provisions of this Agreement or under the DGCL, as it may then be in effect. The purchase, establishment, and maintenance of any such Indemnification Arrangement shall not in any way limit or affect the rights and obligations of the Company or of Indemnitee under this Agreement except as expressly provided herein, and the execution and delivery of this Agreement by the Company and Indemnitee shall not in any way limit or affect the rights and obligations of the Company or the other party or parties thereto under any such Indemnification Arrangement.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49" w:name="page50"/>
    <w:bookmarkEnd w:id="49"/>
    <w:p>
      <w:pPr>
        <w:jc w:val="both"/>
        <w:ind w:firstLine="656"/>
        <w:spacing w:after="0" w:line="233"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the Company maintains an insurance policy or policies providing liability insurance for directors, officers, trustees, partners, managers, managing members, fiduciaries, employees, or agents of the Company or of any other Enterprise which such person serves at the request of the Company, Indemnitee shall be covered by such policy or policies in accordance with its or their terms to the maximum extent of the coverage available for any such director, officer, trustee, partner, managers, managing member, fiduciary, employee or agent under such policy or policies. If, at the time the Company receives notice from any source of a Proceeding as to which Indemnitee is a party or a participant (as a witness, deponent or otherwise), the Company has director and officer liability insurance in effect, the Company shall give prompt notice of such Proceeding to the insurers in accordance with the procedures set forth in the respective policies. The Company shall thereafter use commercially reasonable efforts to cause such insurers to pay, on behalf of Indemnitee, all amounts payable as a result of such Proceeding in accordance with the terms of such policies.</w:t>
      </w:r>
    </w:p>
    <w:p>
      <w:pPr>
        <w:spacing w:after="0" w:line="214"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the event of any payment under this Agreement, the Company, to the fullest extent permitted by law, shall be subrogated to the extent of such payment to all of the rights of recovery of Indemnitee, who shall execute all papers required and take all action necessary to secure such rights, including execution of such documents as are necessary to enable the Company to bring suit to enforce such rights. No such payment by the Company shall be deemed to relieve any insurer of its obligations.</w:t>
      </w:r>
    </w:p>
    <w:p>
      <w:pPr>
        <w:spacing w:after="0" w:line="203" w:lineRule="exact"/>
        <w:rPr>
          <w:rFonts w:ascii="Times New Roman" w:cs="Times New Roman" w:eastAsia="Times New Roman" w:hAnsi="Times New Roman"/>
          <w:sz w:val="22"/>
          <w:szCs w:val="22"/>
          <w:color w:val="auto"/>
        </w:rPr>
      </w:pPr>
    </w:p>
    <w:p>
      <w:pPr>
        <w:jc w:val="both"/>
        <w:ind w:firstLine="656"/>
        <w:spacing w:after="0" w:line="233"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Company’s obligation to indemnify, hold harmless, exonerate or advance Expenses hereunder to Indemnitee who is or was serving at the request of the Company as a director, officer, trustee, partner, manager, managing member, fiduciary, employee or agent of any other Enterprise shall be reduced by any amount Indemnitee has actually received as indemnification, hold harmless or exoneration payments or advancement of expenses from such Enterprise. Notwithstanding any other provision of this Agreement to the contrary, but subject to Section 27, (i) Indemnitee shall have no obligation to reduce, offset, allocate, pursue or apportion any indemnification, hold harmless, exoneration, advancement, contribution or insurance coverage among multiple parties possessing such duties to Indemnitee prior to the Company’s satisfaction and performance of all its obligations under this Agreement, and (ii) the Company shall perform fully its obligations under this Agreement without regard to whether Indemnitee holds, may pursue or has pursued any indemnification, advancement, hold harmless, exoneration, contribution or insurance coverage rights against any person or entity other than the Company.</w:t>
      </w:r>
    </w:p>
    <w:p>
      <w:pPr>
        <w:spacing w:after="0" w:line="211" w:lineRule="exact"/>
        <w:rPr>
          <w:rFonts w:ascii="Times New Roman" w:cs="Times New Roman" w:eastAsia="Times New Roman" w:hAnsi="Times New Roman"/>
          <w:sz w:val="22"/>
          <w:szCs w:val="22"/>
          <w:color w:val="auto"/>
        </w:rPr>
      </w:pPr>
    </w:p>
    <w:p>
      <w:pPr>
        <w:jc w:val="both"/>
        <w:ind w:firstLine="656"/>
        <w:spacing w:after="0" w:line="244" w:lineRule="auto"/>
        <w:tabs>
          <w:tab w:leader="none" w:pos="1296"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anything contained herein, the Company is the primary indemnitor, and any indemnification or advancement obligation of the Sponsor or its affiliates or members or any other Person is secondary.</w:t>
      </w:r>
    </w:p>
    <w:p>
      <w:pPr>
        <w:spacing w:after="0" w:line="196" w:lineRule="exact"/>
        <w:rPr>
          <w:sz w:val="20"/>
          <w:szCs w:val="20"/>
          <w:color w:val="auto"/>
        </w:rPr>
      </w:pPr>
    </w:p>
    <w:p>
      <w:pPr>
        <w:jc w:val="both"/>
        <w:ind w:firstLine="656"/>
        <w:spacing w:after="0" w:line="235" w:lineRule="auto"/>
        <w:tabs>
          <w:tab w:leader="none" w:pos="1296"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DURATION OF AGREEMENT</w:t>
      </w:r>
      <w:r>
        <w:rPr>
          <w:rFonts w:ascii="Times New Roman" w:cs="Times New Roman" w:eastAsia="Times New Roman" w:hAnsi="Times New Roman"/>
          <w:sz w:val="22"/>
          <w:szCs w:val="22"/>
          <w:color w:val="auto"/>
        </w:rPr>
        <w:t>. All agreements and obligations of the Company contained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herein shall continue during the period Indemnitee serves as a director or officer of the Company or as a director, officer, trustee, partner, manager, managing member, fiduciary, employee or agent of any other corporation, partnership, joint venture, trust, employee benefit plan or other Enterprise which Indemnitee serves at the request of the Company and shall continue thereafter so long as Indemnitee shall be subject to any possible Proceeding (including any rights of appeal thereto and any Proceeding commenced by Indemnitee pursuant to Section 14 of this Agreement) by reason of his or her Corporate Status, whether or not he or she is acting in any such capacity at the time any liability</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22"/>
          <w:szCs w:val="22"/>
          <w:color w:val="auto"/>
        </w:rPr>
        <w:t>or expense is incurred for which indemnification or advancement can be provided under this Agreement.</w:t>
      </w:r>
    </w:p>
    <w:p>
      <w:pPr>
        <w:spacing w:after="0" w:line="230" w:lineRule="exact"/>
        <w:rPr>
          <w:sz w:val="20"/>
          <w:szCs w:val="20"/>
          <w:color w:val="auto"/>
        </w:rPr>
      </w:pPr>
    </w:p>
    <w:p>
      <w:pPr>
        <w:ind w:right="360" w:firstLine="656"/>
        <w:spacing w:after="0" w:line="262" w:lineRule="auto"/>
        <w:tabs>
          <w:tab w:leader="none" w:pos="1296" w:val="left"/>
        </w:tabs>
        <w:numPr>
          <w:ilvl w:val="0"/>
          <w:numId w:val="4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SEVERABILITY</w:t>
      </w:r>
      <w:r>
        <w:rPr>
          <w:rFonts w:ascii="Times New Roman" w:cs="Times New Roman" w:eastAsia="Times New Roman" w:hAnsi="Times New Roman"/>
          <w:sz w:val="22"/>
          <w:szCs w:val="22"/>
          <w:color w:val="auto"/>
        </w:rPr>
        <w:t>. If any provision or provisions of this Agreement shall be held to be invalid,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illegal or unenforceable for any reason whatsoever:</w:t>
      </w:r>
    </w:p>
    <w:p>
      <w:pPr>
        <w:spacing w:after="0" w:line="181" w:lineRule="exact"/>
        <w:rPr>
          <w:sz w:val="20"/>
          <w:szCs w:val="20"/>
          <w:color w:val="auto"/>
        </w:rPr>
      </w:pPr>
    </w:p>
    <w:p>
      <w:pPr>
        <w:jc w:val="both"/>
        <w:ind w:firstLine="656"/>
        <w:spacing w:after="0" w:line="234" w:lineRule="auto"/>
        <w:tabs>
          <w:tab w:leader="none" w:pos="986"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validity, legality and enforceability of the remaining provisions of this Agreement (including, without limitation, each portion of any Section, paragraph or sentence of this Agreement containing any such provision held to be invalid, illegal or unenforceable, that is not itself invalid, illegal or unenforceable) shall not in any way be affected or impaired thereby and shall remain enforceable to the fullest extent permitted by law; (b) such provision or provisions shall be deemed reformed to the extent necessary to conform to applicable law and to give the maximum effect to the intent of the parties hereto; and (c) to the fullest extent possible, the provisions of this Agreement (including, without limitation, each portion of any Section, paragraph or sentence of this Agreement containing any such provision held to be invalid, illegal or unenforceable, that is not itself invalid, illegal or unenforceable) shall be construed so as to give effect to the intent manifested thereby.</w:t>
      </w:r>
    </w:p>
    <w:p>
      <w:pPr>
        <w:spacing w:after="0" w:line="206" w:lineRule="exact"/>
        <w:rPr>
          <w:sz w:val="20"/>
          <w:szCs w:val="20"/>
          <w:color w:val="auto"/>
        </w:rPr>
      </w:pPr>
    </w:p>
    <w:p>
      <w:pPr>
        <w:ind w:left="1300" w:hanging="644"/>
        <w:spacing w:after="0"/>
        <w:tabs>
          <w:tab w:leader="none" w:pos="1300" w:val="left"/>
        </w:tabs>
        <w:numPr>
          <w:ilvl w:val="0"/>
          <w:numId w:val="4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ENFORCEMENT AND BINDING EFFECT.</w:t>
      </w:r>
    </w:p>
    <w:p>
      <w:pPr>
        <w:spacing w:after="0" w:line="237" w:lineRule="exact"/>
        <w:rPr>
          <w:sz w:val="20"/>
          <w:szCs w:val="20"/>
          <w:color w:val="auto"/>
        </w:rPr>
      </w:pPr>
    </w:p>
    <w:p>
      <w:pPr>
        <w:jc w:val="both"/>
        <w:ind w:firstLine="656"/>
        <w:spacing w:after="0" w:line="239"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expressly confirms and agrees that it has entered into this Agreement and assumed the obligations imposed on it hereby in order to induce Indemnitee to serve as a director, officer or key employee of the Company, and the Company acknowledges that Indemnitee is relying upon this Agreement in serving as a director, officer or key employee of the Company.</w:t>
      </w:r>
    </w:p>
    <w:p>
      <w:pPr>
        <w:spacing w:after="0" w:line="207" w:lineRule="exact"/>
        <w:rPr>
          <w:rFonts w:ascii="Times New Roman" w:cs="Times New Roman" w:eastAsia="Times New Roman" w:hAnsi="Times New Roman"/>
          <w:sz w:val="22"/>
          <w:szCs w:val="22"/>
          <w:color w:val="auto"/>
        </w:rPr>
      </w:pPr>
    </w:p>
    <w:p>
      <w:pPr>
        <w:jc w:val="both"/>
        <w:ind w:firstLine="656"/>
        <w:spacing w:after="0" w:line="239"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Without limiting any of the rights of Indemnitee under the Charter or Bylaws of the Company as they may be amended from time to time, this Agreement constitutes the entire agreement between the parties hereto with respect to the subject matter hereof and supersedes all prior agreements and understandings, oral, written and implied, between the parties hereto with respect to the subject matter hereof.</w:t>
      </w:r>
    </w:p>
    <w:p>
      <w:pPr>
        <w:spacing w:after="0" w:line="207" w:lineRule="exact"/>
        <w:rPr>
          <w:rFonts w:ascii="Times New Roman" w:cs="Times New Roman" w:eastAsia="Times New Roman" w:hAnsi="Times New Roman"/>
          <w:sz w:val="22"/>
          <w:szCs w:val="22"/>
          <w:color w:val="auto"/>
        </w:rPr>
      </w:pPr>
    </w:p>
    <w:p>
      <w:pPr>
        <w:jc w:val="both"/>
        <w:ind w:firstLine="656"/>
        <w:spacing w:after="0" w:line="235"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indemnification, hold harmless, exoneration and advancement of expenses rights provided by or granted pursuant to this Agreement shall be binding upon and be enforceable by the parties hereto and their respective successors and assigns (including any direct or indirect successor by purchase, merger, consolidation or otherwise to all or substantially all of the business and/or assets of the Company), shall continue as to an Indemnitee who has ceased to be a director, officer, employee or agent of the Company or a director, officer, trustee, general partner, manager, managing member, fiduciary, employee or agent of any other Enterprise at the Company’s request, and shall inure to the benefit of Indemnitee and his or her spouse, assigns, heirs, devisees, executors and administrators and other legal representatives.</w:t>
      </w:r>
    </w:p>
    <w:p>
      <w:pPr>
        <w:spacing w:after="0" w:line="205"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shall require and cause any successor (whether direct or indirect by purchase, merger, consolidation or otherwise) to all, substantially all or a substantial part, of the business and/or assets of the Company, by written agreement in form and substance satisfactory to Indemnitee, expressly to assume and agree to perform this Agreement in the same manner and to the same extent that the Company would be required to perform if no such succession had taken place.</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Company and Indemnitee agree herein that a monetary remedy for breach of this</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1" w:name="page52"/>
    <w:bookmarkEnd w:id="51"/>
    <w:p>
      <w:pPr>
        <w:jc w:val="both"/>
        <w:spacing w:after="0" w:line="233" w:lineRule="auto"/>
        <w:rPr>
          <w:sz w:val="20"/>
          <w:szCs w:val="20"/>
          <w:color w:val="auto"/>
        </w:rPr>
      </w:pPr>
      <w:r>
        <w:rPr>
          <w:rFonts w:ascii="Times New Roman" w:cs="Times New Roman" w:eastAsia="Times New Roman" w:hAnsi="Times New Roman"/>
          <w:sz w:val="22"/>
          <w:szCs w:val="22"/>
          <w:color w:val="auto"/>
        </w:rPr>
        <w:t>Agreement, at some later date, may be inadequate, impracticable and difficult of proof, and further agree that such breach may cause Indemnitee irreparable harm. Accordingly, the parties hereto agree that Indemnitee may, to the fullest extent permitted by law, enforce this Agreement by seeking, among other things, injunctive relief and/or specific performance hereof, without any necessity of showing actual damage or irreparable harm and that by seeking injunctive relief and/or specific performance, Indemnitee shall not be precluded from seeking or obtaining any other relief to which he or she may be entitled. The Company and Indemnitee further agree that Indemnitee shall, to the fullest extent permitted by law, be entitled to such specific performance and injunctive relief, including temporary restraining orders, preliminary injunctions and permanent injunctions, without the necessity of posting bonds or other undertaking in connection therewith. The Company acknowledges that in the absence of a waiver, a bond or undertaking may be required of Indemnitee by a court of competent jurisdiction, and the Company hereby waives any such requirement of such a bond or undertaking to the fullest extent permitted by law.</w:t>
      </w:r>
    </w:p>
    <w:p>
      <w:pPr>
        <w:spacing w:after="0" w:line="208" w:lineRule="exact"/>
        <w:rPr>
          <w:sz w:val="20"/>
          <w:szCs w:val="20"/>
          <w:color w:val="auto"/>
        </w:rPr>
      </w:pPr>
    </w:p>
    <w:p>
      <w:pPr>
        <w:jc w:val="both"/>
        <w:ind w:left="100" w:firstLine="591"/>
        <w:spacing w:after="0" w:line="241" w:lineRule="auto"/>
        <w:tabs>
          <w:tab w:leader="none" w:pos="1296"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MODIFICATION AND WAIVER</w:t>
      </w:r>
      <w:r>
        <w:rPr>
          <w:rFonts w:ascii="Times New Roman" w:cs="Times New Roman" w:eastAsia="Times New Roman" w:hAnsi="Times New Roman"/>
          <w:sz w:val="22"/>
          <w:szCs w:val="22"/>
          <w:color w:val="auto"/>
        </w:rPr>
        <w:t>. No supplement, modification or amendment of this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Agreement shall be binding unless executed in writing by the parties hereto. No waiver of any of the provisions of this Agreement shall be deemed or shall constitute a waiver of any other provisions of this Agreement nor shall any waiver constitute a continuing waiver.</w:t>
      </w:r>
    </w:p>
    <w:p>
      <w:pPr>
        <w:spacing w:after="0" w:line="198" w:lineRule="exact"/>
        <w:rPr>
          <w:rFonts w:ascii="Times New Roman" w:cs="Times New Roman" w:eastAsia="Times New Roman" w:hAnsi="Times New Roman"/>
          <w:sz w:val="22"/>
          <w:szCs w:val="22"/>
          <w:b w:val="1"/>
          <w:bCs w:val="1"/>
          <w:color w:val="auto"/>
        </w:rPr>
      </w:pPr>
    </w:p>
    <w:p>
      <w:pPr>
        <w:jc w:val="both"/>
        <w:ind w:left="100" w:firstLine="591"/>
        <w:spacing w:after="0" w:line="241" w:lineRule="auto"/>
        <w:tabs>
          <w:tab w:leader="none" w:pos="1296" w:val="left"/>
        </w:tabs>
        <w:numPr>
          <w:ilvl w:val="1"/>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NOTICES</w:t>
      </w:r>
      <w:r>
        <w:rPr>
          <w:rFonts w:ascii="Times New Roman" w:cs="Times New Roman" w:eastAsia="Times New Roman" w:hAnsi="Times New Roman"/>
          <w:sz w:val="22"/>
          <w:szCs w:val="22"/>
          <w:color w:val="auto"/>
        </w:rPr>
        <w:t>. All notices, requests, demands and other communications under this Agreement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in writing and shall be deemed to have been duly given (i) if delivered by hand and receipted for by the party to whom said notice or other communication shall have been directed, or (ii) if mailed by certified or registered mail with postage prepaid, on the third (3rd) business day after the date on which it is so mailed:</w:t>
      </w:r>
    </w:p>
    <w:p>
      <w:pPr>
        <w:spacing w:after="0" w:line="202" w:lineRule="exact"/>
        <w:rPr>
          <w:rFonts w:ascii="Times New Roman" w:cs="Times New Roman" w:eastAsia="Times New Roman" w:hAnsi="Times New Roman"/>
          <w:sz w:val="22"/>
          <w:szCs w:val="22"/>
          <w:b w:val="1"/>
          <w:bCs w:val="1"/>
          <w:color w:val="auto"/>
        </w:rPr>
      </w:pPr>
    </w:p>
    <w:p>
      <w:pPr>
        <w:ind w:right="20" w:firstLine="672"/>
        <w:spacing w:after="0" w:line="258" w:lineRule="auto"/>
        <w:tabs>
          <w:tab w:leader="none" w:pos="1296"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Indemnitee, at the address indicated on the signature page of this Agreement, or such other address as Indemnitee shall provide in writing to the Company.</w:t>
      </w:r>
    </w:p>
    <w:p>
      <w:pPr>
        <w:spacing w:after="0" w:line="185" w:lineRule="exact"/>
        <w:rPr>
          <w:rFonts w:ascii="Times New Roman" w:cs="Times New Roman" w:eastAsia="Times New Roman" w:hAnsi="Times New Roman"/>
          <w:sz w:val="22"/>
          <w:szCs w:val="22"/>
          <w:color w:val="auto"/>
        </w:rPr>
      </w:pPr>
    </w:p>
    <w:p>
      <w:pPr>
        <w:ind w:left="1300" w:hanging="631"/>
        <w:spacing w:after="0"/>
        <w:tabs>
          <w:tab w:leader="none" w:pos="1300" w:val="left"/>
        </w:tabs>
        <w:numPr>
          <w:ilvl w:val="0"/>
          <w:numId w:val="4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If to the Company, to:</w:t>
      </w:r>
    </w:p>
    <w:p>
      <w:pPr>
        <w:spacing w:after="0" w:line="233"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22"/>
          <w:szCs w:val="22"/>
          <w:color w:val="auto"/>
        </w:rPr>
        <w:t>Nu Ride Inc.</w:t>
      </w:r>
    </w:p>
    <w:p>
      <w:pPr>
        <w:spacing w:after="0" w:line="4"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22"/>
          <w:szCs w:val="22"/>
          <w:color w:val="auto"/>
        </w:rPr>
        <w:t>1700 Broadway, 19th Floor</w:t>
      </w:r>
    </w:p>
    <w:p>
      <w:pPr>
        <w:ind w:left="1540"/>
        <w:spacing w:after="0" w:line="230" w:lineRule="auto"/>
        <w:rPr>
          <w:sz w:val="20"/>
          <w:szCs w:val="20"/>
          <w:color w:val="auto"/>
        </w:rPr>
      </w:pPr>
      <w:r>
        <w:rPr>
          <w:rFonts w:ascii="Times New Roman" w:cs="Times New Roman" w:eastAsia="Times New Roman" w:hAnsi="Times New Roman"/>
          <w:sz w:val="22"/>
          <w:szCs w:val="22"/>
          <w:color w:val="auto"/>
        </w:rPr>
        <w:t>New York, NY 10019</w:t>
      </w:r>
    </w:p>
    <w:p>
      <w:pPr>
        <w:ind w:left="1540"/>
        <w:spacing w:after="0" w:line="231" w:lineRule="auto"/>
        <w:rPr>
          <w:sz w:val="20"/>
          <w:szCs w:val="20"/>
          <w:color w:val="auto"/>
        </w:rPr>
      </w:pPr>
      <w:r>
        <w:rPr>
          <w:rFonts w:ascii="Times New Roman" w:cs="Times New Roman" w:eastAsia="Times New Roman" w:hAnsi="Times New Roman"/>
          <w:sz w:val="22"/>
          <w:szCs w:val="22"/>
          <w:color w:val="auto"/>
        </w:rPr>
        <w:t>Attn: Bill Gallagher</w:t>
      </w:r>
    </w:p>
    <w:p>
      <w:pPr>
        <w:ind w:left="1540"/>
        <w:spacing w:after="0" w:line="230" w:lineRule="auto"/>
        <w:rPr>
          <w:sz w:val="20"/>
          <w:szCs w:val="20"/>
          <w:color w:val="auto"/>
        </w:rPr>
      </w:pPr>
      <w:r>
        <w:rPr>
          <w:rFonts w:ascii="Times New Roman" w:cs="Times New Roman" w:eastAsia="Times New Roman" w:hAnsi="Times New Roman"/>
          <w:sz w:val="22"/>
          <w:szCs w:val="22"/>
          <w:color w:val="auto"/>
        </w:rPr>
        <w:t>With a copy, which shall not constitute notice, to:</w:t>
      </w:r>
    </w:p>
    <w:p>
      <w:pPr>
        <w:ind w:left="1540"/>
        <w:spacing w:after="0" w:line="231" w:lineRule="auto"/>
        <w:rPr>
          <w:sz w:val="20"/>
          <w:szCs w:val="20"/>
          <w:color w:val="auto"/>
        </w:rPr>
      </w:pPr>
      <w:r>
        <w:rPr>
          <w:rFonts w:ascii="Times New Roman" w:cs="Times New Roman" w:eastAsia="Times New Roman" w:hAnsi="Times New Roman"/>
          <w:sz w:val="22"/>
          <w:szCs w:val="22"/>
          <w:color w:val="auto"/>
        </w:rPr>
        <w:t>Brown Rudnick LLP</w:t>
      </w:r>
    </w:p>
    <w:p>
      <w:pPr>
        <w:ind w:left="1540"/>
        <w:spacing w:after="0" w:line="230" w:lineRule="auto"/>
        <w:rPr>
          <w:sz w:val="20"/>
          <w:szCs w:val="20"/>
          <w:color w:val="auto"/>
        </w:rPr>
      </w:pPr>
      <w:r>
        <w:rPr>
          <w:rFonts w:ascii="Times New Roman" w:cs="Times New Roman" w:eastAsia="Times New Roman" w:hAnsi="Times New Roman"/>
          <w:sz w:val="22"/>
          <w:szCs w:val="22"/>
          <w:color w:val="auto"/>
        </w:rPr>
        <w:t>One Financial Center</w:t>
      </w:r>
    </w:p>
    <w:p>
      <w:pPr>
        <w:ind w:left="1540"/>
        <w:spacing w:after="0" w:line="231" w:lineRule="auto"/>
        <w:rPr>
          <w:sz w:val="20"/>
          <w:szCs w:val="20"/>
          <w:color w:val="auto"/>
        </w:rPr>
      </w:pPr>
      <w:r>
        <w:rPr>
          <w:rFonts w:ascii="Times New Roman" w:cs="Times New Roman" w:eastAsia="Times New Roman" w:hAnsi="Times New Roman"/>
          <w:sz w:val="22"/>
          <w:szCs w:val="22"/>
          <w:color w:val="auto"/>
        </w:rPr>
        <w:t>Boston, MA 02111</w:t>
      </w:r>
    </w:p>
    <w:p>
      <w:pPr>
        <w:ind w:left="1540"/>
        <w:spacing w:after="0"/>
        <w:rPr>
          <w:sz w:val="20"/>
          <w:szCs w:val="20"/>
          <w:color w:val="auto"/>
        </w:rPr>
      </w:pPr>
      <w:r>
        <w:rPr>
          <w:rFonts w:ascii="Times New Roman" w:cs="Times New Roman" w:eastAsia="Times New Roman" w:hAnsi="Times New Roman"/>
          <w:sz w:val="22"/>
          <w:szCs w:val="22"/>
          <w:color w:val="auto"/>
        </w:rPr>
        <w:t>Attn: John Cushing</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 to any other address as may have been furnished to Indemnitee in writing by the Company.</w:t>
      </w:r>
    </w:p>
    <w:p>
      <w:pPr>
        <w:spacing w:after="0" w:line="229" w:lineRule="exact"/>
        <w:rPr>
          <w:sz w:val="20"/>
          <w:szCs w:val="20"/>
          <w:color w:val="auto"/>
        </w:rPr>
      </w:pPr>
    </w:p>
    <w:p>
      <w:pPr>
        <w:jc w:val="both"/>
        <w:ind w:firstLine="656"/>
        <w:spacing w:after="0" w:line="246" w:lineRule="auto"/>
        <w:tabs>
          <w:tab w:leader="none" w:pos="1296" w:val="left"/>
        </w:tabs>
        <w:numPr>
          <w:ilvl w:val="0"/>
          <w:numId w:val="48"/>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APPLICABLE LAW AND CONSENT TO JURISDICTION</w:t>
      </w:r>
      <w:r>
        <w:rPr>
          <w:rFonts w:ascii="Times New Roman" w:cs="Times New Roman" w:eastAsia="Times New Roman" w:hAnsi="Times New Roman"/>
          <w:sz w:val="22"/>
          <w:szCs w:val="22"/>
          <w:color w:val="auto"/>
        </w:rPr>
        <w:t>. This Agreement and the legal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relations among the parties shall be governed by, and construed and enforced in accordance with, the laws of the State of Delaware, without regard to its conflict of laws rules. Except with respect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2" w:name="page53"/>
    <w:bookmarkEnd w:id="52"/>
    <w:p>
      <w:pPr>
        <w:jc w:val="both"/>
        <w:spacing w:after="0" w:line="245" w:lineRule="auto"/>
        <w:rPr>
          <w:sz w:val="20"/>
          <w:szCs w:val="20"/>
          <w:color w:val="auto"/>
        </w:rPr>
      </w:pPr>
      <w:r>
        <w:rPr>
          <w:rFonts w:ascii="Times New Roman" w:cs="Times New Roman" w:eastAsia="Times New Roman" w:hAnsi="Times New Roman"/>
          <w:sz w:val="21"/>
          <w:szCs w:val="21"/>
          <w:color w:val="auto"/>
        </w:rPr>
        <w:t>to any arbitration commenced by Indemnitee pursuant to Section 14(a) of this Agreement, to the fullest extent permitted by law, the Company and Indemnitee hereby irrevocably and unconditionally: (a) agree that any action or proceeding arising out of or in connection with this Agreement shall be brought only in the Delaware Court and not in any other state or federal court in the United States of America or any court in any other country; (b) consent to submit to the exclusive jurisdiction of the Delaware Court for purposes of any action or proceeding arising out of or in connection with this Agreement; (c) waive any objection to the laying of venue of any such action or proceeding in the Delaware Court; and (d) waive, and agree not to plead or to make, any claim that any such action or proceeding brought in the Delaware Court has been brought in an improper or inconvenient forum, or is subject (in whole or in part) to a jury trial. To the fullest extent permitted by law, the parties hereby agree that the mailing of process and other papers in connection with any such action or proceeding in the manner provided by Section 21 or in such other manner as may be permitted by law, shall be valid and sufficient service thereof.</w:t>
      </w:r>
    </w:p>
    <w:p>
      <w:pPr>
        <w:spacing w:after="0" w:line="201" w:lineRule="exact"/>
        <w:rPr>
          <w:sz w:val="20"/>
          <w:szCs w:val="20"/>
          <w:color w:val="auto"/>
        </w:rPr>
      </w:pPr>
    </w:p>
    <w:p>
      <w:pPr>
        <w:jc w:val="both"/>
        <w:ind w:firstLine="656"/>
        <w:spacing w:after="0" w:line="241"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IDENTICAL COUNTERPARTS</w:t>
      </w:r>
      <w:r>
        <w:rPr>
          <w:rFonts w:ascii="Times New Roman" w:cs="Times New Roman" w:eastAsia="Times New Roman" w:hAnsi="Times New Roman"/>
          <w:sz w:val="22"/>
          <w:szCs w:val="22"/>
          <w:color w:val="auto"/>
        </w:rPr>
        <w:t>. This Agreement may be executed in one or more counterparts,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each of which shall for all purposes be deemed to be an original but all of which together shall constitute one and the same Agreement. Only one such counterpart signed by the party against whom enforceability is sought needs to be produced to evidence the existence of this Agreement.</w:t>
      </w:r>
    </w:p>
    <w:p>
      <w:pPr>
        <w:spacing w:after="0" w:line="198" w:lineRule="exact"/>
        <w:rPr>
          <w:rFonts w:ascii="Times New Roman" w:cs="Times New Roman" w:eastAsia="Times New Roman" w:hAnsi="Times New Roman"/>
          <w:sz w:val="22"/>
          <w:szCs w:val="22"/>
          <w:b w:val="1"/>
          <w:bCs w:val="1"/>
          <w:color w:val="auto"/>
        </w:rPr>
      </w:pPr>
    </w:p>
    <w:p>
      <w:pPr>
        <w:jc w:val="both"/>
        <w:ind w:firstLine="656"/>
        <w:spacing w:after="0" w:line="246"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MISCELLANEOUS</w:t>
      </w:r>
      <w:r>
        <w:rPr>
          <w:rFonts w:ascii="Times New Roman" w:cs="Times New Roman" w:eastAsia="Times New Roman" w:hAnsi="Times New Roman"/>
          <w:sz w:val="22"/>
          <w:szCs w:val="22"/>
          <w:color w:val="auto"/>
        </w:rPr>
        <w:t>. The headings of the paragraphs of this Agreement are inserted for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convenience only and shall not be deemed to constitute part of this Agreement or to affect the construction thereof.</w:t>
      </w:r>
    </w:p>
    <w:p>
      <w:pPr>
        <w:spacing w:after="0" w:line="194" w:lineRule="exact"/>
        <w:rPr>
          <w:rFonts w:ascii="Times New Roman" w:cs="Times New Roman" w:eastAsia="Times New Roman" w:hAnsi="Times New Roman"/>
          <w:sz w:val="22"/>
          <w:szCs w:val="22"/>
          <w:b w:val="1"/>
          <w:bCs w:val="1"/>
          <w:color w:val="auto"/>
        </w:rPr>
      </w:pPr>
    </w:p>
    <w:p>
      <w:pPr>
        <w:jc w:val="both"/>
        <w:ind w:firstLine="656"/>
        <w:spacing w:after="0" w:line="237"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PERIOD OF LIMITATIONS</w:t>
      </w:r>
      <w:r>
        <w:rPr>
          <w:rFonts w:ascii="Times New Roman" w:cs="Times New Roman" w:eastAsia="Times New Roman" w:hAnsi="Times New Roman"/>
          <w:sz w:val="22"/>
          <w:szCs w:val="22"/>
          <w:color w:val="auto"/>
        </w:rPr>
        <w:t>. No legal action shall be brought and no cause of action shall be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asserted by or in the right of the Company against Indemnitee, Indemnitee’s spouse, heirs, executors or personal or legal representatives after the expiration of two years from the date of accrual of such cause of action, and any claim or cause of action of the Company shall be extinguished and deemed released unless asserted by the timely filing of a legal action within such two-year period; provided, however, that if any shorter period of limitations is otherwise applicable to any such cause of action such shorter period shall govern.</w:t>
      </w:r>
    </w:p>
    <w:p>
      <w:pPr>
        <w:spacing w:after="0" w:line="202" w:lineRule="exact"/>
        <w:rPr>
          <w:rFonts w:ascii="Times New Roman" w:cs="Times New Roman" w:eastAsia="Times New Roman" w:hAnsi="Times New Roman"/>
          <w:sz w:val="22"/>
          <w:szCs w:val="22"/>
          <w:b w:val="1"/>
          <w:bCs w:val="1"/>
          <w:color w:val="auto"/>
        </w:rPr>
      </w:pPr>
    </w:p>
    <w:p>
      <w:pPr>
        <w:jc w:val="both"/>
        <w:ind w:firstLine="656"/>
        <w:spacing w:after="0" w:line="241"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ADDITIONAL ACTS</w:t>
      </w:r>
      <w:r>
        <w:rPr>
          <w:rFonts w:ascii="Times New Roman" w:cs="Times New Roman" w:eastAsia="Times New Roman" w:hAnsi="Times New Roman"/>
          <w:sz w:val="22"/>
          <w:szCs w:val="22"/>
          <w:color w:val="auto"/>
        </w:rPr>
        <w:t>. If for the validation of any of the provisions in this Agreement any act,</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resolution, approval or other procedure is required to the fullest extent permitted by law, the Company undertakes to cause such act, resolution, approval or other procedure to be affected or adopted in a manner that will enable the Company to fulfill its obligations under this Agreement.</w:t>
      </w:r>
    </w:p>
    <w:p>
      <w:pPr>
        <w:spacing w:after="0" w:line="198" w:lineRule="exact"/>
        <w:rPr>
          <w:rFonts w:ascii="Times New Roman" w:cs="Times New Roman" w:eastAsia="Times New Roman" w:hAnsi="Times New Roman"/>
          <w:sz w:val="22"/>
          <w:szCs w:val="22"/>
          <w:b w:val="1"/>
          <w:bCs w:val="1"/>
          <w:color w:val="auto"/>
        </w:rPr>
      </w:pPr>
    </w:p>
    <w:p>
      <w:pPr>
        <w:jc w:val="both"/>
        <w:ind w:firstLine="656"/>
        <w:spacing w:after="0" w:line="236" w:lineRule="auto"/>
        <w:tabs>
          <w:tab w:leader="none" w:pos="1296" w:val="left"/>
        </w:tabs>
        <w:numPr>
          <w:ilvl w:val="0"/>
          <w:numId w:val="4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color w:val="auto"/>
        </w:rPr>
        <w:t>MAINTENANCE OF INSURANCE</w:t>
      </w:r>
      <w:r>
        <w:rPr>
          <w:rFonts w:ascii="Times New Roman" w:cs="Times New Roman" w:eastAsia="Times New Roman" w:hAnsi="Times New Roman"/>
          <w:sz w:val="22"/>
          <w:szCs w:val="22"/>
          <w:color w:val="auto"/>
        </w:rPr>
        <w:t>. The Company shall use commercially reasonable efforts to</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obtain and maintain in effect during the entire period for which the Company is obligated to indemnify the Indemnitee under this Agreement, one or more policies of insurance with reputable insurance companies to provide the officers/directors of the Company with coverage for losses from wrongful acts and omissions and to ensure the Company’s performance of its indemnification obligations under this Agreement. The Indemnitee shall be covered by such policy or policies in accordance with its or their terms to the maximum extent of the coverage available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3" w:name="page54"/>
    <w:bookmarkEnd w:id="53"/>
    <w:p>
      <w:pPr>
        <w:jc w:val="both"/>
        <w:spacing w:after="0" w:line="244" w:lineRule="auto"/>
        <w:rPr>
          <w:sz w:val="20"/>
          <w:szCs w:val="20"/>
          <w:color w:val="auto"/>
        </w:rPr>
      </w:pPr>
      <w:r>
        <w:rPr>
          <w:rFonts w:ascii="Times New Roman" w:cs="Times New Roman" w:eastAsia="Times New Roman" w:hAnsi="Times New Roman"/>
          <w:sz w:val="22"/>
          <w:szCs w:val="22"/>
          <w:color w:val="auto"/>
        </w:rPr>
        <w:t>such director or officer under such policy or policies. In all such insurance policies, the Indemnitee shall be named as an insured in such a manner as to provide the Indemnitee with the same rights and benefits as are accorded to the most favorably insured of the Company’s directors and officers.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4" w:name="page55"/>
    <w:bookmarkEnd w:id="54"/>
    <w:p>
      <w:pPr>
        <w:ind w:right="200" w:firstLine="648"/>
        <w:spacing w:after="0" w:line="262" w:lineRule="auto"/>
        <w:rPr>
          <w:sz w:val="20"/>
          <w:szCs w:val="20"/>
          <w:color w:val="auto"/>
        </w:rPr>
      </w:pPr>
      <w:r>
        <w:rPr>
          <w:rFonts w:ascii="Times New Roman" w:cs="Times New Roman" w:eastAsia="Times New Roman" w:hAnsi="Times New Roman"/>
          <w:sz w:val="22"/>
          <w:szCs w:val="22"/>
          <w:b w:val="1"/>
          <w:bCs w:val="1"/>
          <w:color w:val="auto"/>
        </w:rPr>
        <w:t>IN WITNESS WHEREOF</w:t>
      </w:r>
      <w:r>
        <w:rPr>
          <w:rFonts w:ascii="Times New Roman" w:cs="Times New Roman" w:eastAsia="Times New Roman" w:hAnsi="Times New Roman"/>
          <w:sz w:val="22"/>
          <w:szCs w:val="22"/>
          <w:color w:val="auto"/>
        </w:rPr>
        <w:t>, the parties hereto have caused this Indemnity Agreement to be signed as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day and year first above written.</w:t>
      </w:r>
    </w:p>
    <w:p>
      <w:pPr>
        <w:spacing w:after="0" w:line="177"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NU RIDE INC.</w:t>
      </w:r>
    </w:p>
    <w:p>
      <w:pPr>
        <w:spacing w:after="0" w:line="200" w:lineRule="exact"/>
        <w:rPr>
          <w:sz w:val="20"/>
          <w:szCs w:val="20"/>
          <w:color w:val="auto"/>
        </w:rPr>
      </w:pPr>
    </w:p>
    <w:p>
      <w:pPr>
        <w:spacing w:after="0" w:line="280"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4460"/>
        <w:spacing w:after="0"/>
        <w:tabs>
          <w:tab w:leader="none" w:pos="5220" w:val="left"/>
        </w:tabs>
        <w:rPr>
          <w:sz w:val="20"/>
          <w:szCs w:val="20"/>
          <w:color w:val="auto"/>
        </w:rPr>
      </w:pPr>
      <w:r>
        <w:rPr>
          <w:rFonts w:ascii="Times New Roman" w:cs="Times New Roman" w:eastAsia="Times New Roman" w:hAnsi="Times New Roman"/>
          <w:sz w:val="22"/>
          <w:szCs w:val="22"/>
          <w:color w:val="auto"/>
        </w:rPr>
        <w:t>Name:</w:t>
        <w:tab/>
        <w:t>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3323590</wp:posOffset>
            </wp:positionH>
            <wp:positionV relativeFrom="paragraph">
              <wp:posOffset>-158115</wp:posOffset>
            </wp:positionV>
            <wp:extent cx="29743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jc w:val="both"/>
        <w:ind w:left="4460"/>
        <w:spacing w:after="0" w:line="233" w:lineRule="auto"/>
        <w:tabs>
          <w:tab w:leader="none" w:pos="522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Chief Executive Officer, President, Secretary, and</w:t>
      </w:r>
    </w:p>
    <w:p>
      <w:pPr>
        <w:spacing w:after="0" w:line="1" w:lineRule="exact"/>
        <w:rPr>
          <w:sz w:val="20"/>
          <w:szCs w:val="20"/>
          <w:color w:val="auto"/>
        </w:rPr>
      </w:pPr>
    </w:p>
    <w:p>
      <w:pPr>
        <w:ind w:left="5240"/>
        <w:spacing w:after="0"/>
        <w:rPr>
          <w:sz w:val="20"/>
          <w:szCs w:val="20"/>
          <w:color w:val="auto"/>
        </w:rPr>
      </w:pPr>
      <w:r>
        <w:rPr>
          <w:rFonts w:ascii="Times New Roman" w:cs="Times New Roman" w:eastAsia="Times New Roman" w:hAnsi="Times New Roman"/>
          <w:sz w:val="22"/>
          <w:szCs w:val="22"/>
          <w:color w:val="auto"/>
        </w:rPr>
        <w:t>Treasurer</w:t>
      </w:r>
    </w:p>
    <w:p>
      <w:pPr>
        <w:spacing w:after="0" w:line="200" w:lineRule="exact"/>
        <w:rPr>
          <w:sz w:val="20"/>
          <w:szCs w:val="20"/>
          <w:color w:val="auto"/>
        </w:rPr>
      </w:pPr>
    </w:p>
    <w:p>
      <w:pPr>
        <w:spacing w:after="0" w:line="248"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22"/>
          <w:szCs w:val="22"/>
          <w:b w:val="1"/>
          <w:bCs w:val="1"/>
          <w:color w:val="auto"/>
        </w:rPr>
        <w:t>INDEMNITEE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3512185</wp:posOffset>
            </wp:positionH>
            <wp:positionV relativeFrom="paragraph">
              <wp:posOffset>-158115</wp:posOffset>
            </wp:positionV>
            <wp:extent cx="278574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785745" cy="8255"/>
                    </a:xfrm>
                    <a:prstGeom prst="rect">
                      <a:avLst/>
                    </a:prstGeom>
                    <a:noFill/>
                  </pic:spPr>
                </pic:pic>
              </a:graphicData>
            </a:graphic>
          </wp:anchor>
        </w:drawing>
      </w:r>
    </w:p>
    <w:p>
      <w:pPr>
        <w:jc w:val="center"/>
        <w:ind w:right="220"/>
        <w:spacing w:after="0"/>
        <w:rPr>
          <w:sz w:val="20"/>
          <w:szCs w:val="20"/>
          <w:color w:val="auto"/>
        </w:rPr>
      </w:pPr>
      <w:r>
        <w:rPr>
          <w:rFonts w:ascii="Times New Roman" w:cs="Times New Roman" w:eastAsia="Times New Roman" w:hAnsi="Times New Roman"/>
          <w:sz w:val="22"/>
          <w:szCs w:val="22"/>
          <w:color w:val="auto"/>
        </w:rPr>
        <w:t>Address:</w:t>
      </w:r>
    </w:p>
    <w:p>
      <w:pPr>
        <w:spacing w:after="0" w:line="2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to Indemnity Agreement</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2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00"/>
          </w:cols>
          <w:pgMar w:left="980" w:top="108" w:right="101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22"/>
          <w:szCs w:val="22"/>
          <w:b w:val="1"/>
          <w:bCs w:val="1"/>
          <w:color w:val="auto"/>
        </w:rPr>
        <w:t>Exhibit 10.2</w:t>
      </w:r>
    </w:p>
    <w:p>
      <w:pPr>
        <w:spacing w:after="0" w:line="234" w:lineRule="exact"/>
        <w:rPr>
          <w:sz w:val="20"/>
          <w:szCs w:val="20"/>
          <w:color w:val="auto"/>
        </w:rPr>
      </w:pPr>
    </w:p>
    <w:p>
      <w:pPr>
        <w:ind w:left="3400"/>
        <w:spacing w:after="0"/>
        <w:rPr>
          <w:sz w:val="20"/>
          <w:szCs w:val="20"/>
          <w:color w:val="auto"/>
        </w:rPr>
      </w:pPr>
      <w:r>
        <w:rPr>
          <w:rFonts w:ascii="Times New Roman" w:cs="Times New Roman" w:eastAsia="Times New Roman" w:hAnsi="Times New Roman"/>
          <w:sz w:val="22"/>
          <w:szCs w:val="22"/>
          <w:b w:val="1"/>
          <w:bCs w:val="1"/>
          <w:color w:val="auto"/>
        </w:rPr>
        <w:t>LORDSTOWN MOTORS CORP.</w:t>
      </w:r>
    </w:p>
    <w:p>
      <w:pPr>
        <w:spacing w:after="0" w:line="18"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22"/>
          <w:szCs w:val="22"/>
          <w:b w:val="1"/>
          <w:bCs w:val="1"/>
          <w:color w:val="auto"/>
        </w:rPr>
        <w:t>2020 EQUITY INCENTIVE PLAN</w:t>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OUTSIDE DIRECTOR RESTRICTED STOCK UNIT AGREEMENT</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Initial Award</w:t>
      </w:r>
    </w:p>
    <w:p>
      <w:pPr>
        <w:spacing w:after="0" w:line="231" w:lineRule="exact"/>
        <w:rPr>
          <w:sz w:val="20"/>
          <w:szCs w:val="20"/>
          <w:color w:val="auto"/>
        </w:rPr>
      </w:pPr>
    </w:p>
    <w:p>
      <w:pPr>
        <w:ind w:firstLine="648"/>
        <w:spacing w:after="0" w:line="244" w:lineRule="auto"/>
        <w:rPr>
          <w:sz w:val="20"/>
          <w:szCs w:val="20"/>
          <w:color w:val="auto"/>
        </w:rPr>
      </w:pPr>
      <w:r>
        <w:rPr>
          <w:rFonts w:ascii="Times New Roman" w:cs="Times New Roman" w:eastAsia="Times New Roman" w:hAnsi="Times New Roman"/>
          <w:sz w:val="22"/>
          <w:szCs w:val="22"/>
          <w:color w:val="auto"/>
        </w:rPr>
        <w:t xml:space="preserve">This OUTSIDE DIRECTOR RESTRICTED STOCK UNIT AGREEMENT (this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Agreement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is made as of [_________], 2024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Date of Grant</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by and between Nu Ride Inc., a Delaware corporation (the</w:t>
      </w:r>
    </w:p>
    <w:p>
      <w:pPr>
        <w:spacing w:after="0" w:line="232" w:lineRule="auto"/>
        <w:rPr>
          <w:sz w:val="20"/>
          <w:szCs w:val="20"/>
          <w:color w:val="auto"/>
        </w:rPr>
      </w:pP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Company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and [_________________]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b w:val="1"/>
          <w:bCs w:val="1"/>
          <w:i w:val="1"/>
          <w:iCs w:val="1"/>
          <w:color w:val="auto"/>
        </w:rPr>
        <w:t>Participant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pursuant to the Lordstown Motors Corp. 2020</w:t>
      </w:r>
    </w:p>
    <w:p>
      <w:pPr>
        <w:spacing w:after="0"/>
        <w:rPr>
          <w:sz w:val="20"/>
          <w:szCs w:val="20"/>
          <w:color w:val="auto"/>
        </w:rPr>
      </w:pPr>
      <w:r>
        <w:rPr>
          <w:rFonts w:ascii="Times New Roman" w:cs="Times New Roman" w:eastAsia="Times New Roman" w:hAnsi="Times New Roman"/>
          <w:sz w:val="22"/>
          <w:szCs w:val="22"/>
          <w:color w:val="auto"/>
        </w:rPr>
        <w:t xml:space="preserve">Equity Incentive Plan (the </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b w:val="1"/>
          <w:bCs w:val="1"/>
          <w:i w:val="1"/>
          <w:iCs w:val="1"/>
          <w:color w:val="auto"/>
        </w:rPr>
        <w:t>Plan</w:t>
      </w:r>
      <w:r>
        <w:rPr>
          <w:rFonts w:ascii="Times New Roman" w:cs="Times New Roman" w:eastAsia="Times New Roman" w:hAnsi="Times New Roman"/>
          <w:sz w:val="22"/>
          <w:szCs w:val="22"/>
          <w:i w:val="1"/>
          <w:iCs w:val="1"/>
          <w:color w:val="auto"/>
        </w:rPr>
        <w:t>”).</w:t>
      </w:r>
    </w:p>
    <w:p>
      <w:pPr>
        <w:spacing w:after="0" w:line="178" w:lineRule="exact"/>
        <w:rPr>
          <w:sz w:val="20"/>
          <w:szCs w:val="20"/>
          <w:color w:val="auto"/>
        </w:rPr>
      </w:pPr>
    </w:p>
    <w:p>
      <w:pPr>
        <w:ind w:right="20" w:firstLine="656"/>
        <w:spacing w:after="0" w:line="262" w:lineRule="auto"/>
        <w:tabs>
          <w:tab w:leader="none" w:pos="1296" w:val="left"/>
        </w:tabs>
        <w:numPr>
          <w:ilvl w:val="0"/>
          <w:numId w:val="5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color w:val="auto"/>
        </w:rPr>
        <w:t>. Capitalized terms used, but not otherwise defined, in this Agreement will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have the meanings given to such terms in the Plan.</w:t>
      </w:r>
    </w:p>
    <w:p>
      <w:pPr>
        <w:spacing w:after="0" w:line="150" w:lineRule="exact"/>
        <w:rPr>
          <w:sz w:val="20"/>
          <w:szCs w:val="20"/>
          <w:color w:val="auto"/>
        </w:rPr>
      </w:pPr>
    </w:p>
    <w:p>
      <w:pPr>
        <w:jc w:val="both"/>
        <w:ind w:firstLine="656"/>
        <w:spacing w:after="0" w:line="247" w:lineRule="auto"/>
        <w:tabs>
          <w:tab w:leader="none" w:pos="1296"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Grant of RSUs</w:t>
      </w:r>
      <w:r>
        <w:rPr>
          <w:rFonts w:ascii="Times New Roman" w:cs="Times New Roman" w:eastAsia="Times New Roman" w:hAnsi="Times New Roman"/>
          <w:sz w:val="21"/>
          <w:szCs w:val="21"/>
          <w:color w:val="auto"/>
        </w:rPr>
        <w:t>. Subject to and upon the terms, conditions and restrictions set forth in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 xml:space="preserve">Agreement and in the Plan, the Company hereby grants to the Participant [_________] Restricted Stock Units (the </w:t>
      </w:r>
      <w:r>
        <w:rPr>
          <w:rFonts w:ascii="Times New Roman" w:cs="Times New Roman" w:eastAsia="Times New Roman" w:hAnsi="Times New Roman"/>
          <w:sz w:val="21"/>
          <w:szCs w:val="21"/>
          <w:i w:val="1"/>
          <w:iCs w:val="1"/>
          <w:color w:val="auto"/>
        </w:rPr>
        <w:t>“</w:t>
      </w:r>
      <w:r>
        <w:rPr>
          <w:rFonts w:ascii="Times New Roman" w:cs="Times New Roman" w:eastAsia="Times New Roman" w:hAnsi="Times New Roman"/>
          <w:sz w:val="21"/>
          <w:szCs w:val="21"/>
          <w:b w:val="1"/>
          <w:bCs w:val="1"/>
          <w:i w:val="1"/>
          <w:iCs w:val="1"/>
          <w:color w:val="auto"/>
        </w:rPr>
        <w:t>RSUs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Each RSU represents the right of the Participant to receive, following vesting, one Share subject to the</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terms and conditions of this Agreement and the Plan. The Participant shall not be a stockholder of record and shall have no voting or other stockholder rights with respect to Shares underlying the RSUs prior to the Company’s issuance to the Participant of Shares following the payment dates set forth herein (other than the right to dividend equivalents to the extent provided herein). Prior to actual settlement (or forfeiture) of any RSUs, the RSUs represent an unsecured obligation of the Company, payable (if at all) only from the general assets of the Company.</w:t>
      </w:r>
    </w:p>
    <w:p>
      <w:pPr>
        <w:spacing w:after="0" w:line="172" w:lineRule="exact"/>
        <w:rPr>
          <w:sz w:val="20"/>
          <w:szCs w:val="20"/>
          <w:color w:val="auto"/>
        </w:rPr>
      </w:pPr>
    </w:p>
    <w:p>
      <w:pPr>
        <w:jc w:val="both"/>
        <w:ind w:firstLine="656"/>
        <w:spacing w:after="0" w:line="238" w:lineRule="auto"/>
        <w:tabs>
          <w:tab w:leader="none" w:pos="1296"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RSUs Not Transferrable</w:t>
      </w:r>
      <w:r>
        <w:rPr>
          <w:rFonts w:ascii="Times New Roman" w:cs="Times New Roman" w:eastAsia="Times New Roman" w:hAnsi="Times New Roman"/>
          <w:sz w:val="22"/>
          <w:szCs w:val="22"/>
          <w:color w:val="auto"/>
        </w:rPr>
        <w:t>. None of the RSUs, nor any interest therein or in any Shares underlying</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such RSUs, will be transferable other than by will or the laws of descent and distribution prior to settlement. Any purported transfer or encumbrance of any RSU or Shares in violation of the provisions of this </w:t>
      </w:r>
      <w:r>
        <w:rPr>
          <w:rFonts w:ascii="Times New Roman" w:cs="Times New Roman" w:eastAsia="Times New Roman" w:hAnsi="Times New Roman"/>
          <w:sz w:val="22"/>
          <w:szCs w:val="22"/>
          <w:b w:val="1"/>
          <w:bCs w:val="1"/>
          <w:u w:val="single" w:color="auto"/>
          <w:color w:val="auto"/>
        </w:rPr>
        <w:t>Section 3</w:t>
      </w:r>
      <w:r>
        <w:rPr>
          <w:rFonts w:ascii="Times New Roman" w:cs="Times New Roman" w:eastAsia="Times New Roman" w:hAnsi="Times New Roman"/>
          <w:sz w:val="22"/>
          <w:szCs w:val="22"/>
          <w:color w:val="auto"/>
        </w:rPr>
        <w:t xml:space="preserve"> shall be void, and the other party to any such purported transaction shall not obtain any rights to or interest in such RSU or Shares.</w:t>
      </w:r>
    </w:p>
    <w:p>
      <w:pPr>
        <w:spacing w:after="0" w:line="177" w:lineRule="exact"/>
        <w:rPr>
          <w:sz w:val="20"/>
          <w:szCs w:val="20"/>
          <w:color w:val="auto"/>
        </w:rPr>
      </w:pPr>
    </w:p>
    <w:p>
      <w:pPr>
        <w:jc w:val="both"/>
        <w:ind w:right="20" w:firstLine="656"/>
        <w:spacing w:after="0" w:line="241" w:lineRule="auto"/>
        <w:tabs>
          <w:tab w:leader="none" w:pos="1296" w:val="left"/>
        </w:tabs>
        <w:numPr>
          <w:ilvl w:val="0"/>
          <w:numId w:val="5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Vesting</w:t>
      </w:r>
      <w:r>
        <w:rPr>
          <w:rFonts w:ascii="Times New Roman" w:cs="Times New Roman" w:eastAsia="Times New Roman" w:hAnsi="Times New Roman"/>
          <w:sz w:val="22"/>
          <w:szCs w:val="22"/>
          <w:color w:val="auto"/>
        </w:rPr>
        <w:t>. Subject to the terms and conditions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covered by this Agreement shall vest in accordance with Schedule I hereto (each vesting date in such schedule, a “</w:t>
      </w:r>
      <w:r>
        <w:rPr>
          <w:rFonts w:ascii="Times New Roman" w:cs="Times New Roman" w:eastAsia="Times New Roman" w:hAnsi="Times New Roman"/>
          <w:sz w:val="22"/>
          <w:szCs w:val="22"/>
          <w:b w:val="1"/>
          <w:bCs w:val="1"/>
          <w:i w:val="1"/>
          <w:iCs w:val="1"/>
          <w:color w:val="auto"/>
        </w:rPr>
        <w:t>Vesting Date</w:t>
      </w:r>
      <w:r>
        <w:rPr>
          <w:rFonts w:ascii="Times New Roman" w:cs="Times New Roman" w:eastAsia="Times New Roman" w:hAnsi="Times New Roman"/>
          <w:sz w:val="22"/>
          <w:szCs w:val="22"/>
          <w:color w:val="auto"/>
        </w:rPr>
        <w:t>”), provided that the Participant shall have been in the continuous service as a Director through each Vesting Date:</w:t>
      </w:r>
    </w:p>
    <w:p>
      <w:pPr>
        <w:spacing w:after="0" w:line="176"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22"/>
          <w:szCs w:val="22"/>
          <w:color w:val="auto"/>
        </w:rPr>
        <w:t>For the avoidance of doubt, the RSUs covered by this Agreement are being granted solely for services performed by the Participant for the Company on or after the Date of Grant.</w:t>
      </w:r>
    </w:p>
    <w:p>
      <w:pPr>
        <w:spacing w:after="0" w:line="154" w:lineRule="exact"/>
        <w:rPr>
          <w:sz w:val="20"/>
          <w:szCs w:val="20"/>
          <w:color w:val="auto"/>
        </w:rPr>
      </w:pPr>
    </w:p>
    <w:p>
      <w:pPr>
        <w:jc w:val="both"/>
        <w:ind w:firstLine="656"/>
        <w:spacing w:after="0" w:line="246" w:lineRule="auto"/>
        <w:tabs>
          <w:tab w:leader="none" w:pos="1296" w:val="left"/>
        </w:tabs>
        <w:numPr>
          <w:ilvl w:val="0"/>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Accelerated Vesting of RSUs</w:t>
      </w:r>
      <w:r>
        <w:rPr>
          <w:rFonts w:ascii="Times New Roman" w:cs="Times New Roman" w:eastAsia="Times New Roman" w:hAnsi="Times New Roman"/>
          <w:sz w:val="22"/>
          <w:szCs w:val="22"/>
          <w:color w:val="auto"/>
        </w:rPr>
        <w:t>. Notwithstanding the provisions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b w:val="1"/>
          <w:bCs w:val="1"/>
          <w:u w:val="single" w:color="auto"/>
          <w:color w:val="auto"/>
        </w:rPr>
        <w:t>Section 6</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of this Agreement and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subject to the settlement provisions of </w:t>
      </w:r>
      <w:r>
        <w:rPr>
          <w:rFonts w:ascii="Times New Roman" w:cs="Times New Roman" w:eastAsia="Times New Roman" w:hAnsi="Times New Roman"/>
          <w:sz w:val="22"/>
          <w:szCs w:val="22"/>
          <w:b w:val="1"/>
          <w:bCs w:val="1"/>
          <w:u w:val="single" w:color="auto"/>
          <w:color w:val="auto"/>
        </w:rPr>
        <w:t>Section 7</w:t>
      </w:r>
      <w:r>
        <w:rPr>
          <w:rFonts w:ascii="Times New Roman" w:cs="Times New Roman" w:eastAsia="Times New Roman" w:hAnsi="Times New Roman"/>
          <w:sz w:val="22"/>
          <w:szCs w:val="22"/>
          <w:color w:val="auto"/>
        </w:rPr>
        <w:t xml:space="preserve">, outstanding and unvested RSUs may vest earlier than the times provided for in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under the following circumstances:</w:t>
      </w:r>
    </w:p>
    <w:p>
      <w:pPr>
        <w:spacing w:after="0" w:line="171"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1960" w:val="left"/>
        </w:tabs>
        <w:numPr>
          <w:ilvl w:val="1"/>
          <w:numId w:val="5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Death or Disability.</w:t>
      </w:r>
      <w:r>
        <w:rPr>
          <w:rFonts w:ascii="Times New Roman" w:cs="Times New Roman" w:eastAsia="Times New Roman" w:hAnsi="Times New Roman"/>
          <w:sz w:val="22"/>
          <w:szCs w:val="22"/>
          <w:color w:val="auto"/>
        </w:rPr>
        <w:t xml:space="preserve"> If the Participant incurs a Separation from Service as a result of the Participant’s death or Disability prior to any Vesting Date, all of the then-outstanding RSUs covered by this Agreement that are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6" w:name="page57"/>
    <w:bookmarkEnd w:id="56"/>
    <w:p>
      <w:pPr>
        <w:ind w:left="1960"/>
        <w:spacing w:after="0"/>
        <w:rPr>
          <w:sz w:val="20"/>
          <w:szCs w:val="20"/>
          <w:color w:val="auto"/>
        </w:rPr>
      </w:pPr>
      <w:r>
        <w:rPr>
          <w:rFonts w:ascii="Times New Roman" w:cs="Times New Roman" w:eastAsia="Times New Roman" w:hAnsi="Times New Roman"/>
          <w:sz w:val="22"/>
          <w:szCs w:val="22"/>
          <w:color w:val="auto"/>
        </w:rPr>
        <w:t>unvested at such time of termination will vest upon such Separation from Service.</w:t>
      </w:r>
    </w:p>
    <w:p>
      <w:pPr>
        <w:spacing w:after="0" w:line="207" w:lineRule="exact"/>
        <w:rPr>
          <w:sz w:val="20"/>
          <w:szCs w:val="20"/>
          <w:color w:val="auto"/>
        </w:rPr>
      </w:pPr>
    </w:p>
    <w:p>
      <w:pPr>
        <w:jc w:val="both"/>
        <w:ind w:left="1960" w:hanging="656"/>
        <w:spacing w:after="0" w:line="239" w:lineRule="auto"/>
        <w:tabs>
          <w:tab w:leader="none" w:pos="1960" w:val="left"/>
        </w:tabs>
        <w:numPr>
          <w:ilvl w:val="0"/>
          <w:numId w:val="5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Upon a Change in Control or a 409A Change in Control Event that occurs prior to any Vesting Date while the Participant is a Director, all of the then-outstanding RSUs covered by this Agreement that are unvested at such time will vest upon such event.</w:t>
      </w:r>
    </w:p>
    <w:p>
      <w:pPr>
        <w:spacing w:after="0" w:line="176" w:lineRule="exact"/>
        <w:rPr>
          <w:sz w:val="20"/>
          <w:szCs w:val="20"/>
          <w:color w:val="auto"/>
        </w:rPr>
      </w:pPr>
    </w:p>
    <w:p>
      <w:pPr>
        <w:jc w:val="both"/>
        <w:ind w:firstLine="656"/>
        <w:spacing w:after="0" w:line="246" w:lineRule="auto"/>
        <w:tabs>
          <w:tab w:leader="none" w:pos="1296" w:val="left"/>
        </w:tabs>
        <w:numPr>
          <w:ilvl w:val="0"/>
          <w:numId w:val="5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Forfeiture of RSUs</w:t>
      </w:r>
      <w:r>
        <w:rPr>
          <w:rFonts w:ascii="Times New Roman" w:cs="Times New Roman" w:eastAsia="Times New Roman" w:hAnsi="Times New Roman"/>
          <w:sz w:val="22"/>
          <w:szCs w:val="22"/>
          <w:color w:val="auto"/>
        </w:rPr>
        <w:t>. Except to the extent the RSUs covered by this Agreement have become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 xml:space="preserve">vested pursuant to </w:t>
      </w:r>
      <w:r>
        <w:rPr>
          <w:rFonts w:ascii="Times New Roman" w:cs="Times New Roman" w:eastAsia="Times New Roman" w:hAnsi="Times New Roman"/>
          <w:sz w:val="22"/>
          <w:szCs w:val="22"/>
          <w:b w:val="1"/>
          <w:bCs w:val="1"/>
          <w:u w:val="single" w:color="auto"/>
          <w:color w:val="auto"/>
        </w:rPr>
        <w:t>Section 4</w:t>
      </w:r>
      <w:r>
        <w:rPr>
          <w:rFonts w:ascii="Times New Roman" w:cs="Times New Roman" w:eastAsia="Times New Roman" w:hAnsi="Times New Roman"/>
          <w:sz w:val="22"/>
          <w:szCs w:val="22"/>
          <w:color w:val="auto"/>
        </w:rPr>
        <w:t xml:space="preserve"> or </w:t>
      </w:r>
      <w:r>
        <w:rPr>
          <w:rFonts w:ascii="Times New Roman" w:cs="Times New Roman" w:eastAsia="Times New Roman" w:hAnsi="Times New Roman"/>
          <w:sz w:val="22"/>
          <w:szCs w:val="22"/>
          <w:b w:val="1"/>
          <w:bCs w:val="1"/>
          <w:u w:val="single" w:color="auto"/>
          <w:color w:val="auto"/>
        </w:rPr>
        <w:t>Section 5</w:t>
      </w:r>
      <w:r>
        <w:rPr>
          <w:rFonts w:ascii="Times New Roman" w:cs="Times New Roman" w:eastAsia="Times New Roman" w:hAnsi="Times New Roman"/>
          <w:sz w:val="22"/>
          <w:szCs w:val="22"/>
          <w:color w:val="auto"/>
        </w:rPr>
        <w:t>, the RSUs covered by this Agreement shall be forfeited automatically and without further notice on the date that the Participant ceases to be a Director.</w:t>
      </w:r>
    </w:p>
    <w:p>
      <w:pPr>
        <w:spacing w:after="0" w:line="167" w:lineRule="exact"/>
        <w:rPr>
          <w:sz w:val="20"/>
          <w:szCs w:val="20"/>
          <w:color w:val="auto"/>
        </w:rPr>
      </w:pPr>
    </w:p>
    <w:p>
      <w:pPr>
        <w:jc w:val="both"/>
        <w:ind w:firstLine="656"/>
        <w:spacing w:after="0" w:line="241" w:lineRule="auto"/>
        <w:tabs>
          <w:tab w:leader="none" w:pos="1296" w:val="left"/>
        </w:tabs>
        <w:numPr>
          <w:ilvl w:val="0"/>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Form and Time of Settlement of RSUs</w:t>
      </w:r>
      <w:r>
        <w:rPr>
          <w:rFonts w:ascii="Times New Roman" w:cs="Times New Roman" w:eastAsia="Times New Roman" w:hAnsi="Times New Roman"/>
          <w:sz w:val="22"/>
          <w:szCs w:val="22"/>
          <w:color w:val="auto"/>
        </w:rPr>
        <w:t>. Settlement in respect of the RSUs after (and only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extent) they have become vested (including, without limitation, in connection with such event, if and as provided herein) shall be made by delivery of whole Shares (with any remaining fraction of a share delivered in cash). Such delivery shall be made within ten (10) days following the earliest to occur of the following events:</w:t>
      </w:r>
    </w:p>
    <w:p>
      <w:pPr>
        <w:spacing w:after="0" w:line="175"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fifth (5</w:t>
      </w:r>
      <w:r>
        <w:rPr>
          <w:rFonts w:ascii="Times New Roman" w:cs="Times New Roman" w:eastAsia="Times New Roman" w:hAnsi="Times New Roman"/>
          <w:sz w:val="16"/>
          <w:szCs w:val="16"/>
          <w:color w:val="auto"/>
        </w:rPr>
        <w:t>th</w:t>
      </w:r>
      <w:r>
        <w:rPr>
          <w:rFonts w:ascii="Times New Roman" w:cs="Times New Roman" w:eastAsia="Times New Roman" w:hAnsi="Times New Roman"/>
          <w:sz w:val="22"/>
          <w:szCs w:val="22"/>
          <w:color w:val="auto"/>
        </w:rPr>
        <w:t>) anniversary of the Date of Grant;</w:t>
      </w:r>
    </w:p>
    <w:p>
      <w:pPr>
        <w:spacing w:after="0" w:line="206" w:lineRule="exact"/>
        <w:rPr>
          <w:rFonts w:ascii="Times New Roman" w:cs="Times New Roman" w:eastAsia="Times New Roman" w:hAnsi="Times New Roman"/>
          <w:sz w:val="22"/>
          <w:szCs w:val="22"/>
          <w:color w:val="auto"/>
        </w:rPr>
      </w:pPr>
    </w:p>
    <w:p>
      <w:pPr>
        <w:jc w:val="both"/>
        <w:ind w:left="1960" w:hanging="656"/>
        <w:spacing w:after="0" w:line="244" w:lineRule="auto"/>
        <w:tabs>
          <w:tab w:leader="none" w:pos="19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“change in control event” with respect to the Company, as determined in accordance with Treas. Reg. 1.409A-3(i)(5), applying the default provisions thereof (a “409A Change in Control Event”); or</w:t>
      </w:r>
    </w:p>
    <w:p>
      <w:pPr>
        <w:spacing w:after="0" w:line="173" w:lineRule="exact"/>
        <w:rPr>
          <w:rFonts w:ascii="Times New Roman" w:cs="Times New Roman" w:eastAsia="Times New Roman" w:hAnsi="Times New Roman"/>
          <w:sz w:val="22"/>
          <w:szCs w:val="22"/>
          <w:color w:val="auto"/>
        </w:rPr>
      </w:pPr>
    </w:p>
    <w:p>
      <w:pPr>
        <w:ind w:left="1960" w:right="20" w:hanging="656"/>
        <w:spacing w:after="0" w:line="258" w:lineRule="auto"/>
        <w:tabs>
          <w:tab w:leader="none" w:pos="1960" w:val="left"/>
        </w:tabs>
        <w:numPr>
          <w:ilvl w:val="1"/>
          <w:numId w:val="5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Director’s “separation from service” from the Company, as determined under Section 409A of the Code (“</w:t>
      </w:r>
      <w:r>
        <w:rPr>
          <w:rFonts w:ascii="Times New Roman" w:cs="Times New Roman" w:eastAsia="Times New Roman" w:hAnsi="Times New Roman"/>
          <w:sz w:val="22"/>
          <w:szCs w:val="22"/>
          <w:b w:val="1"/>
          <w:bCs w:val="1"/>
          <w:i w:val="1"/>
          <w:iCs w:val="1"/>
          <w:color w:val="auto"/>
        </w:rPr>
        <w:t>Separation from Service</w:t>
      </w:r>
      <w:r>
        <w:rPr>
          <w:rFonts w:ascii="Times New Roman" w:cs="Times New Roman" w:eastAsia="Times New Roman" w:hAnsi="Times New Roman"/>
          <w:sz w:val="22"/>
          <w:szCs w:val="22"/>
          <w:color w:val="auto"/>
        </w:rPr>
        <w:t>”).</w:t>
      </w:r>
    </w:p>
    <w:p>
      <w:pPr>
        <w:spacing w:after="0" w:line="15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In no event will the Participant be permitted, directly or indirectly, to specify the taxable year of the payment of any RSUs covered by this Agreement.</w:t>
      </w:r>
    </w:p>
    <w:p>
      <w:pPr>
        <w:spacing w:after="0" w:line="154" w:lineRule="exact"/>
        <w:rPr>
          <w:sz w:val="20"/>
          <w:szCs w:val="20"/>
          <w:color w:val="auto"/>
        </w:rPr>
      </w:pPr>
    </w:p>
    <w:p>
      <w:pPr>
        <w:jc w:val="both"/>
        <w:ind w:firstLine="656"/>
        <w:spacing w:after="0" w:line="234" w:lineRule="auto"/>
        <w:tabs>
          <w:tab w:leader="none" w:pos="1296"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Dividend Equivalents</w:t>
      </w:r>
      <w:r>
        <w:rPr>
          <w:rFonts w:ascii="Times New Roman" w:cs="Times New Roman" w:eastAsia="Times New Roman" w:hAnsi="Times New Roman"/>
          <w:sz w:val="22"/>
          <w:szCs w:val="22"/>
          <w:color w:val="auto"/>
        </w:rPr>
        <w:t>. In the event that dividends are paid on Shares for which the dividend</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record date occurs between the Date of Grant and the date the RSUs are settled or forfeited, the Participant shall be credited with dividend equivalents in an amount equal to the value of dividends that would have been paid on a number of Shares equal to the number of RSUs covered by this Agreement that are held by the Participant as of the close of business on the record date for such dividend, and such dividend equivalents shall be subject to the same terms and conditions of the Plan and this Agreement (including vesting, forfeiture and payment provisions) applicable with respect to the RSUs to which such dividend equivalents relate, and to the extent the RSUs are forfeited, such dividend equivalents shall be forfeited. Dividend equivalents shall be distributed (without interest) in cash or, at the discretion of the Committee, in Shares having a Fair Market Value equal to the amount of the dividend equivalents at the time of distribution.</w:t>
      </w:r>
    </w:p>
    <w:p>
      <w:pPr>
        <w:spacing w:after="0" w:line="179" w:lineRule="exact"/>
        <w:rPr>
          <w:sz w:val="20"/>
          <w:szCs w:val="20"/>
          <w:color w:val="auto"/>
        </w:rPr>
      </w:pPr>
    </w:p>
    <w:p>
      <w:pPr>
        <w:jc w:val="both"/>
        <w:ind w:firstLine="656"/>
        <w:spacing w:after="0" w:line="246" w:lineRule="auto"/>
        <w:tabs>
          <w:tab w:leader="none" w:pos="1296" w:val="left"/>
        </w:tabs>
        <w:numPr>
          <w:ilvl w:val="0"/>
          <w:numId w:val="5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Withholding Taxes</w:t>
      </w:r>
      <w:r>
        <w:rPr>
          <w:rFonts w:ascii="Times New Roman" w:cs="Times New Roman" w:eastAsia="Times New Roman" w:hAnsi="Times New Roman"/>
          <w:sz w:val="22"/>
          <w:szCs w:val="22"/>
          <w:color w:val="auto"/>
        </w:rPr>
        <w:t>. The Participant acknowledges and agrees that the Participant is not an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employee of the Company and that, as an independent contractor, the Participant will be required to pay (and the Company will not withhold or remit) any applicable taxes in connection with the settlement of the RSUs.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7" w:name="page58"/>
    <w:bookmarkEnd w:id="57"/>
    <w:p>
      <w:pPr>
        <w:jc w:val="both"/>
        <w:ind w:firstLine="656"/>
        <w:spacing w:after="0" w:line="241" w:lineRule="auto"/>
        <w:tabs>
          <w:tab w:leader="none" w:pos="12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Compliance with Law</w:t>
      </w:r>
      <w:r>
        <w:rPr>
          <w:rFonts w:ascii="Times New Roman" w:cs="Times New Roman" w:eastAsia="Times New Roman" w:hAnsi="Times New Roman"/>
          <w:sz w:val="22"/>
          <w:szCs w:val="22"/>
          <w:color w:val="auto"/>
        </w:rPr>
        <w:t>. The Company shall make reasonable efforts to comply with all applicable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federal and state securities laws; provided, however, notwithstanding any other provision of the Plan and this Agreement, the Company shall not be obligated to issue any Shares pursuant to this Agreement if the issuance thereof would result in a violation of any such law.</w:t>
      </w:r>
    </w:p>
    <w:p>
      <w:pPr>
        <w:spacing w:after="0" w:line="172"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Adjustments</w:t>
      </w:r>
      <w:r>
        <w:rPr>
          <w:rFonts w:ascii="Times New Roman" w:cs="Times New Roman" w:eastAsia="Times New Roman" w:hAnsi="Times New Roman"/>
          <w:sz w:val="22"/>
          <w:szCs w:val="22"/>
          <w:color w:val="auto"/>
        </w:rPr>
        <w:t>. Without limiting the applicability of any other provision of the Plan, the number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subject to this Agreement and the other terms and conditions of the grant evidenced by this Agreement are subject to adjustment as provided in Section 13 of the Plan.</w:t>
      </w:r>
    </w:p>
    <w:p>
      <w:pPr>
        <w:spacing w:after="0" w:line="167"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6" w:val="left"/>
        </w:tabs>
        <w:numPr>
          <w:ilvl w:val="1"/>
          <w:numId w:val="6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Amendments</w:t>
      </w:r>
      <w:r>
        <w:rPr>
          <w:rFonts w:ascii="Times New Roman" w:cs="Times New Roman" w:eastAsia="Times New Roman" w:hAnsi="Times New Roman"/>
          <w:sz w:val="21"/>
          <w:szCs w:val="21"/>
          <w:color w:val="auto"/>
        </w:rPr>
        <w:t>. Any amendment to the Plan shall be deemed to be an amendment to this Agreement</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to the extent that the amendment is applicable hereto; provided, however, that (a) no amendment shall materially adversely affect the rights of the Participant under this Agreement without the Participant’s written consent, and</w:t>
      </w:r>
    </w:p>
    <w:p>
      <w:pPr>
        <w:spacing w:after="0" w:line="2" w:lineRule="exact"/>
        <w:rPr>
          <w:rFonts w:ascii="Times New Roman" w:cs="Times New Roman" w:eastAsia="Times New Roman" w:hAnsi="Times New Roman"/>
          <w:sz w:val="21"/>
          <w:szCs w:val="21"/>
          <w:color w:val="auto"/>
        </w:rPr>
      </w:pPr>
    </w:p>
    <w:p>
      <w:pPr>
        <w:ind w:firstLine="8"/>
        <w:spacing w:after="0" w:line="237" w:lineRule="auto"/>
        <w:tabs>
          <w:tab w:leader="none" w:pos="319" w:val="left"/>
        </w:tabs>
        <w:numPr>
          <w:ilvl w:val="0"/>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Participant’s consent shall not be required to an amendment that is deemed necessary by the Company to ensure compliance with or avoidance of adverse tax consequences under Section 409A of the Code.</w:t>
      </w:r>
    </w:p>
    <w:p>
      <w:pPr>
        <w:spacing w:after="0" w:line="174"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Severability</w:t>
      </w:r>
      <w:r>
        <w:rPr>
          <w:rFonts w:ascii="Times New Roman" w:cs="Times New Roman" w:eastAsia="Times New Roman" w:hAnsi="Times New Roman"/>
          <w:sz w:val="22"/>
          <w:szCs w:val="22"/>
          <w:color w:val="auto"/>
        </w:rPr>
        <w:t>. If one or more of the provisions of this Agreement shall be invalidated for any reason</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by a court of competent jurisdiction, any provision so invalidated shall be deemed to be separable from the other provisions hereof, and the remaining provisions hereof shall continue to be valid and fully enforceable.</w:t>
      </w:r>
    </w:p>
    <w:p>
      <w:pPr>
        <w:spacing w:after="0" w:line="167" w:lineRule="exact"/>
        <w:rPr>
          <w:rFonts w:ascii="Times New Roman" w:cs="Times New Roman" w:eastAsia="Times New Roman" w:hAnsi="Times New Roman"/>
          <w:sz w:val="22"/>
          <w:szCs w:val="22"/>
          <w:color w:val="auto"/>
        </w:rPr>
      </w:pPr>
    </w:p>
    <w:p>
      <w:pPr>
        <w:jc w:val="both"/>
        <w:ind w:firstLine="656"/>
        <w:spacing w:after="0" w:line="238" w:lineRule="auto"/>
        <w:tabs>
          <w:tab w:leader="none" w:pos="12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Relation to Plan</w:t>
      </w:r>
      <w:r>
        <w:rPr>
          <w:rFonts w:ascii="Times New Roman" w:cs="Times New Roman" w:eastAsia="Times New Roman" w:hAnsi="Times New Roman"/>
          <w:sz w:val="22"/>
          <w:szCs w:val="22"/>
          <w:color w:val="auto"/>
        </w:rPr>
        <w:t>. This Agreement is subject to the terms and conditions of the Plan and in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event of any inconsistency 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6" w:lineRule="exact"/>
        <w:rPr>
          <w:rFonts w:ascii="Times New Roman" w:cs="Times New Roman" w:eastAsia="Times New Roman" w:hAnsi="Times New Roman"/>
          <w:sz w:val="22"/>
          <w:szCs w:val="22"/>
          <w:color w:val="auto"/>
        </w:rPr>
      </w:pPr>
    </w:p>
    <w:p>
      <w:pPr>
        <w:jc w:val="both"/>
        <w:ind w:firstLine="656"/>
        <w:spacing w:after="0" w:line="237" w:lineRule="auto"/>
        <w:tabs>
          <w:tab w:leader="none" w:pos="1296" w:val="left"/>
        </w:tabs>
        <w:numPr>
          <w:ilvl w:val="1"/>
          <w:numId w:val="6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Electronic Delivery</w:t>
      </w:r>
      <w:r>
        <w:rPr>
          <w:rFonts w:ascii="Times New Roman" w:cs="Times New Roman" w:eastAsia="Times New Roman" w:hAnsi="Times New Roman"/>
          <w:sz w:val="22"/>
          <w:szCs w:val="22"/>
          <w:color w:val="auto"/>
        </w:rPr>
        <w:t>. The Company may, in its sole discretion, deliver any documents related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RSUs and the Participant’s participation in the Plan, or future awards that may be granted under the Plan, by electronic means or request the Participant’s consent to participate in the Plan by electronic means. The Participant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5"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Governing Law</w:t>
      </w:r>
      <w:r>
        <w:rPr>
          <w:rFonts w:ascii="Times New Roman" w:cs="Times New Roman" w:eastAsia="Times New Roman" w:hAnsi="Times New Roman"/>
          <w:sz w:val="21"/>
          <w:szCs w:val="21"/>
          <w:color w:val="auto"/>
        </w:rPr>
        <w:t>. This Agreement shall be governed by and construed with the internal substantive</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laws of the State of Delaware, without giving effect to any principle of law that would result in the application of the law of any other jurisdiction and will be subject to the dispute provisions set forth in Section 24 of the Plan.</w:t>
      </w:r>
    </w:p>
    <w:p>
      <w:pPr>
        <w:spacing w:after="0" w:line="151" w:lineRule="exact"/>
        <w:rPr>
          <w:rFonts w:ascii="Times New Roman" w:cs="Times New Roman" w:eastAsia="Times New Roman" w:hAnsi="Times New Roman"/>
          <w:sz w:val="21"/>
          <w:szCs w:val="21"/>
          <w:color w:val="auto"/>
        </w:rPr>
      </w:pPr>
    </w:p>
    <w:p>
      <w:pPr>
        <w:jc w:val="both"/>
        <w:ind w:firstLine="656"/>
        <w:spacing w:after="0" w:line="252" w:lineRule="auto"/>
        <w:tabs>
          <w:tab w:leader="none" w:pos="1296" w:val="left"/>
        </w:tabs>
        <w:numPr>
          <w:ilvl w:val="1"/>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b w:val="1"/>
          <w:bCs w:val="1"/>
          <w:u w:val="single" w:color="auto"/>
          <w:color w:val="auto"/>
        </w:rPr>
        <w:t>Compliance with Section 409A of the Code</w:t>
      </w:r>
      <w:r>
        <w:rPr>
          <w:rFonts w:ascii="Times New Roman" w:cs="Times New Roman" w:eastAsia="Times New Roman" w:hAnsi="Times New Roman"/>
          <w:sz w:val="21"/>
          <w:szCs w:val="21"/>
          <w:color w:val="auto"/>
        </w:rPr>
        <w:t>. To the extent applicable, it is intended that this</w:t>
      </w:r>
      <w:r>
        <w:rPr>
          <w:rFonts w:ascii="Times New Roman" w:cs="Times New Roman" w:eastAsia="Times New Roman" w:hAnsi="Times New Roman"/>
          <w:sz w:val="21"/>
          <w:szCs w:val="21"/>
          <w:b w:val="1"/>
          <w:bCs w:val="1"/>
          <w:color w:val="auto"/>
        </w:rPr>
        <w:t xml:space="preserve"> </w:t>
      </w:r>
      <w:r>
        <w:rPr>
          <w:rFonts w:ascii="Times New Roman" w:cs="Times New Roman" w:eastAsia="Times New Roman" w:hAnsi="Times New Roman"/>
          <w:sz w:val="21"/>
          <w:szCs w:val="21"/>
          <w:color w:val="auto"/>
        </w:rPr>
        <w:t>Agreement and the Plan comply with, or be exempt from, the provisions of Section 409A of the Code, so that the income inclusion provisions of Section 409A(a)(1) of the Code do not apply to the Participant. This Agreement and the Plan shall be administered in a manner consistent with this intent. If the Participant is a “specified employee” as defined in Section 409A(a)(2)(B)(i) of the Code, payment hereunder of “nonqualified deferred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08" w:right="999" w:bottom="1440" w:gutter="0" w:footer="0" w:header="0"/>
        </w:sectPr>
      </w:pPr>
    </w:p>
    <w:bookmarkStart w:id="58" w:name="page59"/>
    <w:bookmarkEnd w:id="58"/>
    <w:p>
      <w:pPr>
        <w:spacing w:after="0" w:line="259" w:lineRule="auto"/>
        <w:rPr>
          <w:sz w:val="20"/>
          <w:szCs w:val="20"/>
          <w:color w:val="auto"/>
        </w:rPr>
      </w:pPr>
      <w:r>
        <w:rPr>
          <w:rFonts w:ascii="Times New Roman" w:cs="Times New Roman" w:eastAsia="Times New Roman" w:hAnsi="Times New Roman"/>
          <w:sz w:val="22"/>
          <w:szCs w:val="22"/>
          <w:color w:val="auto"/>
        </w:rPr>
        <w:t>compensation,” within the meaning of Section 409A, shall be subject to the “6-month delay” provisions of Section 14(c) of the Plan.</w:t>
      </w:r>
    </w:p>
    <w:p>
      <w:pPr>
        <w:spacing w:after="0" w:line="153" w:lineRule="exact"/>
        <w:rPr>
          <w:sz w:val="20"/>
          <w:szCs w:val="20"/>
          <w:color w:val="auto"/>
        </w:rPr>
      </w:pPr>
    </w:p>
    <w:p>
      <w:pPr>
        <w:jc w:val="both"/>
        <w:ind w:firstLine="656"/>
        <w:spacing w:after="0" w:line="241"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Successors and Assigns</w:t>
      </w:r>
      <w:r>
        <w:rPr>
          <w:rFonts w:ascii="Times New Roman" w:cs="Times New Roman" w:eastAsia="Times New Roman" w:hAnsi="Times New Roman"/>
          <w:sz w:val="22"/>
          <w:szCs w:val="22"/>
          <w:color w:val="auto"/>
        </w:rPr>
        <w:t>. Without limiting Section 3, the provisions of this Agreement shall inure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to the benefit of, and be binding upon, the successors, administrators, heirs, legal representatives and assigns of the Participant, and the successors and assigns of the Company unless terminated in compliance with the terms of Section 13 of the Plan.</w:t>
      </w:r>
    </w:p>
    <w:p>
      <w:pPr>
        <w:spacing w:after="0" w:line="171" w:lineRule="exact"/>
        <w:rPr>
          <w:rFonts w:ascii="Times New Roman" w:cs="Times New Roman" w:eastAsia="Times New Roman" w:hAnsi="Times New Roman"/>
          <w:sz w:val="22"/>
          <w:szCs w:val="22"/>
          <w:color w:val="auto"/>
        </w:rPr>
      </w:pPr>
    </w:p>
    <w:p>
      <w:pPr>
        <w:jc w:val="both"/>
        <w:ind w:firstLine="656"/>
        <w:spacing w:after="0" w:line="246"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Acknowledgement</w:t>
      </w:r>
      <w:r>
        <w:rPr>
          <w:rFonts w:ascii="Times New Roman" w:cs="Times New Roman" w:eastAsia="Times New Roman" w:hAnsi="Times New Roman"/>
          <w:sz w:val="22"/>
          <w:szCs w:val="22"/>
          <w:color w:val="auto"/>
        </w:rPr>
        <w:t>. The Participant acknowledges that the Participant (a) has received a copy of</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the Plan, (b) has had an opportunity to review the terms of this Agreement and the Plan, (c) understands the terms and conditions of this Agreement and the Plan and (d) agrees to such terms and conditions.</w:t>
      </w:r>
    </w:p>
    <w:p>
      <w:pPr>
        <w:spacing w:after="0" w:line="167" w:lineRule="exact"/>
        <w:rPr>
          <w:rFonts w:ascii="Times New Roman" w:cs="Times New Roman" w:eastAsia="Times New Roman" w:hAnsi="Times New Roman"/>
          <w:sz w:val="22"/>
          <w:szCs w:val="22"/>
          <w:color w:val="auto"/>
        </w:rPr>
      </w:pPr>
    </w:p>
    <w:p>
      <w:pPr>
        <w:ind w:right="20" w:firstLine="656"/>
        <w:spacing w:after="0" w:line="262" w:lineRule="auto"/>
        <w:tabs>
          <w:tab w:leader="none" w:pos="1296" w:val="left"/>
        </w:tabs>
        <w:numPr>
          <w:ilvl w:val="0"/>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Counterparts</w:t>
      </w:r>
      <w:r>
        <w:rPr>
          <w:rFonts w:ascii="Times New Roman" w:cs="Times New Roman" w:eastAsia="Times New Roman" w:hAnsi="Times New Roman"/>
          <w:sz w:val="22"/>
          <w:szCs w:val="22"/>
          <w:color w:val="auto"/>
        </w:rPr>
        <w:t>. This Agreement may be executed in one or more counterparts, each of which shall</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be deemed to be an original but all of which together will constitute one and the same agreement.</w:t>
      </w:r>
    </w:p>
    <w:p>
      <w:pPr>
        <w:spacing w:after="0" w:line="150" w:lineRule="exact"/>
        <w:rPr>
          <w:sz w:val="20"/>
          <w:szCs w:val="20"/>
          <w:color w:val="auto"/>
        </w:rPr>
      </w:pPr>
    </w:p>
    <w:p>
      <w:pPr>
        <w:jc w:val="both"/>
        <w:ind w:firstLine="656"/>
        <w:spacing w:after="0" w:line="238" w:lineRule="auto"/>
        <w:tabs>
          <w:tab w:leader="none" w:pos="1296"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b w:val="1"/>
          <w:bCs w:val="1"/>
          <w:u w:val="single" w:color="auto"/>
          <w:color w:val="auto"/>
        </w:rPr>
        <w:t>Recoupment</w:t>
      </w:r>
      <w:r>
        <w:rPr>
          <w:rFonts w:ascii="Times New Roman" w:cs="Times New Roman" w:eastAsia="Times New Roman" w:hAnsi="Times New Roman"/>
          <w:sz w:val="22"/>
          <w:szCs w:val="22"/>
          <w:color w:val="auto"/>
        </w:rPr>
        <w:t>. Notwithstanding any other provision of this Agreement, the RSUs and any Shares or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other amount or property that may be issued, delivered or paid in respect of the RSUs, as well as any consideration that may be received in respect of a sale or other disposition of any such Shares or property, shall be subject to any recoupment, “clawback” or similar provisions of applicable law or agreement, as well as any recoupment or “clawback” policies of the Company that may be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353695</wp:posOffset>
            </wp:positionV>
            <wp:extent cx="629221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2" w:right="9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22"/>
          <w:szCs w:val="22"/>
          <w:b w:val="1"/>
          <w:bCs w:val="1"/>
          <w:color w:val="auto"/>
        </w:rPr>
        <w:t>NU RIDE INC.</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-158115</wp:posOffset>
            </wp:positionV>
            <wp:extent cx="253746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22"/>
          <w:szCs w:val="22"/>
          <w:color w:val="auto"/>
        </w:rPr>
        <w:t>Its: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PARTICIPANT</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By:</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871855</wp:posOffset>
            </wp:positionH>
            <wp:positionV relativeFrom="paragraph">
              <wp:posOffset>-158115</wp:posOffset>
            </wp:positionV>
            <wp:extent cx="25374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374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375920</wp:posOffset>
            </wp:positionV>
            <wp:extent cx="6292215"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79"/>
          </w:cols>
          <w:pgMar w:left="980" w:top="351" w:right="1440" w:bottom="1440" w:gutter="0" w:footer="0" w:header="0"/>
        </w:sectPr>
      </w:pPr>
    </w:p>
    <w:bookmarkStart w:id="60" w:name="page61"/>
    <w:bookmarkEnd w:id="60"/>
    <w:p>
      <w:pPr>
        <w:jc w:val="center"/>
        <w:ind w:right="19"/>
        <w:spacing w:after="0"/>
        <w:rPr>
          <w:sz w:val="20"/>
          <w:szCs w:val="20"/>
          <w:color w:val="auto"/>
        </w:rPr>
      </w:pPr>
      <w:r>
        <w:rPr>
          <w:rFonts w:ascii="Times New Roman" w:cs="Times New Roman" w:eastAsia="Times New Roman" w:hAnsi="Times New Roman"/>
          <w:sz w:val="21"/>
          <w:szCs w:val="21"/>
          <w:b w:val="1"/>
          <w:bCs w:val="1"/>
          <w:u w:val="single" w:color="auto"/>
          <w:color w:val="auto"/>
        </w:rPr>
        <w:t>Schedule I</w:t>
      </w:r>
    </w:p>
    <w:p>
      <w:pPr>
        <w:sectPr>
          <w:pgSz w:w="11900" w:h="16838" w:orient="portrait"/>
          <w:cols w:equalWidth="0" w:num="1">
            <w:col w:w="9019"/>
          </w:cols>
          <w:pgMar w:left="1440" w:top="108" w:right="1440" w:bottom="1440" w:gutter="0" w:footer="0" w:header="0"/>
        </w:sect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375920</wp:posOffset>
            </wp:positionV>
            <wp:extent cx="629221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019"/>
          </w:cols>
          <w:pgMar w:left="1440" w:top="108" w:right="1440" w:bottom="1440" w:gutter="0" w:footer="0" w:header="0"/>
          <w:type w:val="continuous"/>
        </w:sectPr>
      </w:pPr>
    </w:p>
    <w:bookmarkStart w:id="61" w:name="page62"/>
    <w:bookmarkEnd w:id="61"/>
    <w:p>
      <w:pPr>
        <w:jc w:val="right"/>
        <w:ind w:right="59"/>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333333"/>
        </w:rPr>
        <w:t>CERTIFICATION PURSUANT TO SECTION 302</w:t>
      </w:r>
    </w:p>
    <w:p>
      <w:pPr>
        <w:spacing w:after="0" w:line="31" w:lineRule="exact"/>
        <w:rPr>
          <w:sz w:val="20"/>
          <w:szCs w:val="20"/>
          <w:color w:val="auto"/>
        </w:rPr>
      </w:pPr>
    </w:p>
    <w:p>
      <w:pPr>
        <w:jc w:val="center"/>
        <w:ind w:right="659"/>
        <w:spacing w:after="0"/>
        <w:rPr>
          <w:sz w:val="20"/>
          <w:szCs w:val="20"/>
          <w:color w:val="auto"/>
        </w:rPr>
      </w:pPr>
      <w:r>
        <w:rPr>
          <w:rFonts w:ascii="Times New Roman" w:cs="Times New Roman" w:eastAsia="Times New Roman" w:hAnsi="Times New Roman"/>
          <w:sz w:val="18"/>
          <w:szCs w:val="18"/>
          <w:b w:val="1"/>
          <w:bCs w:val="1"/>
          <w:color w:val="333333"/>
        </w:rPr>
        <w:t>OF THE SARBANES-OXLEY ACT OF 2002</w:t>
      </w:r>
    </w:p>
    <w:p>
      <w:pPr>
        <w:spacing w:after="0" w:line="200" w:lineRule="exact"/>
        <w:rPr>
          <w:sz w:val="20"/>
          <w:szCs w:val="20"/>
          <w:color w:val="auto"/>
        </w:rPr>
      </w:pPr>
    </w:p>
    <w:p>
      <w:pPr>
        <w:spacing w:after="0" w:line="3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 William Gallagher, certify that:</w:t>
      </w:r>
    </w:p>
    <w:p>
      <w:pPr>
        <w:spacing w:after="0" w:line="117" w:lineRule="exact"/>
        <w:rPr>
          <w:sz w:val="20"/>
          <w:szCs w:val="20"/>
          <w:color w:val="auto"/>
        </w:rPr>
      </w:pPr>
    </w:p>
    <w:p>
      <w:pPr>
        <w:ind w:left="220" w:hanging="176"/>
        <w:spacing w:after="0"/>
        <w:tabs>
          <w:tab w:leader="none" w:pos="22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Nu Ride Inc.;</w:t>
      </w:r>
    </w:p>
    <w:p>
      <w:pPr>
        <w:spacing w:after="0" w:line="117"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3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jc w:val="both"/>
        <w:ind w:left="40" w:right="59" w:firstLine="4"/>
        <w:spacing w:after="0" w:line="266" w:lineRule="auto"/>
        <w:tabs>
          <w:tab w:leader="none" w:pos="229"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7" w:lineRule="exact"/>
        <w:rPr>
          <w:rFonts w:ascii="Times New Roman" w:cs="Times New Roman" w:eastAsia="Times New Roman" w:hAnsi="Times New Roman"/>
          <w:sz w:val="18"/>
          <w:szCs w:val="18"/>
          <w:color w:val="auto"/>
        </w:rPr>
      </w:pPr>
    </w:p>
    <w:p>
      <w:pPr>
        <w:jc w:val="both"/>
        <w:ind w:left="40" w:right="59" w:firstLine="4"/>
        <w:spacing w:after="0" w:line="261" w:lineRule="auto"/>
        <w:tabs>
          <w:tab w:leader="none" w:pos="22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establishing and maintaining disclosure controls and procedures (as defined in Exchange Act Rules 13a-15(e) and 15d-15(e)) and internal control over financial reporting (as defined in Exchange Act Rules 13a-15(f) and</w:t>
      </w: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15d-15(f)) for the registrant and have:</w:t>
      </w:r>
    </w:p>
    <w:p>
      <w:pPr>
        <w:spacing w:after="0" w:line="98" w:lineRule="exact"/>
        <w:rPr>
          <w:rFonts w:ascii="Times New Roman" w:cs="Times New Roman" w:eastAsia="Times New Roman" w:hAnsi="Times New Roman"/>
          <w:sz w:val="18"/>
          <w:szCs w:val="18"/>
          <w:color w:val="auto"/>
        </w:rPr>
      </w:pPr>
    </w:p>
    <w:p>
      <w:pPr>
        <w:jc w:val="both"/>
        <w:ind w:left="40" w:right="59" w:firstLine="652"/>
        <w:spacing w:after="0" w:line="255" w:lineRule="auto"/>
        <w:tabs>
          <w:tab w:leader="none" w:pos="95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8"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945"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the financial statements for external purposes in accordance with generally accepted accounting principles;</w:t>
      </w:r>
    </w:p>
    <w:p>
      <w:pPr>
        <w:spacing w:after="0" w:line="58"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94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1" w:lineRule="auto"/>
        <w:tabs>
          <w:tab w:leader="none" w:pos="961"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1" w:lineRule="exact"/>
        <w:rPr>
          <w:rFonts w:ascii="Times New Roman" w:cs="Times New Roman" w:eastAsia="Times New Roman" w:hAnsi="Times New Roman"/>
          <w:sz w:val="18"/>
          <w:szCs w:val="18"/>
          <w:color w:val="auto"/>
        </w:rPr>
      </w:pPr>
    </w:p>
    <w:p>
      <w:pPr>
        <w:ind w:left="40" w:right="59" w:firstLine="4"/>
        <w:spacing w:after="0" w:line="266" w:lineRule="auto"/>
        <w:tabs>
          <w:tab w:leader="none" w:pos="247"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disclosed, based on my most recent evaluation of internal control over financial reporting, to the registrant's auditors and the audit committee of the registrant's board of directors:</w:t>
      </w:r>
    </w:p>
    <w:p>
      <w:pPr>
        <w:spacing w:after="0" w:line="67" w:lineRule="exact"/>
        <w:rPr>
          <w:rFonts w:ascii="Times New Roman" w:cs="Times New Roman" w:eastAsia="Times New Roman" w:hAnsi="Times New Roman"/>
          <w:sz w:val="18"/>
          <w:szCs w:val="18"/>
          <w:color w:val="auto"/>
        </w:rPr>
      </w:pPr>
    </w:p>
    <w:p>
      <w:pPr>
        <w:jc w:val="both"/>
        <w:ind w:left="40" w:right="59" w:firstLine="652"/>
        <w:spacing w:after="0" w:line="266" w:lineRule="auto"/>
        <w:tabs>
          <w:tab w:leader="none" w:pos="977"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40" w:right="59" w:firstLine="652"/>
        <w:spacing w:after="0" w:line="282" w:lineRule="auto"/>
        <w:tabs>
          <w:tab w:leader="none" w:pos="949"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Date: August 13, 2024</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 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17145</wp:posOffset>
            </wp:positionV>
            <wp:extent cx="282892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William Gallagher</w:t>
      </w:r>
    </w:p>
    <w:p>
      <w:pPr>
        <w:spacing w:after="0" w:line="2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Chief Executive Officer, President,</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Secretary, and Treasurer</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Executive Officer and</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485775</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17" w:right="1440"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22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Nu Ride Inc. (the "Company") for the period ended June 30, 2024, as filed with the Securities and Exchange Commission on the date hereof (the "Report"), I, William Gallagher, Chief Executive Officer, President, Secretary, and Treasurer of the Company, certify, pursuant to 18 U.S.C. Section 1350, as adopted pursuant to Section 906 of the Sarbanes-Oxley Act of 2002, that, to my knowledge:</w:t>
      </w:r>
    </w:p>
    <w:p>
      <w:pPr>
        <w:spacing w:after="0" w:line="180" w:lineRule="exact"/>
        <w:rPr>
          <w:sz w:val="20"/>
          <w:szCs w:val="20"/>
          <w:color w:val="auto"/>
        </w:rPr>
      </w:pPr>
    </w:p>
    <w:p>
      <w:pPr>
        <w:ind w:left="180" w:hanging="172"/>
        <w:spacing w:after="0"/>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right="60" w:firstLine="8"/>
        <w:spacing w:after="0" w:line="282" w:lineRule="auto"/>
        <w:tabs>
          <w:tab w:leader="none" w:pos="18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13, 2024</w:t>
      </w:r>
    </w:p>
    <w:p>
      <w:pPr>
        <w:spacing w:after="0" w:line="22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By: /s/ William Gallagher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3357880</wp:posOffset>
            </wp:positionH>
            <wp:positionV relativeFrom="paragraph">
              <wp:posOffset>17145</wp:posOffset>
            </wp:positionV>
            <wp:extent cx="294005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William Gallagher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Chief Executive Officer, President, Secretary, and Treasurer</w:t>
      </w:r>
    </w:p>
    <w:p>
      <w:pPr>
        <w:spacing w:after="0" w:line="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color w:val="auto"/>
        </w:rPr>
        <w:t>(Principal Executive Officer and 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516DDE9"/>
    <w:multiLevelType w:val="hybridMultilevel"/>
    <w:lvl w:ilvl="0">
      <w:lvlJc w:val="left"/>
      <w:lvlText w:val="☒"/>
      <w:numFmt w:val="bullet"/>
      <w:start w:val="1"/>
    </w:lvl>
  </w:abstractNum>
  <w:abstractNum w:abstractNumId="1">
    <w:nsid w:val="3006C83E"/>
    <w:multiLevelType w:val="hybridMultilevel"/>
    <w:lvl w:ilvl="0">
      <w:lvlJc w:val="left"/>
      <w:lvlText w:val="☐"/>
      <w:numFmt w:val="bullet"/>
      <w:start w:val="1"/>
    </w:lvl>
  </w:abstractNum>
  <w:abstractNum w:abstractNumId="2">
    <w:nsid w:val="614FD4A1"/>
    <w:multiLevelType w:val="hybridMultilevel"/>
    <w:lvl w:ilvl="0">
      <w:lvlJc w:val="left"/>
      <w:lvlText w:val="*"/>
      <w:numFmt w:val="bullet"/>
      <w:start w:val="1"/>
    </w:lvl>
  </w:abstractNum>
  <w:abstractNum w:abstractNumId="3">
    <w:nsid w:val="419AC241"/>
    <w:multiLevelType w:val="hybridMultilevel"/>
    <w:lvl w:ilvl="0">
      <w:lvlJc w:val="left"/>
      <w:lvlText w:val="(%1)"/>
      <w:numFmt w:val="lowerRoman"/>
      <w:start w:val="5"/>
    </w:lvl>
  </w:abstractNum>
  <w:abstractNum w:abstractNumId="4">
    <w:nsid w:val="5577F8E1"/>
    <w:multiLevelType w:val="hybridMultilevel"/>
    <w:lvl w:ilvl="0">
      <w:lvlJc w:val="left"/>
      <w:lvlText w:val="(%1)"/>
      <w:numFmt w:val="lowerLetter"/>
      <w:start w:val="1"/>
    </w:lvl>
  </w:abstractNum>
  <w:abstractNum w:abstractNumId="5">
    <w:nsid w:val="440BADFC"/>
    <w:multiLevelType w:val="hybridMultilevel"/>
    <w:lvl w:ilvl="0">
      <w:lvlJc w:val="left"/>
      <w:lvlText w:val="*"/>
      <w:numFmt w:val="bullet"/>
      <w:start w:val="1"/>
    </w:lvl>
  </w:abstractNum>
  <w:abstractNum w:abstractNumId="6">
    <w:nsid w:val="5072367"/>
    <w:multiLevelType w:val="hybridMultilevel"/>
    <w:lvl w:ilvl="0">
      <w:lvlJc w:val="left"/>
      <w:lvlText w:val="**"/>
      <w:numFmt w:val="bullet"/>
      <w:start w:val="1"/>
    </w:lvl>
  </w:abstractNum>
  <w:abstractNum w:abstractNumId="7">
    <w:nsid w:val="3804823E"/>
    <w:multiLevelType w:val="hybridMultilevel"/>
    <w:lvl w:ilvl="0">
      <w:lvlJc w:val="left"/>
      <w:lvlText w:val="†"/>
      <w:numFmt w:val="bullet"/>
      <w:start w:val="1"/>
    </w:lvl>
  </w:abstractNum>
  <w:abstractNum w:abstractNumId="8">
    <w:nsid w:val="77465F01"/>
    <w:multiLevelType w:val="hybridMultilevel"/>
    <w:lvl w:ilvl="0">
      <w:lvlJc w:val="left"/>
      <w:lvlText w:val="%1."/>
      <w:numFmt w:val="decimal"/>
      <w:start w:val="1"/>
    </w:lvl>
  </w:abstractNum>
  <w:abstractNum w:abstractNumId="9">
    <w:nsid w:val="7724C67E"/>
    <w:multiLevelType w:val="hybridMultilevel"/>
    <w:lvl w:ilvl="0">
      <w:lvlJc w:val="left"/>
      <w:lvlText w:val="(%1)"/>
      <w:numFmt w:val="lowerLetter"/>
      <w:start w:val="1"/>
    </w:lvl>
    <w:lvl w:ilvl="1">
      <w:lvlJc w:val="left"/>
      <w:lvlText w:val="(%2)"/>
      <w:numFmt w:val="lowerRoman"/>
      <w:start w:val="1"/>
    </w:lvl>
  </w:abstractNum>
  <w:abstractNum w:abstractNumId="10">
    <w:nsid w:val="5C482A97"/>
    <w:multiLevelType w:val="hybridMultilevel"/>
    <w:lvl w:ilvl="0">
      <w:lvlJc w:val="left"/>
      <w:lvlText w:val="%1"/>
      <w:numFmt w:val="lowerLetter"/>
      <w:start w:val="1"/>
    </w:lvl>
    <w:lvl w:ilvl="1">
      <w:lvlJc w:val="left"/>
      <w:lvlText w:val="(%2)"/>
      <w:numFmt w:val="lowerRoman"/>
      <w:start w:val="4"/>
    </w:lvl>
  </w:abstractNum>
  <w:abstractNum w:abstractNumId="11">
    <w:nsid w:val="2463B9EA"/>
    <w:multiLevelType w:val="hybridMultilevel"/>
    <w:lvl w:ilvl="0">
      <w:lvlJc w:val="left"/>
      <w:lvlText w:val="(%1)"/>
      <w:numFmt w:val="lowerLetter"/>
      <w:start w:val="4"/>
    </w:lvl>
    <w:lvl w:ilvl="1">
      <w:lvlJc w:val="left"/>
      <w:lvlText w:val="%2"/>
      <w:numFmt w:val="lowerRoman"/>
      <w:start w:val="1"/>
    </w:lvl>
  </w:abstractNum>
  <w:abstractNum w:abstractNumId="12">
    <w:nsid w:val="5E884ADC"/>
    <w:multiLevelType w:val="hybridMultilevel"/>
    <w:lvl w:ilvl="0">
      <w:lvlJc w:val="left"/>
      <w:lvlText w:val="(%1)"/>
      <w:numFmt w:val="lowerLetter"/>
      <w:start w:val="10"/>
    </w:lvl>
  </w:abstractNum>
  <w:abstractNum w:abstractNumId="13">
    <w:nsid w:val="51EAD36B"/>
    <w:multiLevelType w:val="hybridMultilevel"/>
    <w:lvl w:ilvl="0">
      <w:lvlJc w:val="left"/>
      <w:lvlText w:val="%1"/>
      <w:numFmt w:val="lowerLetter"/>
      <w:start w:val="1"/>
    </w:lvl>
    <w:lvl w:ilvl="1">
      <w:lvlJc w:val="left"/>
      <w:lvlText w:val="(%2)"/>
      <w:numFmt w:val="lowerLetter"/>
      <w:start w:val="15"/>
    </w:lvl>
  </w:abstractNum>
  <w:abstractNum w:abstractNumId="14">
    <w:nsid w:val="2D517796"/>
    <w:multiLevelType w:val="hybridMultilevel"/>
    <w:lvl w:ilvl="0">
      <w:lvlJc w:val="left"/>
      <w:lvlText w:val="(%1)"/>
      <w:numFmt w:val="lowerLetter"/>
      <w:start w:val="1"/>
    </w:lvl>
    <w:lvl w:ilvl="1">
      <w:lvlJc w:val="left"/>
      <w:lvlText w:val="%2"/>
      <w:numFmt w:val="lowerLetter"/>
      <w:start w:val="1"/>
    </w:lvl>
  </w:abstractNum>
  <w:abstractNum w:abstractNumId="15">
    <w:nsid w:val="580BD78F"/>
    <w:multiLevelType w:val="hybridMultilevel"/>
    <w:lvl w:ilvl="0">
      <w:lvlJc w:val="left"/>
      <w:lvlText w:val="%1."/>
      <w:numFmt w:val="decimal"/>
      <w:start w:val="3"/>
    </w:lvl>
  </w:abstractNum>
  <w:abstractNum w:abstractNumId="16">
    <w:nsid w:val="153EA438"/>
    <w:multiLevelType w:val="hybridMultilevel"/>
    <w:lvl w:ilvl="0">
      <w:lvlJc w:val="left"/>
      <w:lvlText w:val="%1."/>
      <w:numFmt w:val="decimal"/>
      <w:start w:val="5"/>
    </w:lvl>
  </w:abstractNum>
  <w:abstractNum w:abstractNumId="17">
    <w:nsid w:val="3855585C"/>
    <w:multiLevelType w:val="hybridMultilevel"/>
    <w:lvl w:ilvl="0">
      <w:lvlJc w:val="left"/>
      <w:lvlText w:val="%1."/>
      <w:numFmt w:val="decimal"/>
      <w:start w:val="8"/>
    </w:lvl>
  </w:abstractNum>
  <w:abstractNum w:abstractNumId="18">
    <w:nsid w:val="70A64E2A"/>
    <w:multiLevelType w:val="hybridMultilevel"/>
    <w:lvl w:ilvl="0">
      <w:lvlJc w:val="left"/>
      <w:lvlText w:val="(%1)"/>
      <w:numFmt w:val="lowerLetter"/>
      <w:start w:val="1"/>
    </w:lvl>
  </w:abstractNum>
  <w:abstractNum w:abstractNumId="19">
    <w:nsid w:val="6A2342EC"/>
    <w:multiLevelType w:val="hybridMultilevel"/>
    <w:lvl w:ilvl="0">
      <w:lvlJc w:val="left"/>
      <w:lvlText w:val="%1."/>
      <w:numFmt w:val="decimal"/>
      <w:start w:val="9"/>
    </w:lvl>
  </w:abstractNum>
  <w:abstractNum w:abstractNumId="20">
    <w:nsid w:val="2A487CB0"/>
    <w:multiLevelType w:val="hybridMultilevel"/>
    <w:lvl w:ilvl="0">
      <w:lvlJc w:val="left"/>
      <w:lvlText w:val="(%1)"/>
      <w:numFmt w:val="lowerLetter"/>
      <w:start w:val="1"/>
    </w:lvl>
  </w:abstractNum>
  <w:abstractNum w:abstractNumId="21">
    <w:nsid w:val="1D4ED43B"/>
    <w:multiLevelType w:val="hybridMultilevel"/>
    <w:lvl w:ilvl="0">
      <w:lvlJc w:val="left"/>
      <w:lvlText w:val="%1."/>
      <w:numFmt w:val="decimal"/>
      <w:start w:val="10"/>
    </w:lvl>
  </w:abstractNum>
  <w:abstractNum w:abstractNumId="22">
    <w:nsid w:val="725A06FB"/>
    <w:multiLevelType w:val="hybridMultilevel"/>
    <w:lvl w:ilvl="0">
      <w:lvlJc w:val="left"/>
      <w:lvlText w:val="(%1)"/>
      <w:numFmt w:val="lowerLetter"/>
      <w:start w:val="1"/>
    </w:lvl>
  </w:abstractNum>
  <w:abstractNum w:abstractNumId="23">
    <w:nsid w:val="2CD89A32"/>
    <w:multiLevelType w:val="hybridMultilevel"/>
    <w:lvl w:ilvl="0">
      <w:lvlJc w:val="left"/>
      <w:lvlText w:val="%1."/>
      <w:numFmt w:val="decimal"/>
      <w:start w:val="11"/>
    </w:lvl>
  </w:abstractNum>
  <w:abstractNum w:abstractNumId="24">
    <w:nsid w:val="57E4CCAF"/>
    <w:multiLevelType w:val="hybridMultilevel"/>
    <w:lvl w:ilvl="0">
      <w:lvlJc w:val="left"/>
      <w:lvlText w:val="(%1)"/>
      <w:numFmt w:val="lowerLetter"/>
      <w:start w:val="1"/>
    </w:lvl>
  </w:abstractNum>
  <w:abstractNum w:abstractNumId="25">
    <w:nsid w:val="7A6D8D3C"/>
    <w:multiLevelType w:val="hybridMultilevel"/>
    <w:lvl w:ilvl="0">
      <w:lvlJc w:val="left"/>
      <w:lvlText w:val="%1."/>
      <w:numFmt w:val="decimal"/>
      <w:start w:val="12"/>
    </w:lvl>
  </w:abstractNum>
  <w:abstractNum w:abstractNumId="26">
    <w:nsid w:val="4B588F54"/>
    <w:multiLevelType w:val="hybridMultilevel"/>
    <w:lvl w:ilvl="0">
      <w:lvlJc w:val="left"/>
      <w:lvlText w:val="%1"/>
      <w:numFmt w:val="lowerLetter"/>
      <w:start w:val="1"/>
    </w:lvl>
    <w:lvl w:ilvl="1">
      <w:lvlJc w:val="left"/>
      <w:lvlText w:val="(%2)"/>
      <w:numFmt w:val="lowerLetter"/>
      <w:start w:val="1"/>
    </w:lvl>
  </w:abstractNum>
  <w:abstractNum w:abstractNumId="27">
    <w:nsid w:val="542289EC"/>
    <w:multiLevelType w:val="hybridMultilevel"/>
    <w:lvl w:ilvl="0">
      <w:lvlJc w:val="left"/>
      <w:lvlText w:val="(%1)"/>
      <w:numFmt w:val="lowerLetter"/>
      <w:start w:val="35"/>
    </w:lvl>
    <w:lvl w:ilvl="1">
      <w:lvlJc w:val="left"/>
      <w:lvlText w:val="(%2)"/>
      <w:numFmt w:val="lowerLetter"/>
      <w:start w:val="2"/>
    </w:lvl>
  </w:abstractNum>
  <w:abstractNum w:abstractNumId="28">
    <w:nsid w:val="6DE91B18"/>
    <w:multiLevelType w:val="hybridMultilevel"/>
    <w:lvl w:ilvl="0">
      <w:lvlJc w:val="left"/>
      <w:lvlText w:val="(%1)"/>
      <w:numFmt w:val="lowerLetter"/>
      <w:start w:val="3"/>
    </w:lvl>
  </w:abstractNum>
  <w:abstractNum w:abstractNumId="29">
    <w:nsid w:val="38437FDB"/>
    <w:multiLevelType w:val="hybridMultilevel"/>
    <w:lvl w:ilvl="0">
      <w:lvlJc w:val="left"/>
      <w:lvlText w:val="%1."/>
      <w:numFmt w:val="decimal"/>
      <w:start w:val="13"/>
    </w:lvl>
  </w:abstractNum>
  <w:abstractNum w:abstractNumId="30">
    <w:nsid w:val="7644A45C"/>
    <w:multiLevelType w:val="hybridMultilevel"/>
    <w:lvl w:ilvl="0">
      <w:lvlJc w:val="left"/>
      <w:lvlText w:val="(%1)"/>
      <w:numFmt w:val="lowerLetter"/>
      <w:start w:val="1"/>
    </w:lvl>
  </w:abstractNum>
  <w:abstractNum w:abstractNumId="31">
    <w:nsid w:val="32FFF902"/>
    <w:multiLevelType w:val="hybridMultilevel"/>
    <w:lvl w:ilvl="0">
      <w:lvlJc w:val="left"/>
      <w:lvlText w:val="(%1)"/>
      <w:numFmt w:val="lowerLetter"/>
      <w:start w:val="4"/>
    </w:lvl>
  </w:abstractNum>
  <w:abstractNum w:abstractNumId="32">
    <w:nsid w:val="684A481A"/>
    <w:multiLevelType w:val="hybridMultilevel"/>
    <w:lvl w:ilvl="0">
      <w:lvlJc w:val="left"/>
      <w:lvlText w:val="%1."/>
      <w:numFmt w:val="decimal"/>
      <w:start w:val="14"/>
    </w:lvl>
  </w:abstractNum>
  <w:abstractNum w:abstractNumId="33">
    <w:nsid w:val="579478FE"/>
    <w:multiLevelType w:val="hybridMultilevel"/>
    <w:lvl w:ilvl="0">
      <w:lvlJc w:val="left"/>
      <w:lvlText w:val="%1"/>
      <w:numFmt w:val="decimal"/>
      <w:start w:val="1"/>
    </w:lvl>
    <w:lvl w:ilvl="1">
      <w:lvlJc w:val="left"/>
      <w:lvlText w:val="(%2)"/>
      <w:numFmt w:val="lowerLetter"/>
      <w:start w:val="1"/>
    </w:lvl>
  </w:abstractNum>
  <w:abstractNum w:abstractNumId="34">
    <w:nsid w:val="749ABB43"/>
    <w:multiLevelType w:val="hybridMultilevel"/>
    <w:lvl w:ilvl="0">
      <w:lvlJc w:val="left"/>
      <w:lvlText w:val="(%1)"/>
      <w:numFmt w:val="decimal"/>
      <w:start w:val="10"/>
    </w:lvl>
    <w:lvl w:ilvl="1">
      <w:lvlJc w:val="left"/>
      <w:lvlText w:val="(%2)"/>
      <w:numFmt w:val="lowerLetter"/>
      <w:start w:val="2"/>
    </w:lvl>
  </w:abstractNum>
  <w:abstractNum w:abstractNumId="35">
    <w:nsid w:val="3DC240FB"/>
    <w:multiLevelType w:val="hybridMultilevel"/>
    <w:lvl w:ilvl="0">
      <w:lvlJc w:val="left"/>
      <w:lvlText w:val="(%1)"/>
      <w:numFmt w:val="lowerLetter"/>
      <w:start w:val="3"/>
    </w:lvl>
  </w:abstractNum>
  <w:abstractNum w:abstractNumId="36">
    <w:nsid w:val="1BA026FA"/>
    <w:multiLevelType w:val="hybridMultilevel"/>
    <w:lvl w:ilvl="0">
      <w:lvlJc w:val="left"/>
      <w:lvlText w:val="(%1)"/>
      <w:numFmt w:val="lowerLetter"/>
      <w:start w:val="8"/>
    </w:lvl>
  </w:abstractNum>
  <w:abstractNum w:abstractNumId="37">
    <w:nsid w:val="79A1DEAA"/>
    <w:multiLevelType w:val="hybridMultilevel"/>
    <w:lvl w:ilvl="0">
      <w:lvlJc w:val="left"/>
      <w:lvlText w:val="%1."/>
      <w:numFmt w:val="decimal"/>
      <w:start w:val="15"/>
    </w:lvl>
  </w:abstractNum>
  <w:abstractNum w:abstractNumId="38">
    <w:nsid w:val="75C6C33A"/>
    <w:multiLevelType w:val="hybridMultilevel"/>
    <w:lvl w:ilvl="0">
      <w:lvlJc w:val="left"/>
      <w:lvlText w:val="(%1)"/>
      <w:numFmt w:val="lowerLetter"/>
      <w:start w:val="1"/>
    </w:lvl>
  </w:abstractNum>
  <w:abstractNum w:abstractNumId="39">
    <w:nsid w:val="12E685FB"/>
    <w:multiLevelType w:val="hybridMultilevel"/>
    <w:lvl w:ilvl="0">
      <w:lvlJc w:val="left"/>
      <w:lvlText w:val="(%1)"/>
      <w:numFmt w:val="lowerLetter"/>
      <w:start w:val="3"/>
    </w:lvl>
  </w:abstractNum>
  <w:abstractNum w:abstractNumId="40">
    <w:nsid w:val="70C6A529"/>
    <w:multiLevelType w:val="hybridMultilevel"/>
    <w:lvl w:ilvl="0">
      <w:lvlJc w:val="left"/>
      <w:lvlText w:val="%1."/>
      <w:numFmt w:val="decimal"/>
      <w:start w:val="17"/>
    </w:lvl>
  </w:abstractNum>
  <w:abstractNum w:abstractNumId="41">
    <w:nsid w:val="520EEDD1"/>
    <w:multiLevelType w:val="hybridMultilevel"/>
    <w:lvl w:ilvl="0">
      <w:lvlJc w:val="left"/>
      <w:lvlText w:val="%1."/>
      <w:numFmt w:val="decimal"/>
      <w:start w:val="18"/>
    </w:lvl>
  </w:abstractNum>
  <w:abstractNum w:abstractNumId="42">
    <w:nsid w:val="374A3FE6"/>
    <w:multiLevelType w:val="hybridMultilevel"/>
    <w:lvl w:ilvl="0">
      <w:lvlJc w:val="left"/>
      <w:lvlText w:val="(%1)"/>
      <w:numFmt w:val="lowerLetter"/>
      <w:start w:val="1"/>
    </w:lvl>
  </w:abstractNum>
  <w:abstractNum w:abstractNumId="43">
    <w:nsid w:val="4F4EF005"/>
    <w:multiLevelType w:val="hybridMultilevel"/>
    <w:lvl w:ilvl="0">
      <w:lvlJc w:val="left"/>
      <w:lvlText w:val="%1."/>
      <w:numFmt w:val="decimal"/>
      <w:start w:val="19"/>
    </w:lvl>
  </w:abstractNum>
  <w:abstractNum w:abstractNumId="44">
    <w:nsid w:val="23F9C13C"/>
    <w:multiLevelType w:val="hybridMultilevel"/>
    <w:lvl w:ilvl="0">
      <w:lvlJc w:val="left"/>
      <w:lvlText w:val="(%1)"/>
      <w:numFmt w:val="lowerLetter"/>
      <w:start w:val="1"/>
    </w:lvl>
  </w:abstractNum>
  <w:abstractNum w:abstractNumId="45">
    <w:nsid w:val="649BB77C"/>
    <w:multiLevelType w:val="hybridMultilevel"/>
    <w:lvl w:ilvl="0">
      <w:lvlJc w:val="left"/>
      <w:lvlText w:val="%1"/>
      <w:numFmt w:val="lowerLetter"/>
      <w:start w:val="1"/>
    </w:lvl>
    <w:lvl w:ilvl="1">
      <w:lvlJc w:val="left"/>
      <w:lvlText w:val="%2."/>
      <w:numFmt w:val="decimal"/>
      <w:start w:val="20"/>
    </w:lvl>
  </w:abstractNum>
  <w:abstractNum w:abstractNumId="46">
    <w:nsid w:val="275AC794"/>
    <w:multiLevelType w:val="hybridMultilevel"/>
    <w:lvl w:ilvl="0">
      <w:lvlJc w:val="left"/>
      <w:lvlText w:val="(%1)"/>
      <w:numFmt w:val="lowerLetter"/>
      <w:start w:val="1"/>
    </w:lvl>
    <w:lvl w:ilvl="1">
      <w:lvlJc w:val="left"/>
      <w:lvlText w:val="%2"/>
      <w:numFmt w:val="decimal"/>
      <w:start w:val="1"/>
    </w:lvl>
  </w:abstractNum>
  <w:abstractNum w:abstractNumId="47">
    <w:nsid w:val="39386575"/>
    <w:multiLevelType w:val="hybridMultilevel"/>
    <w:lvl w:ilvl="0">
      <w:lvlJc w:val="left"/>
      <w:lvlText w:val="%1."/>
      <w:numFmt w:val="decimal"/>
      <w:start w:val="22"/>
    </w:lvl>
  </w:abstractNum>
  <w:abstractNum w:abstractNumId="48">
    <w:nsid w:val="1CF10FD8"/>
    <w:multiLevelType w:val="hybridMultilevel"/>
    <w:lvl w:ilvl="0">
      <w:lvlJc w:val="left"/>
      <w:lvlText w:val="%1."/>
      <w:numFmt w:val="decimal"/>
      <w:start w:val="23"/>
    </w:lvl>
  </w:abstractNum>
  <w:abstractNum w:abstractNumId="49">
    <w:nsid w:val="180115BE"/>
    <w:multiLevelType w:val="hybridMultilevel"/>
    <w:lvl w:ilvl="0">
      <w:lvlJc w:val="left"/>
      <w:lvlText w:val="1"/>
      <w:numFmt w:val="bullet"/>
      <w:start w:val="1"/>
    </w:lvl>
  </w:abstractNum>
  <w:abstractNum w:abstractNumId="50">
    <w:nsid w:val="235BA861"/>
    <w:multiLevelType w:val="hybridMultilevel"/>
    <w:lvl w:ilvl="0">
      <w:lvlJc w:val="left"/>
      <w:lvlText w:val="2"/>
      <w:numFmt w:val="bullet"/>
      <w:start w:val="1"/>
    </w:lvl>
  </w:abstractNum>
  <w:abstractNum w:abstractNumId="51">
    <w:nsid w:val="47398C89"/>
    <w:multiLevelType w:val="hybridMultilevel"/>
    <w:lvl w:ilvl="0">
      <w:lvlJc w:val="left"/>
      <w:lvlText w:val="3"/>
      <w:numFmt w:val="bullet"/>
      <w:start w:val="1"/>
    </w:lvl>
  </w:abstractNum>
  <w:abstractNum w:abstractNumId="52">
    <w:nsid w:val="354FE9F9"/>
    <w:multiLevelType w:val="hybridMultilevel"/>
    <w:lvl w:ilvl="0">
      <w:lvlJc w:val="left"/>
      <w:lvlText w:val="4"/>
      <w:numFmt w:val="bullet"/>
      <w:start w:val="1"/>
    </w:lvl>
  </w:abstractNum>
  <w:abstractNum w:abstractNumId="53">
    <w:nsid w:val="15B5AF5C"/>
    <w:multiLevelType w:val="hybridMultilevel"/>
    <w:lvl w:ilvl="0">
      <w:lvlJc w:val="left"/>
      <w:lvlText w:val="5"/>
      <w:numFmt w:val="bullet"/>
      <w:start w:val="1"/>
    </w:lvl>
    <w:lvl w:ilvl="1">
      <w:lvlJc w:val="left"/>
      <w:lvlText w:val="(%2)"/>
      <w:numFmt w:val="lowerLetter"/>
      <w:start w:val="1"/>
    </w:lvl>
  </w:abstractNum>
  <w:abstractNum w:abstractNumId="54">
    <w:nsid w:val="741226BB"/>
    <w:multiLevelType w:val="hybridMultilevel"/>
    <w:lvl w:ilvl="0">
      <w:lvlJc w:val="left"/>
      <w:lvlText w:val="(%1)"/>
      <w:numFmt w:val="lowerLetter"/>
      <w:start w:val="2"/>
    </w:lvl>
  </w:abstractNum>
  <w:abstractNum w:abstractNumId="55">
    <w:nsid w:val="D34B6A8"/>
    <w:multiLevelType w:val="hybridMultilevel"/>
    <w:lvl w:ilvl="0">
      <w:lvlJc w:val="left"/>
      <w:lvlText w:val="6"/>
      <w:numFmt w:val="bullet"/>
      <w:start w:val="1"/>
    </w:lvl>
  </w:abstractNum>
  <w:abstractNum w:abstractNumId="56">
    <w:nsid w:val="10233C99"/>
    <w:multiLevelType w:val="hybridMultilevel"/>
    <w:lvl w:ilvl="0">
      <w:lvlJc w:val="left"/>
      <w:lvlText w:val="7"/>
      <w:numFmt w:val="bullet"/>
      <w:start w:val="1"/>
    </w:lvl>
    <w:lvl w:ilvl="1">
      <w:lvlJc w:val="left"/>
      <w:lvlText w:val="(%2)"/>
      <w:numFmt w:val="lowerLetter"/>
      <w:start w:val="1"/>
    </w:lvl>
  </w:abstractNum>
  <w:abstractNum w:abstractNumId="57">
    <w:nsid w:val="3F6AB60F"/>
    <w:multiLevelType w:val="hybridMultilevel"/>
    <w:lvl w:ilvl="0">
      <w:lvlJc w:val="left"/>
      <w:lvlText w:val="8"/>
      <w:numFmt w:val="bullet"/>
      <w:start w:val="1"/>
    </w:lvl>
  </w:abstractNum>
  <w:abstractNum w:abstractNumId="58">
    <w:nsid w:val="61574095"/>
    <w:multiLevelType w:val="hybridMultilevel"/>
    <w:lvl w:ilvl="0">
      <w:lvlJc w:val="left"/>
      <w:lvlText w:val="9"/>
      <w:numFmt w:val="bullet"/>
      <w:start w:val="1"/>
    </w:lvl>
  </w:abstractNum>
  <w:abstractNum w:abstractNumId="59">
    <w:nsid w:val="7E0C57B1"/>
    <w:multiLevelType w:val="hybridMultilevel"/>
    <w:lvl w:ilvl="0">
      <w:lvlJc w:val="left"/>
      <w:lvlText w:val="%1"/>
      <w:numFmt w:val="lowerLetter"/>
      <w:start w:val="1"/>
    </w:lvl>
    <w:lvl w:ilvl="1">
      <w:lvlJc w:val="left"/>
      <w:lvlText w:val="%2"/>
      <w:numFmt w:val="decimal"/>
      <w:start w:val="10"/>
    </w:lvl>
  </w:abstractNum>
  <w:abstractNum w:abstractNumId="60">
    <w:nsid w:val="77AE35EB"/>
    <w:multiLevelType w:val="hybridMultilevel"/>
    <w:lvl w:ilvl="0">
      <w:lvlJc w:val="left"/>
      <w:lvlText w:val="(%1)"/>
      <w:numFmt w:val="lowerLetter"/>
      <w:start w:val="2"/>
    </w:lvl>
    <w:lvl w:ilvl="1">
      <w:lvlJc w:val="left"/>
      <w:lvlText w:val="%2"/>
      <w:numFmt w:val="decimal"/>
      <w:start w:val="13"/>
    </w:lvl>
  </w:abstractNum>
  <w:abstractNum w:abstractNumId="61">
    <w:nsid w:val="579BE4F1"/>
    <w:multiLevelType w:val="hybridMultilevel"/>
    <w:lvl w:ilvl="0">
      <w:lvlJc w:val="left"/>
      <w:lvlText w:val="%1"/>
      <w:numFmt w:val="decimal"/>
      <w:start w:val="18"/>
    </w:lvl>
  </w:abstractNum>
  <w:abstractNum w:abstractNumId="62">
    <w:nsid w:val="310C50B3"/>
    <w:multiLevelType w:val="hybridMultilevel"/>
    <w:lvl w:ilvl="0">
      <w:lvlJc w:val="left"/>
      <w:lvlText w:val="%1."/>
      <w:numFmt w:val="decimal"/>
      <w:start w:val="21"/>
    </w:lvl>
  </w:abstractNum>
  <w:abstractNum w:abstractNumId="63">
    <w:nsid w:val="5FF87E05"/>
    <w:multiLevelType w:val="hybridMultilevel"/>
    <w:lvl w:ilvl="0">
      <w:lvlJc w:val="left"/>
      <w:lvlText w:val="%1."/>
      <w:numFmt w:val="decimal"/>
      <w:start w:val="1"/>
    </w:lvl>
    <w:lvl w:ilvl="1">
      <w:lvlJc w:val="left"/>
      <w:lvlText w:val="(%2)"/>
      <w:numFmt w:val="lowerLetter"/>
      <w:start w:val="1"/>
    </w:lvl>
  </w:abstractNum>
  <w:abstractNum w:abstractNumId="64">
    <w:nsid w:val="2F305DE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2024-08-13T16:10:28Z</dcterms:created>
  <dcterms:modified xsi:type="dcterms:W3CDTF">2024-08-13T16:10:28Z</dcterms:modified>
</cp:coreProperties>
</file>