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911860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980440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161290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300" w:right="79" w:hanging="250"/>
        <w:spacing w:after="0" w:line="245" w:lineRule="auto"/>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ind w:left="3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30, 2022</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00" w:right="79" w:hanging="250"/>
        <w:spacing w:after="0" w:line="260" w:lineRule="auto"/>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9019"/>
          </w:cols>
          <w:pgMar w:left="1440" w:top="1440" w:right="1440" w:bottom="1440" w:gutter="0" w:footer="0" w:header="0"/>
        </w:sectPr>
      </w:pPr>
    </w:p>
    <w:p>
      <w:pPr>
        <w:ind w:left="300"/>
        <w:spacing w:after="0" w:line="235" w:lineRule="auto"/>
        <w:tabs>
          <w:tab w:leader="none" w:pos="3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9019"/>
          </w:cols>
          <w:pgMar w:left="1440" w:top="1440" w:right="1440" w:bottom="1440" w:gutter="0" w:footer="0" w:header="0"/>
          <w:type w:val="continuous"/>
        </w:sectPr>
      </w:pPr>
    </w:p>
    <w:p>
      <w:pPr>
        <w:spacing w:after="0" w:line="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019"/>
          </w:cols>
          <w:pgMar w:left="1440" w:top="1440" w:right="1440"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019"/>
          </w:cols>
          <w:pgMar w:left="1440" w:top="1440" w:right="1440" w:bottom="1440" w:gutter="0" w:footer="0" w:header="0"/>
          <w:type w:val="continuous"/>
        </w:sectPr>
      </w:pPr>
    </w:p>
    <w:p>
      <w:pPr>
        <w:spacing w:after="0" w:line="11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(State or Other Jurisdiction of</w:t>
      </w:r>
    </w:p>
    <w:p>
      <w:pPr>
        <w:ind w:left="1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83-2533239</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No.)</w:t>
      </w:r>
    </w:p>
    <w:p>
      <w:pPr>
        <w:spacing w:after="0" w:line="3" w:lineRule="exact"/>
        <w:rPr>
          <w:sz w:val="24"/>
          <w:szCs w:val="24"/>
          <w:color w:val="auto"/>
        </w:rPr>
      </w:pPr>
    </w:p>
    <w:p>
      <w:pPr>
        <w:sectPr>
          <w:pgSz w:w="11900" w:h="16838" w:orient="portrait"/>
          <w:cols w:equalWidth="0" w:num="2">
            <w:col w:w="6100" w:space="720"/>
            <w:col w:w="2199"/>
          </w:cols>
          <w:pgMar w:left="1440" w:top="1440"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2300 Hallock Young Road</w:t>
      </w:r>
    </w:p>
    <w:p>
      <w:pPr>
        <w:jc w:val="center"/>
        <w:ind w:right="1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019"/>
          </w:cols>
          <w:pgMar w:left="1440" w:top="1440" w:right="1440" w:bottom="1440" w:gutter="0" w:footer="0" w:header="0"/>
          <w:type w:val="continuous"/>
        </w:sect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7"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980" w:type="dxa"/>
            <w:vAlign w:val="bottom"/>
            <w:vMerge w:val="restart"/>
          </w:tcPr>
          <w:p>
            <w:pPr>
              <w:spacing w:after="0"/>
              <w:rPr>
                <w:sz w:val="18"/>
                <w:szCs w:val="18"/>
                <w:color w:val="auto"/>
              </w:rPr>
            </w:pPr>
          </w:p>
        </w:tc>
        <w:tc>
          <w:tcPr>
            <w:tcW w:w="2540" w:type="dxa"/>
            <w:vAlign w:val="bottom"/>
            <w:gridSpan w:val="3"/>
            <w:vMerge w:val="restart"/>
          </w:tcPr>
          <w:p>
            <w:pPr>
              <w:jc w:val="center"/>
              <w:ind w:right="460"/>
              <w:spacing w:after="0"/>
              <w:rPr>
                <w:sz w:val="20"/>
                <w:szCs w:val="20"/>
                <w:color w:val="auto"/>
              </w:rPr>
            </w:pPr>
            <w:r>
              <w:rPr>
                <w:rFonts w:ascii="Arial" w:cs="Arial" w:eastAsia="Arial" w:hAnsi="Arial"/>
                <w:sz w:val="18"/>
                <w:szCs w:val="18"/>
                <w:b w:val="1"/>
                <w:bCs w:val="1"/>
                <w:color w:val="auto"/>
                <w:w w:val="98"/>
              </w:rPr>
              <w:t>Trading symbol</w:t>
            </w:r>
          </w:p>
        </w:tc>
        <w:tc>
          <w:tcPr>
            <w:tcW w:w="29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540" w:type="dxa"/>
            <w:vAlign w:val="bottom"/>
            <w:gridSpan w:val="3"/>
            <w:vMerge w:val="continue"/>
          </w:tcPr>
          <w:p>
            <w:pPr>
              <w:spacing w:after="0"/>
              <w:rPr>
                <w:sz w:val="15"/>
                <w:szCs w:val="15"/>
                <w:color w:val="auto"/>
              </w:rPr>
            </w:pPr>
          </w:p>
        </w:tc>
        <w:tc>
          <w:tcPr>
            <w:tcW w:w="2880" w:type="dxa"/>
            <w:vAlign w:val="bottom"/>
            <w:tcBorders>
              <w:top w:val="single" w:sz="8" w:color="auto"/>
            </w:tcBorders>
            <w:gridSpan w:val="3"/>
          </w:tcPr>
          <w:p>
            <w:pPr>
              <w:jc w:val="center"/>
              <w:ind w:right="2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9"/>
              </w:rPr>
              <w:t>Class A Common Stock, $0.0001</w:t>
            </w:r>
          </w:p>
        </w:tc>
        <w:tc>
          <w:tcPr>
            <w:tcW w:w="380" w:type="dxa"/>
            <w:vAlign w:val="bottom"/>
          </w:tcPr>
          <w:p>
            <w:pPr>
              <w:spacing w:after="0"/>
              <w:rPr>
                <w:sz w:val="16"/>
                <w:szCs w:val="16"/>
                <w:color w:val="auto"/>
              </w:rPr>
            </w:pPr>
          </w:p>
        </w:tc>
        <w:tc>
          <w:tcPr>
            <w:tcW w:w="2160" w:type="dxa"/>
            <w:vAlign w:val="bottom"/>
            <w:gridSpan w:val="2"/>
          </w:tcPr>
          <w:p>
            <w:pPr>
              <w:jc w:val="center"/>
              <w:ind w:right="840"/>
              <w:spacing w:after="0" w:line="191" w:lineRule="exact"/>
              <w:rPr>
                <w:sz w:val="20"/>
                <w:szCs w:val="20"/>
                <w:color w:val="auto"/>
              </w:rPr>
            </w:pPr>
            <w:r>
              <w:rPr>
                <w:rFonts w:ascii="Arial" w:cs="Arial" w:eastAsia="Arial" w:hAnsi="Arial"/>
                <w:sz w:val="18"/>
                <w:szCs w:val="18"/>
                <w:b w:val="1"/>
                <w:bCs w:val="1"/>
                <w:color w:val="auto"/>
              </w:rPr>
              <w:t>RIDE</w:t>
            </w: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00" w:type="dxa"/>
            <w:vAlign w:val="bottom"/>
          </w:tcPr>
          <w:p>
            <w:pPr>
              <w:spacing w:after="0"/>
              <w:rPr>
                <w:sz w:val="21"/>
                <w:szCs w:val="21"/>
                <w:color w:val="auto"/>
              </w:rPr>
            </w:pPr>
          </w:p>
        </w:tc>
        <w:tc>
          <w:tcPr>
            <w:tcW w:w="2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 Value</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NASDAQ</w:t>
            </w:r>
          </w:p>
        </w:tc>
        <w:tc>
          <w:tcPr>
            <w:tcW w:w="0" w:type="dxa"/>
            <w:vAlign w:val="bottom"/>
          </w:tcPr>
          <w:p>
            <w:pPr>
              <w:spacing w:after="0"/>
              <w:rPr>
                <w:sz w:val="1"/>
                <w:szCs w:val="1"/>
                <w:color w:val="auto"/>
              </w:rPr>
            </w:pPr>
          </w:p>
        </w:tc>
      </w:tr>
    </w:tbl>
    <w:p>
      <w:pPr>
        <w:spacing w:after="0" w:line="168" w:lineRule="exact"/>
        <w:rPr>
          <w:sz w:val="24"/>
          <w:szCs w:val="24"/>
          <w:color w:val="auto"/>
        </w:rPr>
      </w:pPr>
    </w:p>
    <w:p>
      <w:pPr>
        <w:ind w:left="60" w:right="199" w:firstLine="324"/>
        <w:spacing w:after="0" w:line="176"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479" w:firstLine="324"/>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339" w:firstLine="324"/>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440" w:right="1440" w:bottom="1440" w:gutter="0" w:footer="0" w:header="0"/>
          <w:type w:val="continuous"/>
        </w:sectPr>
      </w:pPr>
    </w:p>
    <w:p>
      <w:pPr>
        <w:spacing w:after="0" w:line="203"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3060" w:space="720"/>
            <w:col w:w="2180" w:space="720"/>
            <w:col w:w="2339"/>
          </w:cols>
          <w:pgMar w:left="1440" w:top="1440" w:right="1440" w:bottom="1440" w:gutter="0" w:footer="0" w:header="0"/>
          <w:type w:val="continuous"/>
        </w:sectPr>
      </w:pPr>
    </w:p>
    <w:p>
      <w:pPr>
        <w:ind w:left="13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2">
            <w:col w:w="5140" w:space="720"/>
            <w:col w:w="3159"/>
          </w:cols>
          <w:pgMar w:left="1440" w:top="1440" w:right="1440" w:bottom="1440" w:gutter="0" w:footer="0" w:header="0"/>
          <w:type w:val="continuous"/>
        </w:sectPr>
      </w:pPr>
    </w:p>
    <w:p>
      <w:pPr>
        <w:ind w:left="60" w:right="519" w:firstLine="324"/>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380" w:right="619"/>
        <w:spacing w:after="0" w:line="22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7, 2022, 216,976,245 shares of the registrant’s Class A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65405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60" w:type="dxa"/>
            <w:vAlign w:val="bottom"/>
            <w:gridSpan w:val="14"/>
          </w:tcPr>
          <w:p>
            <w:pPr>
              <w:jc w:val="center"/>
              <w:ind w:right="1960"/>
              <w:spacing w:after="0"/>
              <w:rPr>
                <w:sz w:val="20"/>
                <w:szCs w:val="20"/>
                <w:color w:val="auto"/>
              </w:rPr>
            </w:pPr>
            <w:r>
              <w:rPr>
                <w:rFonts w:ascii="Arial" w:cs="Arial" w:eastAsia="Arial" w:hAnsi="Arial"/>
                <w:sz w:val="18"/>
                <w:szCs w:val="18"/>
                <w:b w:val="1"/>
                <w:bCs w:val="1"/>
                <w:color w:val="auto"/>
                <w:w w:val="98"/>
              </w:rPr>
              <w:t>LORDSTOWN MOTORS CORP.</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0" w:type="dxa"/>
            <w:vAlign w:val="bottom"/>
            <w:gridSpan w:val="24"/>
            <w:vMerge w:val="restart"/>
          </w:tcPr>
          <w:p>
            <w:pPr>
              <w:spacing w:after="0"/>
              <w:rPr>
                <w:sz w:val="20"/>
                <w:szCs w:val="20"/>
                <w:color w:val="auto"/>
              </w:rPr>
            </w:pPr>
            <w:r>
              <w:rPr>
                <w:rFonts w:ascii="Arial" w:cs="Arial" w:eastAsia="Arial" w:hAnsi="Arial"/>
                <w:sz w:val="18"/>
                <w:szCs w:val="18"/>
                <w:color w:val="0000EE"/>
              </w:rPr>
              <w:t>PART I FINANCIAL INFORMATION</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0" w:type="dxa"/>
            <w:vAlign w:val="bottom"/>
            <w:gridSpan w:val="24"/>
            <w:vMerge w:val="continue"/>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21"/>
          </w:tcPr>
          <w:p>
            <w:pPr>
              <w:spacing w:after="0"/>
              <w:rPr>
                <w:sz w:val="20"/>
                <w:szCs w:val="20"/>
                <w:color w:val="auto"/>
              </w:rPr>
            </w:pPr>
            <w:r>
              <w:rPr>
                <w:rFonts w:ascii="Arial" w:cs="Arial" w:eastAsia="Arial" w:hAnsi="Arial"/>
                <w:sz w:val="18"/>
                <w:szCs w:val="18"/>
                <w:color w:val="0000EE"/>
              </w:rPr>
              <w:t>Financial Statements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Balance Sheets as of September 30, 2022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December 31, 2021</w:t>
            </w:r>
          </w:p>
        </w:tc>
        <w:tc>
          <w:tcPr>
            <w:tcW w:w="4220" w:type="dxa"/>
            <w:vAlign w:val="bottom"/>
            <w:tcBorders>
              <w:top w:val="single" w:sz="8" w:color="0000EE"/>
            </w:tcBorders>
            <w:gridSpan w:val="10"/>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Operations for the three and nine months</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ended September 30, 2022 and 2021</w:t>
            </w:r>
          </w:p>
        </w:tc>
        <w:tc>
          <w:tcPr>
            <w:tcW w:w="3520" w:type="dxa"/>
            <w:vAlign w:val="bottom"/>
            <w:tcBorders>
              <w:top w:val="single" w:sz="8" w:color="0000EE"/>
            </w:tcBorders>
            <w:gridSpan w:val="8"/>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Stockholders’ Equity/(Deficit) for the three</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6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and nine months ended September 30, 2022 and 2021</w:t>
            </w:r>
          </w:p>
        </w:tc>
        <w:tc>
          <w:tcPr>
            <w:tcW w:w="2180" w:type="dxa"/>
            <w:vAlign w:val="bottom"/>
            <w:tcBorders>
              <w:top w:val="single" w:sz="8" w:color="0000EE"/>
            </w:tcBorders>
            <w:gridSpan w:val="8"/>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Cash Flows for the nine months ended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September 30, 2022 and 2021</w:t>
            </w:r>
          </w:p>
        </w:tc>
        <w:tc>
          <w:tcPr>
            <w:tcW w:w="540" w:type="dxa"/>
            <w:vAlign w:val="bottom"/>
            <w:gridSpan w:val="3"/>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6840" w:type="dxa"/>
            <w:vAlign w:val="bottom"/>
            <w:gridSpan w:val="21"/>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Operations</w:t>
            </w:r>
          </w:p>
        </w:tc>
        <w:tc>
          <w:tcPr>
            <w:tcW w:w="5260" w:type="dxa"/>
            <w:vAlign w:val="bottom"/>
            <w:tcBorders>
              <w:top w:val="single" w:sz="8" w:color="0000EE"/>
            </w:tcBorders>
            <w:gridSpan w:val="15"/>
          </w:tcPr>
          <w:p>
            <w:pPr>
              <w:spacing w:after="0"/>
              <w:rPr>
                <w:sz w:val="15"/>
                <w:szCs w:val="15"/>
                <w:color w:val="auto"/>
              </w:rPr>
            </w:pPr>
          </w:p>
        </w:tc>
        <w:tc>
          <w:tcPr>
            <w:tcW w:w="700" w:type="dxa"/>
            <w:vAlign w:val="bottom"/>
            <w:gridSpan w:val="4"/>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6840" w:type="dxa"/>
            <w:vAlign w:val="bottom"/>
            <w:gridSpan w:val="2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6840" w:type="dxa"/>
            <w:vAlign w:val="bottom"/>
            <w:gridSpan w:val="21"/>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8000" w:type="dxa"/>
            <w:vAlign w:val="bottom"/>
            <w:gridSpan w:val="24"/>
          </w:tcPr>
          <w:p>
            <w:pPr>
              <w:spacing w:after="0"/>
              <w:rPr>
                <w:sz w:val="20"/>
                <w:szCs w:val="20"/>
                <w:color w:val="auto"/>
              </w:rPr>
            </w:pPr>
            <w:r>
              <w:rPr>
                <w:rFonts w:ascii="Arial" w:cs="Arial" w:eastAsia="Arial" w:hAnsi="Arial"/>
                <w:sz w:val="18"/>
                <w:szCs w:val="18"/>
                <w:color w:val="0000EE"/>
              </w:rPr>
              <w:t>PART II OTHER INFORMATION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684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440" w:type="dxa"/>
            <w:vAlign w:val="bottom"/>
            <w:tcBorders>
              <w:left w:val="single" w:sz="8" w:color="0000EE"/>
            </w:tcBorders>
            <w:gridSpan w:val="11"/>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684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4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684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7"/>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740" w:type="dxa"/>
            <w:vAlign w:val="bottom"/>
            <w:gridSpan w:val="11"/>
          </w:tcPr>
          <w:p>
            <w:pPr>
              <w:jc w:val="center"/>
              <w:ind w:left="147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8" w:right="1440" w:bottom="1440" w:gutter="0" w:footer="0" w:header="0"/>
        </w:sectPr>
      </w:pPr>
    </w:p>
    <w:bookmarkStart w:id="2" w:name="page3"/>
    <w:bookmarkEnd w:id="2"/>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18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our Annual Report on Form 10-K for the year ended December 31, 2021, as filed with the SEC on February 28, 2022 (the “Form 10-K”), and in subsequent reports that we file with the Securities and Exchange Commission (the “SEC”), including this Form 10-Q for the quarter ended September 30, 2022, as well as the following:</w:t>
      </w:r>
    </w:p>
    <w:p>
      <w:pPr>
        <w:spacing w:after="0" w:line="189" w:lineRule="exact"/>
        <w:rPr>
          <w:sz w:val="20"/>
          <w:szCs w:val="20"/>
          <w:color w:val="auto"/>
        </w:rPr>
      </w:pPr>
    </w:p>
    <w:p>
      <w:pPr>
        <w:ind w:left="720" w:right="139" w:hanging="319"/>
        <w:spacing w:after="0"/>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continue as a going concern, which requires us to manage costs, obtain significant additional funding to execute our business plan, achieve scaled production of the Endurance and develop any additional vehicle programs, and our ability to raise such funding on a reasonable timeline and with suitable terms;</w:t>
      </w:r>
    </w:p>
    <w:p>
      <w:pPr>
        <w:ind w:left="720" w:right="7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raise sufficient capital, including under the financing arrangements we have established, in order to invest in the tooling that we expect will enable us to eventually lower the Endurance bill of materials cost, continue design enhancements of the Endurance and fund any future vehicles we may develop;</w:t>
      </w:r>
    </w:p>
    <w:p>
      <w:pPr>
        <w:spacing w:after="0" w:line="2" w:lineRule="exact"/>
        <w:rPr>
          <w:rFonts w:ascii="Times New Roman" w:cs="Times New Roman" w:eastAsia="Times New Roman" w:hAnsi="Times New Roman"/>
          <w:sz w:val="16"/>
          <w:szCs w:val="16"/>
          <w:color w:val="auto"/>
        </w:rPr>
      </w:pPr>
    </w:p>
    <w:p>
      <w:pPr>
        <w:ind w:left="720" w:right="13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the cost and other impacts of contingent liabilities, such as extensive current and future litigation, claims, regulatory proceedings, investigations, complaints, product liability claims, stockholder demand letters,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 (See Note 5 – Commitments and Contingencies);</w:t>
      </w:r>
    </w:p>
    <w:p>
      <w:pPr>
        <w:spacing w:after="0" w:line="4" w:lineRule="exact"/>
        <w:rPr>
          <w:rFonts w:ascii="Times New Roman" w:cs="Times New Roman" w:eastAsia="Times New Roman" w:hAnsi="Times New Roman"/>
          <w:sz w:val="16"/>
          <w:szCs w:val="16"/>
          <w:color w:val="auto"/>
        </w:rPr>
      </w:pPr>
    </w:p>
    <w:p>
      <w:pPr>
        <w:ind w:left="720" w:right="119" w:hanging="319"/>
        <w:spacing w:after="0" w:line="236"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effectively implement and realize the benefits from our recently completed transactions and agreements with Foxconn (as defined below) under the Asset Purchase Agreement (as defined below), the Contract Manufacturing Agreement (as defined below) and the Investment Agreement (as defined below), which depend on many variables that could include regulatory approval and other closing conditions, our ability to utilize the designs, engineering data and other foundational work of Foxconn, its affiliates, and other members of the MIH consortium as well as other parties, for all such parties to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 and the funding under the Investment Agreement is subject to regulatory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 w:name="page4"/>
    <w:bookmarkEnd w:id="3"/>
    <w:p>
      <w:pPr>
        <w:ind w:left="720" w:right="379"/>
        <w:spacing w:after="0" w:line="245" w:lineRule="auto"/>
        <w:rPr>
          <w:sz w:val="20"/>
          <w:szCs w:val="20"/>
          <w:color w:val="auto"/>
        </w:rPr>
      </w:pPr>
      <w:r>
        <w:rPr>
          <w:rFonts w:ascii="Arial" w:cs="Arial" w:eastAsia="Arial" w:hAnsi="Arial"/>
          <w:sz w:val="18"/>
          <w:szCs w:val="18"/>
          <w:color w:val="auto"/>
        </w:rPr>
        <w:t>approval and other closing conditions (See Note 1 — Organization and Description of Business and Basis of Presentation and Note 8 – Subsequent Events);</w:t>
      </w:r>
    </w:p>
    <w:p>
      <w:pPr>
        <w:ind w:left="720" w:right="3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execute our business plan, expansion plans, strategic alliances and other opportunities, including development and market acceptance of our planned products;</w:t>
      </w:r>
    </w:p>
    <w:p>
      <w:pPr>
        <w:spacing w:after="0" w:line="1" w:lineRule="exact"/>
        <w:rPr>
          <w:rFonts w:ascii="Times New Roman" w:cs="Times New Roman" w:eastAsia="Times New Roman" w:hAnsi="Times New Roman"/>
          <w:sz w:val="16"/>
          <w:szCs w:val="16"/>
          <w:color w:val="auto"/>
        </w:rPr>
      </w:pPr>
    </w:p>
    <w:p>
      <w:pPr>
        <w:ind w:left="720" w:right="27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the ability to ensure the completion of tooling, establish and maintain appropriate supplier relationships, successfully complete testing, homologation and certification and continue ramp of commercial production (which is currently expected to be slow) and start delivery of the Endurance, in accordance with our projected timeline;</w:t>
      </w:r>
    </w:p>
    <w:p>
      <w:pPr>
        <w:spacing w:after="0" w:line="3" w:lineRule="exact"/>
        <w:rPr>
          <w:rFonts w:ascii="Times New Roman" w:cs="Times New Roman" w:eastAsia="Times New Roman" w:hAnsi="Times New Roman"/>
          <w:sz w:val="16"/>
          <w:szCs w:val="16"/>
          <w:color w:val="auto"/>
        </w:rPr>
      </w:pPr>
    </w:p>
    <w:p>
      <w:pPr>
        <w:ind w:left="720" w:right="9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source and maintain suppliers for our critical components and the terms of such arrangements, and our ability to complete building out our supply chain;</w:t>
      </w:r>
    </w:p>
    <w:p>
      <w:pPr>
        <w:spacing w:after="0" w:line="1" w:lineRule="exact"/>
        <w:rPr>
          <w:rFonts w:ascii="Times New Roman" w:cs="Times New Roman" w:eastAsia="Times New Roman" w:hAnsi="Times New Roman"/>
          <w:sz w:val="16"/>
          <w:szCs w:val="16"/>
          <w:color w:val="auto"/>
        </w:rPr>
      </w:pPr>
    </w:p>
    <w:p>
      <w:pPr>
        <w:ind w:left="720" w:right="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availability and cost of raw materials and components, particularly in light of current supply chain disruptions and labor concerns, inflation, and the consequences of such shortages on testing and other activities, which could present challenges that impact the timing of our commercial production;</w:t>
      </w:r>
    </w:p>
    <w:p>
      <w:pPr>
        <w:spacing w:after="0" w:line="2" w:lineRule="exact"/>
        <w:rPr>
          <w:rFonts w:ascii="Times New Roman" w:cs="Times New Roman" w:eastAsia="Times New Roman" w:hAnsi="Times New Roman"/>
          <w:sz w:val="16"/>
          <w:szCs w:val="16"/>
          <w:color w:val="auto"/>
        </w:rPr>
      </w:pPr>
    </w:p>
    <w:p>
      <w:pPr>
        <w:ind w:left="720" w:right="2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successfully identify and implement actions that will lower the Endurance bill of materials cost, including sourcing benefits anticipated from our relationship with Foxconn;</w:t>
      </w:r>
    </w:p>
    <w:p>
      <w:pPr>
        <w:spacing w:after="0" w:line="1" w:lineRule="exact"/>
        <w:rPr>
          <w:rFonts w:ascii="Times New Roman" w:cs="Times New Roman" w:eastAsia="Times New Roman" w:hAnsi="Times New Roman"/>
          <w:sz w:val="16"/>
          <w:szCs w:val="16"/>
          <w:color w:val="auto"/>
        </w:rPr>
      </w:pPr>
    </w:p>
    <w:p>
      <w:pPr>
        <w:ind w:left="720" w:right="299" w:hanging="319"/>
        <w:spacing w:after="0" w:line="248" w:lineRule="auto"/>
        <w:tabs>
          <w:tab w:leader="none" w:pos="72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Times New Roman" w:cs="Times New Roman" w:eastAsia="Times New Roman" w:hAnsi="Times New Roman"/>
          <w:sz w:val="15"/>
          <w:szCs w:val="15"/>
          <w:color w:val="auto"/>
        </w:rPr>
      </w:pPr>
    </w:p>
    <w:p>
      <w:pPr>
        <w:jc w:val="both"/>
        <w:ind w:left="720" w:right="1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after sale service, support and warranty coverage that they will require;</w:t>
      </w:r>
    </w:p>
    <w:p>
      <w:pPr>
        <w:spacing w:after="0" w:line="2"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risk that our technology, including our hub motors, do not perform as expected;</w:t>
      </w:r>
    </w:p>
    <w:p>
      <w:pPr>
        <w:ind w:left="720" w:right="2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Times New Roman" w:cs="Times New Roman" w:eastAsia="Times New Roman" w:hAnsi="Times New Roman"/>
          <w:sz w:val="16"/>
          <w:szCs w:val="16"/>
          <w:color w:val="auto"/>
        </w:rPr>
      </w:pPr>
    </w:p>
    <w:p>
      <w:pPr>
        <w:ind w:left="720" w:right="3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remain in compliance with our financing covenants and the risks associated with having pledged significant assets as collateral for recently incurred indebtedness;</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attract and retain key personnel and hire additional personnel;</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Times New Roman" w:cs="Times New Roman" w:eastAsia="Times New Roman" w:hAnsi="Times New Roman"/>
          <w:sz w:val="16"/>
          <w:szCs w:val="16"/>
          <w:color w:val="auto"/>
        </w:rPr>
      </w:pPr>
    </w:p>
    <w:p>
      <w:pPr>
        <w:ind w:left="720" w:right="6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required regulatory approvals and changes in laws, regulatory requirements, interpretations of existing law, governmental incentives and fuel and energy prices;</w:t>
      </w:r>
    </w:p>
    <w:p>
      <w:pPr>
        <w:spacing w:after="0" w:line="1" w:lineRule="exact"/>
        <w:rPr>
          <w:rFonts w:ascii="Times New Roman" w:cs="Times New Roman" w:eastAsia="Times New Roman" w:hAnsi="Times New Roman"/>
          <w:sz w:val="16"/>
          <w:szCs w:val="16"/>
          <w:color w:val="auto"/>
        </w:rPr>
      </w:pPr>
    </w:p>
    <w:p>
      <w:pPr>
        <w:ind w:left="720" w:right="1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cybersecurity threats and breaches and compliance with privacy and data protection laws;</w:t>
      </w:r>
    </w:p>
    <w:p>
      <w:pPr>
        <w:ind w:left="720" w:right="2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 w:lineRule="exact"/>
        <w:rPr>
          <w:rFonts w:ascii="Times New Roman" w:cs="Times New Roman" w:eastAsia="Times New Roman" w:hAnsi="Times New Roman"/>
          <w:sz w:val="16"/>
          <w:szCs w:val="16"/>
          <w:color w:val="auto"/>
        </w:rPr>
      </w:pPr>
    </w:p>
    <w:p>
      <w:pPr>
        <w:ind w:left="720" w:right="539" w:hanging="319"/>
        <w:spacing w:after="0" w:line="242"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possibility that we may be adversely affected by other economic, geopolitical, business and/or competitive factors, including rising interest rates and the direct and indirect effects of the war in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 w:name="page5"/>
    <w:bookmarkEnd w:id="4"/>
    <w:p>
      <w:pPr>
        <w:jc w:val="center"/>
        <w:ind w:right="36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Balance Sheets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(in thousands except for share data)</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2022</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220" w:type="dxa"/>
            <w:vAlign w:val="bottom"/>
            <w:tcBorders>
              <w:top w:val="single" w:sz="8" w:color="CCEEFF"/>
            </w:tcBorders>
            <w:shd w:val="clear" w:color="auto" w:fill="CCEEFF"/>
          </w:tcPr>
          <w:p>
            <w:pPr>
              <w:ind w:left="262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154,232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49,304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Inventory, net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11,180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37,462</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47,121</w:t>
            </w:r>
          </w:p>
        </w:tc>
      </w:tr>
      <w:tr>
        <w:trPr>
          <w:trHeight w:val="196"/>
        </w:trPr>
        <w:tc>
          <w:tcPr>
            <w:tcW w:w="62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252,178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291,137</w:t>
            </w: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220,020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382,746</w:t>
            </w: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6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27,882</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13,900</w:t>
            </w:r>
          </w:p>
        </w:tc>
      </w:tr>
      <w:tr>
        <w:trPr>
          <w:trHeight w:val="196"/>
        </w:trPr>
        <w:tc>
          <w:tcPr>
            <w:tcW w:w="62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501,080</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r>
        <w:trPr>
          <w:trHeight w:val="196"/>
        </w:trPr>
        <w:tc>
          <w:tcPr>
            <w:tcW w:w="6220" w:type="dxa"/>
            <w:vAlign w:val="bottom"/>
          </w:tcPr>
          <w:p>
            <w:pPr>
              <w:ind w:left="10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15,634</w:t>
            </w:r>
          </w:p>
        </w:tc>
        <w:tc>
          <w:tcPr>
            <w:tcW w:w="220" w:type="dxa"/>
            <w:vAlign w:val="bottom"/>
          </w:tcPr>
          <w:p>
            <w:pPr>
              <w:spacing w:after="0"/>
              <w:rPr>
                <w:sz w:val="17"/>
                <w:szCs w:val="17"/>
                <w:color w:val="auto"/>
              </w:rPr>
            </w:pPr>
          </w:p>
        </w:tc>
        <w:tc>
          <w:tcPr>
            <w:tcW w:w="3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12,098</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57,014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35,507</w:t>
            </w: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Purchase price down payment from Foxconn</w:t>
            </w:r>
          </w:p>
        </w:tc>
        <w:tc>
          <w:tcPr>
            <w:tcW w:w="3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Note payable to Foxconn</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2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360" w:type="dxa"/>
            <w:vAlign w:val="bottom"/>
          </w:tcPr>
          <w:p>
            <w:pPr>
              <w:jc w:val="right"/>
              <w:ind w:right="17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86,148</w:t>
            </w:r>
          </w:p>
        </w:tc>
        <w:tc>
          <w:tcPr>
            <w:tcW w:w="220" w:type="dxa"/>
            <w:vAlign w:val="bottom"/>
          </w:tcPr>
          <w:p>
            <w:pPr>
              <w:spacing w:after="0"/>
              <w:rPr>
                <w:sz w:val="17"/>
                <w:szCs w:val="17"/>
                <w:color w:val="auto"/>
              </w:rPr>
            </w:pPr>
          </w:p>
        </w:tc>
        <w:tc>
          <w:tcPr>
            <w:tcW w:w="300" w:type="dxa"/>
            <w:vAlign w:val="bottom"/>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147,605</w:t>
            </w: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 and other non-current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2,495</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1,578</w:t>
            </w:r>
          </w:p>
        </w:tc>
      </w:tr>
      <w:tr>
        <w:trPr>
          <w:trHeight w:val="196"/>
        </w:trPr>
        <w:tc>
          <w:tcPr>
            <w:tcW w:w="622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88,643</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149,183</w:t>
            </w:r>
          </w:p>
        </w:tc>
      </w:tr>
      <w:tr>
        <w:trPr>
          <w:trHeight w:val="196"/>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4"/>
        </w:trPr>
        <w:tc>
          <w:tcPr>
            <w:tcW w:w="6220" w:type="dxa"/>
            <w:vAlign w:val="bottom"/>
          </w:tcPr>
          <w:p>
            <w:pPr>
              <w:ind w:left="120"/>
              <w:spacing w:after="0" w:line="183" w:lineRule="exact"/>
              <w:rPr>
                <w:sz w:val="20"/>
                <w:szCs w:val="20"/>
                <w:color w:val="auto"/>
              </w:rPr>
            </w:pPr>
            <w:r>
              <w:rPr>
                <w:rFonts w:ascii="Arial" w:cs="Arial" w:eastAsia="Arial" w:hAnsi="Arial"/>
                <w:sz w:val="18"/>
                <w:szCs w:val="18"/>
                <w:color w:val="auto"/>
              </w:rPr>
              <w:t>Class A common stock, $0.0001 par value, 450,000,000 shares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authorized; 216,904,965 and 196,391,349 shares issued and outstanding</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6220" w:type="dxa"/>
            <w:vAlign w:val="bottom"/>
          </w:tcPr>
          <w:p>
            <w:pPr>
              <w:ind w:left="120"/>
              <w:spacing w:after="0"/>
              <w:rPr>
                <w:sz w:val="20"/>
                <w:szCs w:val="20"/>
                <w:color w:val="auto"/>
              </w:rPr>
            </w:pPr>
            <w:r>
              <w:rPr>
                <w:rFonts w:ascii="Arial" w:cs="Arial" w:eastAsia="Arial" w:hAnsi="Arial"/>
                <w:sz w:val="18"/>
                <w:szCs w:val="18"/>
                <w:color w:val="auto"/>
              </w:rPr>
              <w:t>as of September 30, 2022 and December 31, 2021, respectively</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Additional paid in capital</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1,137,628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1,084,390</w:t>
            </w: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(725,213)</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(544,809)</w:t>
            </w:r>
          </w:p>
        </w:tc>
      </w:tr>
      <w:tr>
        <w:trPr>
          <w:trHeight w:val="196"/>
        </w:trPr>
        <w:tc>
          <w:tcPr>
            <w:tcW w:w="622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412,437</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539,600</w:t>
            </w:r>
          </w:p>
        </w:tc>
      </w:tr>
      <w:tr>
        <w:trPr>
          <w:trHeight w:val="196"/>
        </w:trPr>
        <w:tc>
          <w:tcPr>
            <w:tcW w:w="6220" w:type="dxa"/>
            <w:vAlign w:val="bottom"/>
          </w:tcPr>
          <w:p>
            <w:pPr>
              <w:ind w:left="34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501,080</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360"/>
          </w:cols>
          <w:pgMar w:left="1440" w:top="1268" w:right="10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2022</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Selling, general and</w:t>
            </w: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administrative expenses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79,468</w:t>
            </w:r>
          </w:p>
        </w:tc>
        <w:tc>
          <w:tcPr>
            <w:tcW w:w="0" w:type="dxa"/>
            <w:vAlign w:val="bottom"/>
          </w:tcPr>
          <w:p>
            <w:pPr>
              <w:spacing w:after="0"/>
              <w:rPr>
                <w:sz w:val="1"/>
                <w:szCs w:val="1"/>
                <w:color w:val="auto"/>
              </w:rPr>
            </w:pPr>
          </w:p>
        </w:tc>
      </w:tr>
      <w:tr>
        <w:trPr>
          <w:trHeight w:val="175"/>
        </w:trPr>
        <w:tc>
          <w:tcPr>
            <w:tcW w:w="2880" w:type="dxa"/>
            <w:vAlign w:val="bottom"/>
          </w:tcPr>
          <w:p>
            <w:pPr>
              <w:ind w:left="120"/>
              <w:spacing w:after="0" w:line="175"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12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6"/>
                <w:szCs w:val="16"/>
                <w:color w:val="auto"/>
              </w:rPr>
              <w:t>1</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92,213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225,246</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fixed assets</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74,865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74,865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120"/>
              <w:spacing w:after="0" w:line="202" w:lineRule="exact"/>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Gain on sale</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(101,736)</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154,849</w:t>
            </w: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99,282</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181,447</w:t>
            </w:r>
          </w:p>
        </w:tc>
        <w:tc>
          <w:tcPr>
            <w:tcW w:w="1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315,825</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(154,849)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(99,282)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(181,447)</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(315,825)</w:t>
            </w:r>
          </w:p>
        </w:tc>
        <w:tc>
          <w:tcPr>
            <w:tcW w:w="0" w:type="dxa"/>
            <w:vAlign w:val="bottom"/>
          </w:tcPr>
          <w:p>
            <w:pPr>
              <w:spacing w:after="0"/>
              <w:rPr>
                <w:sz w:val="1"/>
                <w:szCs w:val="1"/>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income</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(643)</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(13,788)</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1,187</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(154,430)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(95,806)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(180,404)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c>
          <w:tcPr>
            <w:tcW w:w="0" w:type="dxa"/>
            <w:vAlign w:val="bottom"/>
          </w:tcPr>
          <w:p>
            <w:pPr>
              <w:spacing w:after="0"/>
              <w:rPr>
                <w:sz w:val="1"/>
                <w:szCs w:val="1"/>
                <w:color w:val="auto"/>
              </w:rPr>
            </w:pPr>
          </w:p>
        </w:tc>
      </w:tr>
      <w:tr>
        <w:trPr>
          <w:trHeight w:val="203"/>
        </w:trPr>
        <w:tc>
          <w:tcPr>
            <w:tcW w:w="288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(154,430)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(180,404)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line="177" w:lineRule="exact"/>
              <w:rPr>
                <w:sz w:val="20"/>
                <w:szCs w:val="20"/>
                <w:color w:val="auto"/>
              </w:rPr>
            </w:pPr>
            <w:r>
              <w:rPr>
                <w:rFonts w:ascii="Arial" w:cs="Arial" w:eastAsia="Arial" w:hAnsi="Arial"/>
                <w:sz w:val="18"/>
                <w:szCs w:val="18"/>
                <w:color w:val="auto"/>
              </w:rPr>
              <w:t>Income (loss) per share</w:t>
            </w: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attributable to common</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(0.73)</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(0.54)</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(0.89)</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number of</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shares outstanding</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211,946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178,761</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203,147</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176,573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720" w:right="279" w:hanging="319"/>
        <w:spacing w:after="0" w:line="286"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Research and development expenses for the nine months ended September 30, 2022 are net of $18.4 million in operating expense reimbursements as described in Note 1.</w:t>
      </w:r>
    </w:p>
    <w:p>
      <w:pPr>
        <w:spacing w:after="0" w:line="34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Equity/(Deficit)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2"/>
          </w:tcPr>
          <w:p>
            <w:pPr>
              <w:jc w:val="right"/>
              <w:ind w:right="460"/>
              <w:spacing w:after="0"/>
              <w:rPr>
                <w:sz w:val="20"/>
                <w:szCs w:val="20"/>
                <w:color w:val="auto"/>
              </w:rPr>
            </w:pPr>
            <w:r>
              <w:rPr>
                <w:rFonts w:ascii="Arial" w:cs="Arial" w:eastAsia="Arial" w:hAnsi="Arial"/>
                <w:sz w:val="14"/>
                <w:szCs w:val="14"/>
                <w:b w:val="1"/>
                <w:bCs w:val="1"/>
                <w:color w:val="auto"/>
              </w:rPr>
              <w:t>Three Months Ended September 30, 2022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2022</w:t>
            </w: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205,871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$ 1,106,521</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(570,783)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535,759</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20" w:type="dxa"/>
            <w:vAlign w:val="bottom"/>
          </w:tcPr>
          <w:p>
            <w:pPr>
              <w:spacing w:after="0"/>
              <w:rPr>
                <w:sz w:val="17"/>
                <w:szCs w:val="17"/>
                <w:color w:val="auto"/>
              </w:rPr>
            </w:pP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RSU Vesting</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84"/>
        </w:trPr>
        <w:tc>
          <w:tcPr>
            <w:tcW w:w="3340" w:type="dxa"/>
            <w:vAlign w:val="bottom"/>
            <w:gridSpan w:val="3"/>
          </w:tcPr>
          <w:p>
            <w:pPr>
              <w:ind w:left="120"/>
              <w:spacing w:after="0" w:line="183" w:lineRule="exact"/>
              <w:rPr>
                <w:sz w:val="20"/>
                <w:szCs w:val="20"/>
                <w:color w:val="auto"/>
              </w:rPr>
            </w:pPr>
            <w:r>
              <w:rPr>
                <w:rFonts w:ascii="Arial" w:cs="Arial" w:eastAsia="Arial" w:hAnsi="Arial"/>
                <w:sz w:val="18"/>
                <w:szCs w:val="18"/>
                <w:color w:val="auto"/>
              </w:rPr>
              <w:t>Common stock issued under the</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340" w:type="dxa"/>
            <w:vAlign w:val="bottom"/>
            <w:gridSpan w:val="3"/>
          </w:tcPr>
          <w:p>
            <w:pPr>
              <w:ind w:left="120"/>
              <w:spacing w:after="0"/>
              <w:rPr>
                <w:sz w:val="20"/>
                <w:szCs w:val="20"/>
                <w:color w:val="auto"/>
              </w:rPr>
            </w:pPr>
            <w:r>
              <w:rPr>
                <w:rFonts w:ascii="Arial" w:cs="Arial" w:eastAsia="Arial" w:hAnsi="Arial"/>
                <w:sz w:val="18"/>
                <w:szCs w:val="18"/>
                <w:color w:val="auto"/>
              </w:rPr>
              <w:t>Equity Purchase Agreement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26,705</w:t>
            </w:r>
          </w:p>
        </w:tc>
        <w:tc>
          <w:tcPr>
            <w:tcW w:w="20" w:type="dxa"/>
            <w:vAlign w:val="bottom"/>
          </w:tcPr>
          <w:p>
            <w:pPr>
              <w:spacing w:after="0"/>
              <w:rPr>
                <w:sz w:val="19"/>
                <w:szCs w:val="19"/>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4,403</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7"/>
                <w:szCs w:val="17"/>
                <w:color w:val="auto"/>
              </w:rPr>
            </w:pP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(154,430)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(154,430)</w:t>
            </w:r>
          </w:p>
        </w:tc>
        <w:tc>
          <w:tcPr>
            <w:tcW w:w="20" w:type="dxa"/>
            <w:vAlign w:val="bottom"/>
          </w:tcPr>
          <w:p>
            <w:pPr>
              <w:spacing w:after="0"/>
              <w:rPr>
                <w:sz w:val="17"/>
                <w:szCs w:val="17"/>
                <w:color w:val="auto"/>
              </w:rPr>
            </w:pPr>
          </w:p>
        </w:tc>
      </w:tr>
      <w:tr>
        <w:trPr>
          <w:trHeight w:val="196"/>
        </w:trPr>
        <w:tc>
          <w:tcPr>
            <w:tcW w:w="334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2022</w:t>
            </w:r>
          </w:p>
        </w:tc>
        <w:tc>
          <w:tcPr>
            <w:tcW w:w="10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216,905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1,137,628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(725,213)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412,437</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4"/>
                <w:szCs w:val="14"/>
                <w:b w:val="1"/>
                <w:bCs w:val="1"/>
                <w:color w:val="auto"/>
              </w:rPr>
              <w:t>Three Months Ended September 30, 2021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8"/>
          </w:tcPr>
          <w:p>
            <w:pPr>
              <w:ind w:left="5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176,606</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966,837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(367,852)</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599,003</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2,724</w:t>
            </w:r>
          </w:p>
        </w:tc>
        <w:tc>
          <w:tcPr>
            <w:tcW w:w="20" w:type="dxa"/>
            <w:vAlign w:val="bottom"/>
          </w:tcPr>
          <w:p>
            <w:pPr>
              <w:spacing w:after="0"/>
              <w:rPr>
                <w:sz w:val="17"/>
                <w:szCs w:val="17"/>
                <w:color w:val="auto"/>
              </w:rPr>
            </w:pPr>
          </w:p>
        </w:tc>
      </w:tr>
      <w:tr>
        <w:trPr>
          <w:trHeight w:val="184"/>
        </w:trPr>
        <w:tc>
          <w:tcPr>
            <w:tcW w:w="3340" w:type="dxa"/>
            <w:vAlign w:val="bottom"/>
            <w:gridSpan w:val="3"/>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issued under the</w:t>
            </w: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Equity Purchase Agreement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9"/>
                <w:szCs w:val="19"/>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20" w:type="dxa"/>
            <w:vAlign w:val="bottom"/>
          </w:tcPr>
          <w:p>
            <w:pPr>
              <w:spacing w:after="0"/>
              <w:rPr>
                <w:sz w:val="17"/>
                <w:szCs w:val="17"/>
                <w:color w:val="auto"/>
              </w:rPr>
            </w:pPr>
          </w:p>
        </w:tc>
        <w:tc>
          <w:tcPr>
            <w:tcW w:w="11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6,585</w:t>
            </w:r>
          </w:p>
        </w:tc>
        <w:tc>
          <w:tcPr>
            <w:tcW w:w="20" w:type="dxa"/>
            <w:vAlign w:val="bottom"/>
          </w:tcPr>
          <w:p>
            <w:pPr>
              <w:spacing w:after="0"/>
              <w:rPr>
                <w:sz w:val="17"/>
                <w:szCs w:val="17"/>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(95,806)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(95,806)</w:t>
            </w:r>
          </w:p>
        </w:tc>
        <w:tc>
          <w:tcPr>
            <w:tcW w:w="20" w:type="dxa"/>
            <w:vAlign w:val="bottom"/>
          </w:tcPr>
          <w:p>
            <w:pPr>
              <w:spacing w:after="0"/>
              <w:rPr>
                <w:sz w:val="17"/>
                <w:szCs w:val="17"/>
                <w:color w:val="auto"/>
              </w:rPr>
            </w:pPr>
          </w:p>
        </w:tc>
      </w:tr>
      <w:tr>
        <w:trPr>
          <w:trHeight w:val="196"/>
        </w:trPr>
        <w:tc>
          <w:tcPr>
            <w:tcW w:w="320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2021</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182,075</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996,146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(463,658)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532,506</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rPr>
              <w:t>Nine Months Ended September 30, 2022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60" w:type="dxa"/>
            <w:vAlign w:val="bottom"/>
            <w:tcBorders>
              <w:top w:val="single" w:sz="8" w:color="auto"/>
            </w:tcBorders>
            <w:gridSpan w:val="2"/>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196,391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$1,084,390</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(544,809)</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539,600</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1,853</w:t>
            </w:r>
          </w:p>
        </w:tc>
        <w:tc>
          <w:tcPr>
            <w:tcW w:w="20" w:type="dxa"/>
            <w:vAlign w:val="bottom"/>
          </w:tcPr>
          <w:p>
            <w:pPr>
              <w:spacing w:after="0"/>
              <w:rPr>
                <w:sz w:val="17"/>
                <w:szCs w:val="17"/>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RSU Vesting</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1,944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84"/>
        </w:trPr>
        <w:tc>
          <w:tcPr>
            <w:tcW w:w="3340" w:type="dxa"/>
            <w:vAlign w:val="bottom"/>
            <w:gridSpan w:val="3"/>
          </w:tcPr>
          <w:p>
            <w:pPr>
              <w:ind w:left="120"/>
              <w:spacing w:after="0" w:line="183" w:lineRule="exact"/>
              <w:rPr>
                <w:sz w:val="20"/>
                <w:szCs w:val="20"/>
                <w:color w:val="auto"/>
              </w:rPr>
            </w:pPr>
            <w:r>
              <w:rPr>
                <w:rFonts w:ascii="Arial" w:cs="Arial" w:eastAsia="Arial" w:hAnsi="Arial"/>
                <w:sz w:val="18"/>
                <w:szCs w:val="18"/>
                <w:color w:val="auto"/>
              </w:rPr>
              <w:t>Common stock issued under the</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340" w:type="dxa"/>
            <w:vAlign w:val="bottom"/>
            <w:gridSpan w:val="3"/>
          </w:tcPr>
          <w:p>
            <w:pPr>
              <w:ind w:left="120"/>
              <w:spacing w:after="0"/>
              <w:rPr>
                <w:sz w:val="20"/>
                <w:szCs w:val="20"/>
                <w:color w:val="auto"/>
              </w:rPr>
            </w:pPr>
            <w:r>
              <w:rPr>
                <w:rFonts w:ascii="Arial" w:cs="Arial" w:eastAsia="Arial" w:hAnsi="Arial"/>
                <w:sz w:val="18"/>
                <w:szCs w:val="18"/>
                <w:color w:val="auto"/>
              </w:rPr>
              <w:t>Equity Purchase Agreement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17,464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40,439</w:t>
            </w:r>
          </w:p>
        </w:tc>
        <w:tc>
          <w:tcPr>
            <w:tcW w:w="20" w:type="dxa"/>
            <w:vAlign w:val="bottom"/>
          </w:tcPr>
          <w:p>
            <w:pPr>
              <w:spacing w:after="0"/>
              <w:rPr>
                <w:sz w:val="19"/>
                <w:szCs w:val="19"/>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10,949</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7"/>
                <w:szCs w:val="17"/>
                <w:color w:val="auto"/>
              </w:rPr>
            </w:pP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(180,404)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(180,404)</w:t>
            </w:r>
          </w:p>
        </w:tc>
        <w:tc>
          <w:tcPr>
            <w:tcW w:w="20" w:type="dxa"/>
            <w:vAlign w:val="bottom"/>
          </w:tcPr>
          <w:p>
            <w:pPr>
              <w:spacing w:after="0"/>
              <w:rPr>
                <w:sz w:val="17"/>
                <w:szCs w:val="17"/>
                <w:color w:val="auto"/>
              </w:rPr>
            </w:pPr>
          </w:p>
        </w:tc>
      </w:tr>
      <w:tr>
        <w:trPr>
          <w:trHeight w:val="196"/>
        </w:trPr>
        <w:tc>
          <w:tcPr>
            <w:tcW w:w="334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2022</w:t>
            </w:r>
          </w:p>
        </w:tc>
        <w:tc>
          <w:tcPr>
            <w:tcW w:w="10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216,905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1,137,628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(725,213)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412,437</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rPr>
              <w:t>Nine Months Ended September 30, 2021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8"/>
          </w:tcPr>
          <w:p>
            <w:pPr>
              <w:ind w:left="5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2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168,008</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765,162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(134,441)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630,738</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3,822</w:t>
            </w:r>
          </w:p>
        </w:tc>
        <w:tc>
          <w:tcPr>
            <w:tcW w:w="20" w:type="dxa"/>
            <w:vAlign w:val="bottom"/>
          </w:tcPr>
          <w:p>
            <w:pPr>
              <w:spacing w:after="0"/>
              <w:rPr>
                <w:sz w:val="17"/>
                <w:szCs w:val="17"/>
                <w:color w:val="auto"/>
              </w:rPr>
            </w:pPr>
          </w:p>
        </w:tc>
      </w:tr>
      <w:tr>
        <w:trPr>
          <w:trHeight w:val="184"/>
        </w:trPr>
        <w:tc>
          <w:tcPr>
            <w:tcW w:w="3340" w:type="dxa"/>
            <w:vAlign w:val="bottom"/>
            <w:gridSpan w:val="3"/>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issued for exercise of</w:t>
            </w: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194,797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194,798</w:t>
            </w:r>
          </w:p>
        </w:tc>
        <w:tc>
          <w:tcPr>
            <w:tcW w:w="20" w:type="dxa"/>
            <w:vAlign w:val="bottom"/>
          </w:tcPr>
          <w:p>
            <w:pPr>
              <w:spacing w:after="0"/>
              <w:rPr>
                <w:sz w:val="19"/>
                <w:szCs w:val="19"/>
                <w:color w:val="auto"/>
              </w:rPr>
            </w:pPr>
          </w:p>
        </w:tc>
      </w:tr>
      <w:tr>
        <w:trPr>
          <w:trHeight w:val="184"/>
        </w:trPr>
        <w:tc>
          <w:tcPr>
            <w:tcW w:w="3340" w:type="dxa"/>
            <w:vAlign w:val="bottom"/>
            <w:gridSpan w:val="3"/>
          </w:tcPr>
          <w:p>
            <w:pPr>
              <w:ind w:left="120"/>
              <w:spacing w:after="0" w:line="183" w:lineRule="exact"/>
              <w:rPr>
                <w:sz w:val="20"/>
                <w:szCs w:val="20"/>
                <w:color w:val="auto"/>
              </w:rPr>
            </w:pPr>
            <w:r>
              <w:rPr>
                <w:rFonts w:ascii="Arial" w:cs="Arial" w:eastAsia="Arial" w:hAnsi="Arial"/>
                <w:sz w:val="18"/>
                <w:szCs w:val="18"/>
                <w:color w:val="auto"/>
              </w:rPr>
              <w:t>Common stock issued under Equity</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340" w:type="dxa"/>
            <w:vAlign w:val="bottom"/>
            <w:gridSpan w:val="3"/>
          </w:tcPr>
          <w:p>
            <w:pPr>
              <w:ind w:left="120"/>
              <w:spacing w:after="0"/>
              <w:rPr>
                <w:sz w:val="20"/>
                <w:szCs w:val="20"/>
                <w:color w:val="auto"/>
              </w:rPr>
            </w:pPr>
            <w:r>
              <w:rPr>
                <w:rFonts w:ascii="Arial" w:cs="Arial" w:eastAsia="Arial" w:hAnsi="Arial"/>
                <w:sz w:val="18"/>
                <w:szCs w:val="18"/>
                <w:color w:val="auto"/>
              </w:rPr>
              <w:t>Purchase Agreement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9"/>
                <w:szCs w:val="19"/>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12,365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12,365</w:t>
            </w:r>
          </w:p>
        </w:tc>
        <w:tc>
          <w:tcPr>
            <w:tcW w:w="20" w:type="dxa"/>
            <w:vAlign w:val="bottom"/>
          </w:tcPr>
          <w:p>
            <w:pPr>
              <w:spacing w:after="0"/>
              <w:rPr>
                <w:sz w:val="17"/>
                <w:szCs w:val="17"/>
                <w:color w:val="auto"/>
              </w:rPr>
            </w:pPr>
          </w:p>
        </w:tc>
      </w:tr>
      <w:tr>
        <w:trPr>
          <w:trHeight w:val="202"/>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7"/>
                <w:szCs w:val="17"/>
                <w:color w:val="auto"/>
              </w:rPr>
            </w:pPr>
          </w:p>
        </w:tc>
        <w:tc>
          <w:tcPr>
            <w:tcW w:w="11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(329,217)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(329,217)</w:t>
            </w:r>
          </w:p>
        </w:tc>
        <w:tc>
          <w:tcPr>
            <w:tcW w:w="20" w:type="dxa"/>
            <w:vAlign w:val="bottom"/>
          </w:tcPr>
          <w:p>
            <w:pPr>
              <w:spacing w:after="0"/>
              <w:rPr>
                <w:sz w:val="17"/>
                <w:szCs w:val="17"/>
                <w:color w:val="auto"/>
              </w:rPr>
            </w:pPr>
          </w:p>
        </w:tc>
      </w:tr>
      <w:tr>
        <w:trPr>
          <w:trHeight w:val="196"/>
        </w:trPr>
        <w:tc>
          <w:tcPr>
            <w:tcW w:w="3340" w:type="dxa"/>
            <w:vAlign w:val="bottom"/>
            <w:tcBorders>
              <w:top w:val="single" w:sz="8" w:color="CCEEFF"/>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September 30, 2021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182,075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996,146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(463,658)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532,506</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7" w:name="page8"/>
    <w:bookmarkEnd w:id="7"/>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Statements of Cash Flows</w:t>
      </w:r>
    </w:p>
    <w:p>
      <w:pPr>
        <w:spacing w:after="0" w:line="21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36"/>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(180,404)</w:t>
            </w:r>
          </w:p>
        </w:tc>
        <w:tc>
          <w:tcPr>
            <w:tcW w:w="3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(329,217)</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10,949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12,365</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Gain on disposal of fixed assets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(101,736)</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Impairment of fixed assets</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74,865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Other non-cash changes</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26,108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receivables</w:t>
            </w:r>
          </w:p>
        </w:tc>
        <w:tc>
          <w:tcPr>
            <w:tcW w:w="3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(36,695)</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10,289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03"/>
        </w:trPr>
        <w:tc>
          <w:tcPr>
            <w:tcW w:w="61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20,482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37,649</w:t>
            </w: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Net Cash used by operating activities</w:t>
            </w: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(171,022)</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(246,240)</w:t>
            </w:r>
          </w:p>
        </w:tc>
        <w:tc>
          <w:tcPr>
            <w:tcW w:w="0" w:type="dxa"/>
            <w:vAlign w:val="bottom"/>
          </w:tcPr>
          <w:p>
            <w:pPr>
              <w:spacing w:after="0"/>
              <w:rPr>
                <w:sz w:val="1"/>
                <w:szCs w:val="1"/>
                <w:color w:val="auto"/>
              </w:rPr>
            </w:pPr>
          </w:p>
        </w:tc>
      </w:tr>
      <w:tr>
        <w:trPr>
          <w:trHeight w:val="196"/>
        </w:trPr>
        <w:tc>
          <w:tcPr>
            <w:tcW w:w="6180" w:type="dxa"/>
            <w:vAlign w:val="bottom"/>
          </w:tcPr>
          <w:p>
            <w:pPr>
              <w:ind w:left="120"/>
              <w:spacing w:after="0" w:line="196" w:lineRule="exact"/>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Purchases of capital assets</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(50,563)</w:t>
            </w: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(255,528)</w:t>
            </w: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Purchases of short-term assets</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(49,304)</w:t>
            </w: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in Foxconn Joint Venture</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(13,500)</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Proceeds from the sale of capital assets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38,813</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Net Cash used by investing activities</w:t>
            </w: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(74,554)</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(255,528)</w:t>
            </w:r>
          </w:p>
        </w:tc>
        <w:tc>
          <w:tcPr>
            <w:tcW w:w="0" w:type="dxa"/>
            <w:vAlign w:val="bottom"/>
          </w:tcPr>
          <w:p>
            <w:pPr>
              <w:spacing w:after="0"/>
              <w:rPr>
                <w:sz w:val="1"/>
                <w:szCs w:val="1"/>
                <w:color w:val="auto"/>
              </w:rPr>
            </w:pPr>
          </w:p>
        </w:tc>
      </w:tr>
      <w:tr>
        <w:trPr>
          <w:trHeight w:val="196"/>
        </w:trPr>
        <w:tc>
          <w:tcPr>
            <w:tcW w:w="6180" w:type="dxa"/>
            <w:vAlign w:val="bottom"/>
          </w:tcPr>
          <w:p>
            <w:pPr>
              <w:ind w:left="120"/>
              <w:spacing w:after="0" w:line="196"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Proceeds from notes payable</w:t>
            </w:r>
          </w:p>
        </w:tc>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82,016</w:t>
            </w: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Down payments received from Foxconn</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Issuance of common stock</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3"/>
        </w:trPr>
        <w:tc>
          <w:tcPr>
            <w:tcW w:w="61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Proceeds from Equity Purchase Agreement with YA, net of issuance costs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40,439</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155,792</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105,838</w:t>
            </w: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line="196" w:lineRule="exact"/>
              <w:rPr>
                <w:sz w:val="20"/>
                <w:szCs w:val="20"/>
                <w:color w:val="auto"/>
              </w:rPr>
            </w:pPr>
            <w:r>
              <w:rPr>
                <w:rFonts w:ascii="Arial" w:cs="Arial" w:eastAsia="Arial" w:hAnsi="Arial"/>
                <w:sz w:val="18"/>
                <w:szCs w:val="18"/>
                <w:color w:val="auto"/>
              </w:rPr>
              <w:t>Decrease in cash and cash equivalents</w:t>
            </w:r>
          </w:p>
        </w:tc>
        <w:tc>
          <w:tcPr>
            <w:tcW w:w="3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(89,784)</w:t>
            </w:r>
          </w:p>
        </w:tc>
        <w:tc>
          <w:tcPr>
            <w:tcW w:w="16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(395,930)</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Cash and cash equivalents, ending balance</w:t>
            </w: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154,232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233,831</w:t>
            </w: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Non-cash items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Borders>
              <w:bottom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Derecognition of Foxconn down payments for sale of capital assets</w:t>
            </w:r>
          </w:p>
        </w:tc>
        <w:tc>
          <w:tcPr>
            <w:tcW w:w="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8"/>
                <w:szCs w:val="18"/>
                <w:color w:val="auto"/>
              </w:rPr>
              <w:t>Capital assets acquired with payables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2,162</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40"/>
          </w:cols>
          <w:pgMar w:left="1440" w:top="1440" w:right="1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DESCRIPTION OF BUSINESS AND BASIS OF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Description of Business</w:t>
      </w:r>
    </w:p>
    <w:p>
      <w:pPr>
        <w:spacing w:after="0" w:line="21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Lordstown Motors Corp., a Delaware corporation (“Lordstown,” the “Company” or “we”), is an original equipment manufacturer (“OEM”) of electric light duty vehicles focused on the commercial fleet market. Since inception, we have been developing our flagship vehicle, the Endurance, an electric full-size pickup truck. In September of 2022, the Company started commercial production of the Endurance with the first two vehicles completing assembly. Production volume is expected to ramp slowly primarily as a result of supply chain constraints, with engineering readiness, quality, and part availability continuing to govern the speed of launch. We anticipate sales starting in the fourth quarter of 2022 subject to full homologation, testing and required certification. We intend to design, develop, engineer, test and industrialize all-electric commercial vehicles (“EC Vehicles”) leveraging the Foxconn ecosystem, including its Mobility-in-Harmony (“MIH”) consortium, which would also be built at the Foxconn Ohio plant.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210"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The Company has entered into a series of transactions with affiliates of Hon Hai Technology Group (“HHTG”; either HHTG or applicable affiliates of HHTG are referred to herein as “Foxconn”), beginning with the Agreement in Principal that was announced on September 30, 2021, pursuant to which we entered into definitive agreements to sell our manufacturing facility in Lordstown, Ohio under an Asset Purchase Agreement, outsource manufacturing of the Endurance to Foxconn under a Contract Manufacturing Agreement, and established the Foxconn Joint Venture (as defined below) for the development of other electric vehicles that included $100 million of capital commitment from Foxconn, of which $45 million was made available to us to fund our 45% share under the Notes (as defined below), each discussed in greater detail below.</w:t>
      </w:r>
    </w:p>
    <w:p>
      <w:pPr>
        <w:spacing w:after="0" w:line="168"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November 7, 2022, we entered into an Investment Agreement with Foxconn under which Foxconn agreed to purchase $70 million of our Class A common stock and up to $100 million in convertible preferred stock, subject to certain conditions, including regulatory approvals and achievement of vehicle development milestones established by the parties (the “Investment Agreement”). Pursuant to the Investment Agreement, the parties have agreed to terminate the Foxconn Joint Venture and cause development activities to be undertaken directly by us. (See Note 8 – Subsequent Events.)</w:t>
      </w:r>
    </w:p>
    <w:p>
      <w:pPr>
        <w:spacing w:after="0" w:line="179" w:lineRule="exact"/>
        <w:rPr>
          <w:sz w:val="20"/>
          <w:szCs w:val="20"/>
          <w:color w:val="auto"/>
        </w:rPr>
      </w:pPr>
    </w:p>
    <w:p>
      <w:pPr>
        <w:jc w:val="both"/>
        <w:ind w:left="60" w:right="599"/>
        <w:spacing w:after="0" w:line="253" w:lineRule="auto"/>
        <w:rPr>
          <w:sz w:val="20"/>
          <w:szCs w:val="20"/>
          <w:color w:val="auto"/>
        </w:rPr>
      </w:pPr>
      <w:r>
        <w:rPr>
          <w:rFonts w:ascii="Arial" w:cs="Arial" w:eastAsia="Arial" w:hAnsi="Arial"/>
          <w:sz w:val="18"/>
          <w:szCs w:val="18"/>
          <w:color w:val="auto"/>
        </w:rPr>
        <w:t>The Asset Purchase Agreement, Contract Manufacturing Agreement, the Joint Venture Agreement, Note, Security and Guarantee Agreement and the Investment Agreement together are herein referred to as the “Foxconn Transactions.”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Closing of the APA with Foxconn</w:t>
      </w:r>
    </w:p>
    <w:p>
      <w:pPr>
        <w:spacing w:after="0" w:line="210"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HHTG, dated November 10, 2021 (the “Asset Purchase Agreement” or “APA” and the closing of the transactions contemplated thereby, the “APA Closing”).</w:t>
      </w:r>
    </w:p>
    <w:p>
      <w:pPr>
        <w:spacing w:after="0" w:line="176"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Pursuant to the APA, Foxconn purchased Lordstown EV’s manufacturing facility located in Lordstown, Ohio. Lordstown EV continues to own our hub motor assembly line, as well as our battery module and pack line assets, certain tooling, intellectual property rights and other excluded assets, and outsourced all of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9" w:name="page10"/>
    <w:bookmarkEnd w:id="9"/>
    <w:p>
      <w:pPr>
        <w:ind w:left="60" w:right="479"/>
        <w:spacing w:after="0" w:line="244" w:lineRule="auto"/>
        <w:rPr>
          <w:sz w:val="20"/>
          <w:szCs w:val="20"/>
          <w:color w:val="auto"/>
        </w:rPr>
      </w:pPr>
      <w:r>
        <w:rPr>
          <w:rFonts w:ascii="Arial" w:cs="Arial" w:eastAsia="Arial" w:hAnsi="Arial"/>
          <w:sz w:val="18"/>
          <w:szCs w:val="18"/>
          <w:color w:val="auto"/>
        </w:rPr>
        <w:t>manufacturing of the Endurance to Foxconn under the Contract Manufacturing Agreement (defined below). Lordstown EV also entered into a lease pursuant to which Lordstown EV leases space located at the Lordstown, Ohio facility from Foxconn for its Ohio-based employees for a term equal to the duration of the Contract Manufacturing Agreement plus 30 days. The right of use asset and liability related to this lease is immaterial.</w:t>
      </w:r>
    </w:p>
    <w:p>
      <w:pPr>
        <w:spacing w:after="0" w:line="17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purchase price for the Lordstown facility consisted of $230 million and a reimbursement payment for certain operating and expansion costs incurred by Lordstown EV from September 1, 2021 until the APA Closing. Foxconn made down payments of the purchase price totaling $ 200 million through April 15, 2022, of which $100 million was received during the nine months ended September 30, 2022. The $30 million balance of the purchase price and a reimbursement payment of approximately $27.5 million were paid at the APA Closing; $17.5 million was attributable to the reimbursement of certain operating expenses reported in research and development and $10 million was attributable to expansion costs. Under the terms of the APA, the $17.5 million reimbursement costs were an estimate which was subsequently increased to $18.4 million as of September 30, 2022.</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Research and development costs are presented net of the $18.4 million reimbursement of costs by Foxconn for the nine months ended September 30, 2022. Included in the $18.4 million reimbursement were approximately $7.7 million of research and development costs incurred in 2021. Of the $10 million expansion costs, $7.5 million is attributable to assets sold to Foxconn at the APA Closing with the remaining $2.5 million being a prepayment for open purchase orders as of the APA Closing related to expansion costs. Also in connection with the APA Closing, the Company issued warrants to Foxconn that are exercisable until the third anniversary of the APA Closing for 1.7 million shares of Class A common stock at an exercise price of $10.50 per share (the “Foxconn Warrants”). In October 2021, prior to entering into the APA, Foxconn purchased 7.2 million shares of the Company’s Class A common stock for approximately $50.0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21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On May 11, 2022, Lordstown EV and Foxconn entered into a manufacturing supply agreement (the “Contract Manufacturing Agreement” or “CMA”) in connection with the APA Closing. Pursuant to the Contract Manufacturing Agreement, Foxconn will (i) manufacture the Endurance at the Lordstown facility for a fee per vehicle, (ii) following a transition period, procure components for the manufacture and assembly of the Endurance, subject to sourcing specifications provided by Lordstown EV, and (iii) provide certain post-delivery services. The CMA provides us with an entirely variable manufacturing cost structure and alleviates us of the burden to invest in and maintain the facility.</w:t>
      </w:r>
    </w:p>
    <w:p>
      <w:pPr>
        <w:spacing w:after="0" w:line="18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CMA requires Foxconn to use commercially reasonable efforts to assist with reducing component and logistics costs, and otherwise improving the commercial terms of procurement with suppliers, and the parties to work together to reduce the overall bill of materials cost of the Endurance. Foxconn conducts testing in accordance with procedures established by us and we are generally responsible for all motor vehicle regulatory compliance and reporting. The Contract Manufacturing Agreement also allocates responsibility between the parties for other matters, including component defects, quality assurance and warranties of manufacturing and design. Foxconn invoices us for manufacturing costs on a fee per vehicle produced basis, and to the extent purchased by Foxconn, component and other costs. Production volume and scheduling are based upon rolling weekly forecasts we provide that are generally binding only for a twelve-week period, with some ability to vary the quantities of vehicle type.</w:t>
      </w:r>
    </w:p>
    <w:p>
      <w:pPr>
        <w:spacing w:after="0" w:line="166" w:lineRule="exact"/>
        <w:rPr>
          <w:sz w:val="20"/>
          <w:szCs w:val="20"/>
          <w:color w:val="auto"/>
        </w:rPr>
      </w:pPr>
    </w:p>
    <w:p>
      <w:pPr>
        <w:ind w:left="60" w:right="259"/>
        <w:spacing w:after="0" w:line="261" w:lineRule="auto"/>
        <w:rPr>
          <w:sz w:val="20"/>
          <w:szCs w:val="20"/>
          <w:color w:val="auto"/>
        </w:rPr>
      </w:pPr>
      <w:r>
        <w:rPr>
          <w:rFonts w:ascii="Arial" w:cs="Arial" w:eastAsia="Arial" w:hAnsi="Arial"/>
          <w:sz w:val="17"/>
          <w:szCs w:val="17"/>
          <w:color w:val="auto"/>
        </w:rPr>
        <w:t>The CMA became effective on May 11, 2022 and continues for an initial term of 18 months plus a 12-month notice period in the event either party seeks to terminate the agreement. In the event no party terminates the Contract Manufacturing Agreement following the initial term, it will continue on a month-to-month basis unless terminated upon 12 months’ prior notice. The CMA can also be terminated by either party due to a material breach of the agreement and will terminate immediately upon the occurrence of any bankruptcy event.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Joint Venture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0" w:name="page11"/>
    <w:bookmarkEnd w:id="10"/>
    <w:p>
      <w:pPr>
        <w:ind w:left="60" w:right="79"/>
        <w:spacing w:after="0" w:line="237" w:lineRule="auto"/>
        <w:rPr>
          <w:sz w:val="20"/>
          <w:szCs w:val="20"/>
          <w:color w:val="auto"/>
        </w:rPr>
      </w:pPr>
      <w:r>
        <w:rPr>
          <w:rFonts w:ascii="Arial" w:cs="Arial" w:eastAsia="Arial" w:hAnsi="Arial"/>
          <w:sz w:val="18"/>
          <w:szCs w:val="18"/>
          <w:color w:val="auto"/>
        </w:rPr>
        <w:t>Also in connection with the APA Closing, Lordstown EV and Foxconn entered into a Limited Liability Company Agreement (the “Foxconn Joint Venture Agreement”) and filed a Certificate of Formation on May 11, 2022 to form MIH EV Design LLC, a Delaware limited liability company, as a joint venture to design, develop, test and industrialize EC Vehicles (the “Foxconn Joint Venture”). Foxconn committed $100 million to the Foxconn Joint Venture, consisting of $55 million in the form of direct capital contributions, and a $ 45 million loan to Lordstown EV pursuant to and on the conditions set forth in the Notes (as defined below), the proceeds of which are only to be used to fund our capital contributions to the Foxconn Joint Venture. Initially, Foxconn has an ownership interest in the Foxconn Joint Venture of 55% and Lordstown EV has a 45% interest. On June 24, 2022, Foxconn made its initial investment totaling $16.5 million in the Foxconn Joint Venture pursuant to the Foxconn Joint Venture Agreement. Lordstown EV’s 45% share, or $13.5 million, was invested with proceeds from issuance of the Notes on June 27, 2022. The initial funding was provided in anticipation of funding to be agreed upon vehicle development activities. Pursuant to the Investment Agreement entered into on November 7, 2022, the parties have agreed to terminate the Foxconn Joint Venture and will no longer be subject to their capital commitments. In connection with the termination, all remaining funds held by the Foxconn Joint Venture will be distributed to Foxconn as a distribution for amounts contributed by it and as a repayment in full of any loans advanced by it to Lordstown EV. (See Note 8 – Subsequent Events.) The following description of the Foxconn Joint Venture and the Notes reflect the terms in effect until the termination of the obligations of the parties with respect to the Foxconn Joint Venture is effected by the parties as a condition to the closing of the initial funding under the Investment Agreement.</w:t>
      </w:r>
    </w:p>
    <w:p>
      <w:pPr>
        <w:spacing w:after="0" w:line="18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Foxconn Joint Venture Agreement contemplates a license to the Foxconn Joint Venture to use certain intellectual property owned by Foxconn and its affiliated entities relating to certain automotive related designs (the “FX IP”) to develop EC Vehicles, with the Foxconn Joint Venture owning all intellectual property rights it develops (other than the FX IP). The Foxconn Joint Venture Agreement also contemplates an exclusive license of all intellectual property owned by the Foxconn Joint Venture relating to any EC Vehicle designed by the Foxconn Joint Venture to Lordstown EV for use in the North American commercial market, and to Foxconn for use outside of North America, each subject to customary and reasonable licensing fees. The parties have not yet entered into these licensing arrangements.</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Foxconn Joint Venture Agreement provides for oversight of the Foxconn Joint Venture by a five-person management board with Foxconn initially having the right to appoint three members and Lordstown EV initially having the right to appoint two members. Certain major decisions, including, but not limited to, the approval of budgets, raising additional equity, incurring third party indebtedness, mergers, related party transactions, dissolution and increases in the size of the management board, require the consent of at least one member of the management board appointed by Lordstown EV for so long as we own at least 30% of the Foxconn Joint Venture. Other than with respect to certain customary permitted transfers, neither Lordstown EV nor Foxconn is permitted to transfer its interest in the Foxconn Joint Venture for a period of three years following the formation of the Foxconn Joint Venture. Thereafter, each party has a right of first refusal and a tag-along right with respect to any proposed transfer by the other party.</w:t>
      </w:r>
    </w:p>
    <w:p>
      <w:pPr>
        <w:spacing w:after="0" w:line="16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Under the Foxconn Joint Venture Agreement, we are designated as Foxconn’s primary development partner in North America. The Foxconn Joint Venture Agreement provides for our development of a portfolio of electric vehicles targeting commercial fleet customers, built at the Lordstown, Ohio plant using the advanced designs from Foxconn and its affiliates. The agreement also provides that Foxconn will supply the FX IP for the vehicles to be customized for and homologated in North America by the Foxconn Joint Venture, along with certain vehicle components and subsystems, enabling us to leverage Foxconn’s manufacturing expertise, supply-chain network and extensive experience in software development and integration (key capabilities in the production of EVs) to complement our EV design, development, engineering and homologation contributions.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Note, Guaranty and Security Agreements</w:t>
      </w:r>
    </w:p>
    <w:p>
      <w:pPr>
        <w:spacing w:after="0" w:line="21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Foxconn Joint Venture Agreement provides that Lordstown EV, as the issuer, and guaranteed by our wholly-owned subsidiary Lordstown EV Sales LLC, and the Company (collectively, the “Note Parties”), will enter into note, guaranty and security agreements (the “Notes”) with Foxconn, as the payee, pursuant to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1" w:name="page12"/>
    <w:bookmarkEnd w:id="11"/>
    <w:p>
      <w:pPr>
        <w:ind w:left="60" w:right="139"/>
        <w:spacing w:after="0" w:line="247" w:lineRule="auto"/>
        <w:rPr>
          <w:sz w:val="20"/>
          <w:szCs w:val="20"/>
          <w:color w:val="auto"/>
        </w:rPr>
      </w:pPr>
      <w:r>
        <w:rPr>
          <w:rFonts w:ascii="Arial" w:cs="Arial" w:eastAsia="Arial" w:hAnsi="Arial"/>
          <w:sz w:val="18"/>
          <w:szCs w:val="18"/>
          <w:color w:val="auto"/>
        </w:rPr>
        <w:t>which Foxconn makes term loans to Lordstown EV in an aggregate original principal amount not to exceed $45 million as advances are requested by Lordstown EV. On June 27, 2022, Foxconn funded $13.5 million in exchange for Lordstown EV delivering a Note in such amount. The proceeds were used for our initial investment in the Foxconn Joint Venture.</w:t>
      </w:r>
    </w:p>
    <w:p>
      <w:pPr>
        <w:spacing w:after="0" w:line="17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To secure its obligations under the Notes, Lordstown EV has granted Foxconn a security interest in (i) all of Lordstown EV’s equity interests in the Foxconn Joint Venture, and (ii) personal property constituting the hub motor, battery module and battery pack assembly lines, among other assets. We may use the proceeds only to fund our capital commitment of $45 million to the Foxconn Joint Venture, pursuant to the Foxconn Joint Venture Agreement. Pursuant to the Investment Agreement, the parties have agreed to terminate the Foxconn Joint Venture and the parties will no longer be subject to their capital commitments. In connection with the termination, all remaining funds held by the Foxconn Joint Venture will be distributed to Foxconn as a distribution for amounts contributed by it and as a repayment in full of any loans advanced by it to Lordstown EV and the security interest in the assets of the Company will be released.</w:t>
      </w:r>
    </w:p>
    <w:p>
      <w:pPr>
        <w:spacing w:after="0" w:line="18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Notes will accrue interest at a rate of 7.0% per annum, to be paid-in-kind, and are due on the earlier of (i) the first anniversary of issuance and (ii) December 31, 2025, unless earlier terminated in the event of a default. Pursuant to the Foxconn Joint Venture Agreement, each Note maturing before December 31, 2025 will be refinanced by Foxconn with a new Note in the principal amount equal to the outstanding principal amount of the refinanced Note, plus accrued and unpaid interest thereon, and will have terms substantively identical to the terms of the refinanced Note. Events of default include, among other things, the breach of certain covenants or representations, defaults under other loans or obligations, judgments, orders or claims not vacated or otherwise paid, involvement in bankruptcy proceedings, an occurrence of a change of control or the loss of any material collateral (as such terms are defined in the Notes). Each Note is to contain negative covenants which, while in effect, restrict the Note Parties from, among other things, incurring certain types of other debt (subject to various baskets), making certain expenditures or investments, any mergers or other fundamental changes, or changing the character of the Note Parties’ businesses. While it is not intended that any amounts will become due under the Notes prior to December 31, 2025, each Note has a term of one year and the refinancing of each Note is subject to certain conditions, including the absence of an event of default. Given the risk of the incurrence of an event of default, we classified the Notes as a current liability.</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Each Note and all accrued but unpaid interest thereon may be prepaid, in whole or in part, at any time or from time to time, without any penalty or premium. Lordstown EV is required to prepay each Note and all accrued but unpaid interest thereon with proceeds received upon distributions from the Foxconn Joint Venture or cash proceeds of certain asset dispositions.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i w:val="1"/>
          <w:iCs w:val="1"/>
          <w:color w:val="auto"/>
        </w:rPr>
        <w:t>Ongoing Operations</w:t>
      </w:r>
    </w:p>
    <w:p>
      <w:pPr>
        <w:spacing w:after="0" w:line="21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need additional funding to execute our business plan that includes scaling production of the Endurance and developing other vehicles, due to the capital required to complete testing and validation, purchase the raw materials and vehicle components for saleable vehicles, invest in the hard tooling to lower our bill of materials cost and fund future engineering and corporate expenditures. By entering into the Investment Agreement with Foxconn, subject to the conditions set forth in the Investment Agreement, we expect to receive approximately $52.7 million from the issuance of our Class A common stock and Preferred Stock (as defined below) in the fourth quarter of 2022, of which approximately $22.7 million can be used for general corporate purposes and $30 million is restricted for use in connection with the planning, designing, developing, engineering, testing, industrializing, certifying, homologating and launching one or more electric vehicles in collaboration with Foxconn (the “EV Program”). The additional capital that may be available to us under the Investment Agreement is subject to regulatory approvals and achieving certain program milestones, among other conditions. Notwithstanding this funding arrangement, we will continue to require substantial additional capital in order to fulfill our business plans under the EV Program and otherwise. No assurance can be given that we will successfully or timely implement the terms of the Investment Agreement or be able to realize the potential benefits of the Foxconn Transactions and otherwise.</w:t>
      </w:r>
    </w:p>
    <w:p>
      <w:pPr>
        <w:spacing w:after="0" w:line="188"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As discussed under Note 8 – Subsequent Events and Part II, Item 5. Other Events, on November 7, 2022, the Company entered into an Open Market Sales Agreement (the “Sales Agreement”) with Jefferies LLC, as agent (“Jefferies”), pursuant to which the Company may offer and sell up to approximately 50.2 million shares of its Class A common stock from time to time through Jefferies (the “ATM Offering”). The Company intends to file a prospectus supplement, concurrent with this Form 10-Q, with the Securities and Exchange Commission in connection with the ATM Offering (the “Prospectus Supplement”) under the Company’s existing shelf Registration Statement on Form S-3 (File No. 333-267052), which became effective on September 2, 2022 (the “Registration Statement”). The Company is not obligated to make any sales of shares of Class A common stock under the Sales Agreement. Actual sales will depend on a variety of factors and no assurance can be given that the Company will sell any shares of Class A common stock under the Sales Agreement, or, if it does, as to the price or amount of the shares that it sells or the dates when such sales will take place and, even if funds are raised under the ATM Offering, the Company will require additional financing to execute its business plan. It is expected that the Sales Agreement will replace our existing Equity Purchase Agreement (as defined below) with YA II PN, LTD. (“YA”). See Note 8 – Subsequent Events and Part II, Item 5. Other Events for additional information.</w:t>
      </w:r>
    </w:p>
    <w:p>
      <w:pPr>
        <w:spacing w:after="0" w:line="17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We continue to explore all financing alternatives as our operations are anticipated to require significant capital for the foreseeable future, along with maintaining liquidity in excess of our targeted minimum liquidity of $75 million to $100 million. We are also seeking strategic partners, including other automakers, to provide additional capital and other support to enable us to scale the Endurance program and to develop new vehicle programs in coordination with Foxconn or otherwise. As we seek additional sources of financing, there can be no assurance that such financing would be available to us on favorable terms or at all.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w:t>
      </w:r>
    </w:p>
    <w:p>
      <w:pPr>
        <w:spacing w:after="0" w:line="185"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0" w:right="1440" w:bottom="1440" w:gutter="0" w:footer="0" w:header="0"/>
        </w:sectPr>
      </w:pPr>
    </w:p>
    <w:bookmarkStart w:id="13" w:name="page14"/>
    <w:bookmarkEnd w:id="13"/>
    <w:p>
      <w:pPr>
        <w:ind w:left="60" w:right="259"/>
        <w:spacing w:after="0" w:line="244" w:lineRule="auto"/>
        <w:rPr>
          <w:sz w:val="20"/>
          <w:szCs w:val="20"/>
          <w:color w:val="auto"/>
        </w:rPr>
      </w:pPr>
      <w:r>
        <w:rPr>
          <w:rFonts w:ascii="Arial" w:cs="Arial" w:eastAsia="Arial" w:hAnsi="Arial"/>
          <w:sz w:val="18"/>
          <w:szCs w:val="18"/>
          <w:color w:val="auto"/>
        </w:rPr>
        <w:t>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10"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The accompanying unaudited condensed consolidated interim financial statements have been prepared assuming the Company will continue as a going concern. The going concern basis of presentation assumes that the Company will continue in operation one year after the date these unaudited condensed consolidated interim financial statements are issued and will be able to realize its assets and discharge its liabilities and commitments in the normal course of business.</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Pursuant to the requirements of the Financial Accounting Standards Board’s (“FASB”)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unaudited condensed consolidated interim financial statements are issued. This evaluation does not take into consideration the potential mitigating effect of management’s plans that have not been fully implemented or are not within control of the Company as of the date the unaudited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unaudited condensed consolidated interim financial statements are issued, and (2) it is probable that the plans, when implemented, will mitigate the relevant conditions or events that raise substantial doubt about the entity’s ability to continue as a going concern within one year after the date that the unaudited condensed consolidated interim financial statements are issued.</w:t>
      </w:r>
    </w:p>
    <w:p>
      <w:pPr>
        <w:spacing w:after="0" w:line="174"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had cash, cash equivalents and short-term investments of approximately $203.5 million and an accumulated deficit of $725.2 million at September 30, 2022 and a net loss of $180.4 million for the nine months ended September 30, 2022. Since inception, we have been developing our flagship vehicle, the Endurance, an electric full-size pickup truck. In September of 2022, the Company started commercial production of the Endurance with the first two vehicles completing assembly. Production volume is expected to ramp slowly primarily as a result of supply chain constraints, with engineering readiness, quality, and part availability continuing to govern the speed of launch. We anticipate sales starting in the fourth quarter of 2022 subject to full homologation, testing and required certification.</w:t>
      </w:r>
    </w:p>
    <w:p>
      <w:pPr>
        <w:spacing w:after="0" w:line="16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ability to continue as a going concern is dependent on our ability to effectively implement and realize the benefits of the Foxconn Transactions, raise substantial additional capital, complete the development of the Endurance, obtain regulatory approval, launch the sale of the Endurance and develop additional vehicles. The Company’s current level of cash and cash equivalents are not sufficient to execute our business plan, achieve scaled production of the Endurance due to the substantial additional capital required to complete testing and validation, purchase the raw materials and vehicle components for saleable vehicles, invest in the hard tooling to lower our bill of materials cost and fund future engineering and corporate expenditures. For the foreseeable future, we will incur significant operating expenses, capital expenditures and working capital funding that will deplete our cash on hand. These conditions raise substantial doubt regarding the Company’s ability to continue as a going concern for a period of at least one year from the date of issuance of these condensed consolidated financial statements. As a result of having insufficient capital to execute our business plan, we have substantially limited investments in tooling and other aspects of the Endurance and our operations. The trade-offs we are making, including related to hard tooling, are likely to result in higher costs for the Company in the future and are likely to slow or impair future design enhancements or options we may otherwise seek to make available to Endurance customers.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4" w:name="page15"/>
    <w:bookmarkEnd w:id="14"/>
    <w:p>
      <w:pPr>
        <w:ind w:left="60" w:right="119"/>
        <w:spacing w:after="0" w:line="238" w:lineRule="auto"/>
        <w:rPr>
          <w:sz w:val="20"/>
          <w:szCs w:val="20"/>
          <w:color w:val="auto"/>
        </w:rPr>
      </w:pPr>
      <w:r>
        <w:rPr>
          <w:rFonts w:ascii="Arial" w:cs="Arial" w:eastAsia="Arial" w:hAnsi="Arial"/>
          <w:sz w:val="18"/>
          <w:szCs w:val="18"/>
          <w:color w:val="auto"/>
        </w:rPr>
        <w:t>Our research and development expenses and capital expenditures are significant due to spending needed to achieve certification, homologation and all the related activities to commence commercial sale of the Endurance. During 2021, we experienced the stress that the COVID-19 pandemic put on the global automotive supply chain. Furthermore, in 2021 and 2022, we have incurred significant freight charges due in part to the COVID-19 pandemic and challenging logistics that created delays and higher pricing on standard freight, as well as substantially higher expedited freight charges to mitigate delays. The Company expects continued supply chain constraints including the availability of and long lead times for components, as well as raw materials and other pricing pressures that are likely to negatively impact our cost structure and production timeline. We also have meaningful exposure to material losses and costs related to ongoing litigation for which insurance has been denied for certain claims and may be unavailable for those and other claims. See Note 5 – Commitments and Contingencies for additional information.</w:t>
      </w:r>
    </w:p>
    <w:p>
      <w:pPr>
        <w:spacing w:after="0" w:line="17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 xml:space="preserve">In an effort to alleviate these conditions, management continues to seek and evaluate opportunities to raise additional funds through the issuance of equity or debt securities, asset sales, through arrangements with strategic partners or through financing from government or financial institutions. </w:t>
      </w:r>
      <w:r>
        <w:rPr>
          <w:rFonts w:ascii="Arial" w:cs="Arial" w:eastAsia="Arial" w:hAnsi="Arial"/>
          <w:sz w:val="18"/>
          <w:szCs w:val="18"/>
          <w:color w:val="010101"/>
        </w:rPr>
        <w:t>We have engaged a financial</w:t>
      </w:r>
      <w:r>
        <w:rPr>
          <w:rFonts w:ascii="Arial" w:cs="Arial" w:eastAsia="Arial" w:hAnsi="Arial"/>
          <w:sz w:val="18"/>
          <w:szCs w:val="18"/>
          <w:color w:val="auto"/>
        </w:rPr>
        <w:t xml:space="preserve"> </w:t>
      </w:r>
      <w:r>
        <w:rPr>
          <w:rFonts w:ascii="Arial" w:cs="Arial" w:eastAsia="Arial" w:hAnsi="Arial"/>
          <w:sz w:val="18"/>
          <w:szCs w:val="18"/>
          <w:color w:val="010101"/>
        </w:rPr>
        <w:t>advisor to advise the Company on additional financing alternatives</w:t>
      </w:r>
      <w:r>
        <w:rPr>
          <w:rFonts w:ascii="Arial" w:cs="Arial" w:eastAsia="Arial" w:hAnsi="Arial"/>
          <w:sz w:val="18"/>
          <w:szCs w:val="18"/>
          <w:color w:val="000000"/>
        </w:rPr>
        <w:t>. No assurances can be given that any such</w:t>
      </w:r>
      <w:r>
        <w:rPr>
          <w:rFonts w:ascii="Arial" w:cs="Arial" w:eastAsia="Arial" w:hAnsi="Arial"/>
          <w:sz w:val="18"/>
          <w:szCs w:val="18"/>
          <w:color w:val="010101"/>
        </w:rPr>
        <w:t xml:space="preserve"> </w:t>
      </w:r>
      <w:r>
        <w:rPr>
          <w:rFonts w:ascii="Arial" w:cs="Arial" w:eastAsia="Arial" w:hAnsi="Arial"/>
          <w:sz w:val="18"/>
          <w:szCs w:val="18"/>
          <w:color w:val="000000"/>
        </w:rPr>
        <w:t>financing will be available on commercially reasonable terms or at all.</w:t>
      </w:r>
    </w:p>
    <w:p>
      <w:pPr>
        <w:spacing w:after="0" w:line="163"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As further described in Note 7, on July 23, 2021, the Company entered into the Equity Purchase Agreement with YA, pursuant to which YA has committed to purchase up to $400 million of its Class A common stock, at the Company’s direction from time to time, subject to the satisfaction of certain conditions (the “Equity Purchase Agreement”). During the nine months ended September 30, 2022, the Company issued 17.5 million shares to YA and received $40.4 million, net of equity issuance costs. During the nine months ended September 30, 2021, the Company issued 3.9 million shares to YA and received $20.0 million, net of equity issuance costs. The actual amount that the Company may raise under this agreement will depend on market conditions and limitations in the agreement. In particular, without stockholder approval, the amount of shares the Company can issue would be limited to up to 35.1 million shares (unless the average price of all shares sold is $7.48 or higher) (the “Exchange Cap”), less the 27.1 million shares already issued, and therefore this share limitation and the current market price that would be the basis for the price of the shares of Class A common stock to be sold limit the funds the Company is able to raise to significantly less than the original $400 million commitment under the Equity Purchase Agreement. As of September 30, 2022, the Company was in compliance with the terms and conditions of the Equity Purchase Agreement and the remaining availability under the Equity Purchase Agreement was limited to approximately 8 million shares due to the conditions described above. In addition, it is expected that the Sales Agreement will replace the Equity Purchase Agreement as the means for the Company to obtain financing through the periodic sale of Class A common stock in at-the-market transactions, subject to various conditions and limitations, and the Equity Purchase Agreement will be terminated. See Note 8 – Subsequent Events and Part II, Item 5. Other Events for additional information.</w:t>
      </w:r>
    </w:p>
    <w:p>
      <w:pPr>
        <w:spacing w:after="0" w:line="37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 xml:space="preserve">On May 11, 2022, pursuant to the APA Closing, the Company sold the Lordstown facility to Foxconn for $230 million and a reimbursement payment for certain operating and expansion costs incurred by the Company from September 1, 2021 through the APA Closing (see – </w:t>
      </w:r>
      <w:r>
        <w:rPr>
          <w:rFonts w:ascii="Arial" w:cs="Arial" w:eastAsia="Arial" w:hAnsi="Arial"/>
          <w:sz w:val="18"/>
          <w:szCs w:val="18"/>
          <w:i w:val="1"/>
          <w:iCs w:val="1"/>
          <w:color w:val="auto"/>
        </w:rPr>
        <w:t>Closing of the APA with Foxconn</w:t>
      </w:r>
      <w:r>
        <w:rPr>
          <w:rFonts w:ascii="Arial" w:cs="Arial" w:eastAsia="Arial" w:hAnsi="Arial"/>
          <w:sz w:val="18"/>
          <w:szCs w:val="18"/>
          <w:color w:val="auto"/>
        </w:rPr>
        <w:t>).</w:t>
      </w:r>
    </w:p>
    <w:p>
      <w:pPr>
        <w:spacing w:after="0" w:line="155"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Foxconn made down payments of the purchase price totaling $ 200 million through April 15, 2022, of which $100 million was received during the nine months ended September 30, 2022, and the $30 million balance of the purchase price as well as a reimbursement payment of approximately $27.5 million were paid at the APA Closing. Under the terms of the APA, the $17.5 million reimbursement costs were an estimate which was subsequently increased to $18.4 million as of September 30, 2022, and on October 13, 2022, the final settlement payment was received.</w:t>
      </w:r>
    </w:p>
    <w:p>
      <w:pPr>
        <w:spacing w:after="0" w:line="165"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In addition to providing the Company with additional capital, the Foxconn Transactions provide opportunity for the benefits of scaled manufacturing, more cost-effective access to certain raw materials, components and inputs, and will reduce the overhead costs associated with the Lordstown facility that were previously borne by the Company. In connection with the Foxconn Joint Venture Agreement, Foxconn committed to make term loans to Lordstown EV exclusively to fund our capital commitments to the Foxconn Joint Venture in 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5" w:name="page16"/>
    <w:bookmarkEnd w:id="15"/>
    <w:p>
      <w:pPr>
        <w:ind w:left="60" w:right="359"/>
        <w:spacing w:after="0" w:line="242" w:lineRule="auto"/>
        <w:rPr>
          <w:sz w:val="20"/>
          <w:szCs w:val="20"/>
          <w:color w:val="auto"/>
        </w:rPr>
      </w:pPr>
      <w:r>
        <w:rPr>
          <w:rFonts w:ascii="Arial" w:cs="Arial" w:eastAsia="Arial" w:hAnsi="Arial"/>
          <w:sz w:val="18"/>
          <w:szCs w:val="18"/>
          <w:color w:val="auto"/>
        </w:rPr>
        <w:t>aggregate original principal amount not to exceed $45 million pursuant to Notes. As of September 30, 2022, $13.5 million was borrowed by Lordstown EV under a Note dated June 24, 2022. Under the Investment Agreement, the parties have agreed to terminate the Foxconn Joint Venture and the parties will no longer be subject to their capital commitments. In connection with the termination, all remaining funds held by the Foxconn Joint Venture will be distributed to Foxconn as a distribution for amounts contributed by it and as a repayment in full of any loans advanced by it to Lordstown EV.</w:t>
      </w:r>
    </w:p>
    <w:p>
      <w:pPr>
        <w:spacing w:after="0" w:line="16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By entering into the Investment Agreement with Foxconn, subject to the conditions set forth in the Investment Agreement, we expect to receive approximately $ 52.7 million from the issuance of our Class A common stock and Preferred Stock in the fourth quarter of 2022, of which approximately $22.7 million can be used for general corporate purposes and $30 million is restricted for use in connection with the EV Program. The additional capital that may be available to us under the Investment Agreement is subject to regulatory approvals and achieving certain program milestones, among other conditions. Notwithstanding this funding arrangement, we will continue to require substantial additional capital in order to fulfill our business plans under the EV Program and otherwise. (See Note 8 - Subsequent Events for additional information.)</w:t>
      </w:r>
    </w:p>
    <w:p>
      <w:pPr>
        <w:spacing w:after="0" w:line="18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As we seek additional sources of financing and strategic partners, there can be no assurance that such financing would be available to us on favorable terms or at all. The Company’s ability to obtain additional financing is subject to several factors, including market and economic conditions, the significant amount of capital required, the fact that the Endurance bill of materials cost is currently, and expected to continue to be, substantially higher than the anticipated selling price of the Endurance, uncertainty surrounding regulatory approval and the performance of the vehicle, meaningful exposure to material expenses and losses related to ongoing litigation, the market price of our stock, our performance and investor sentiment with respect to the Company and our business and industry, as well as our ability to effectively implement and realize the expected benefits of the Foxconn Transactions. As a result of these uncertainties, and notwithstanding management’s plans and efforts to date, there continues to be substantial doubt about the Company’s ability to continue as a going concern. </w:t>
      </w:r>
      <w:r>
        <w:rPr>
          <w:rFonts w:ascii="Arial" w:cs="Arial" w:eastAsia="Arial" w:hAnsi="Arial"/>
          <w:sz w:val="18"/>
          <w:szCs w:val="18"/>
          <w:color w:val="231F20"/>
        </w:rPr>
        <w:t>If we are unable to raise substantial additional capital in the near term, our operations and</w:t>
      </w:r>
      <w:r>
        <w:rPr>
          <w:rFonts w:ascii="Arial" w:cs="Arial" w:eastAsia="Arial" w:hAnsi="Arial"/>
          <w:sz w:val="18"/>
          <w:szCs w:val="18"/>
          <w:color w:val="auto"/>
        </w:rPr>
        <w:t xml:space="preserve"> </w:t>
      </w:r>
      <w:r>
        <w:rPr>
          <w:rFonts w:ascii="Arial" w:cs="Arial" w:eastAsia="Arial" w:hAnsi="Arial"/>
          <w:sz w:val="18"/>
          <w:szCs w:val="18"/>
          <w:color w:val="231F20"/>
        </w:rPr>
        <w:t xml:space="preserve">production plans will be scaled back or curtailed. If the funds raised are insufficient to provide a bridge to full commercial production at a profit, our operations could be severely curtailed or cease entirely </w:t>
      </w:r>
      <w:r>
        <w:rPr>
          <w:rFonts w:ascii="Arial" w:cs="Arial" w:eastAsia="Arial" w:hAnsi="Arial"/>
          <w:sz w:val="18"/>
          <w:szCs w:val="18"/>
          <w:color w:val="000000"/>
        </w:rPr>
        <w:t>and we may not</w:t>
      </w:r>
      <w:r>
        <w:rPr>
          <w:rFonts w:ascii="Arial" w:cs="Arial" w:eastAsia="Arial" w:hAnsi="Arial"/>
          <w:sz w:val="18"/>
          <w:szCs w:val="18"/>
          <w:color w:val="231F20"/>
        </w:rPr>
        <w:t xml:space="preserve"> </w:t>
      </w:r>
      <w:r>
        <w:rPr>
          <w:rFonts w:ascii="Arial" w:cs="Arial" w:eastAsia="Arial" w:hAnsi="Arial"/>
          <w:sz w:val="18"/>
          <w:szCs w:val="18"/>
          <w:color w:val="000000"/>
        </w:rPr>
        <w:t>realize any significant value from our assets.</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12"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preparation of financial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Asset impairment loss calculations require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functional obsolescence, asset condition and discount rates. When performing impairment tests, we estimate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At September 30, 2022 our cash and cash equivalents totaled approximately $154.2 million. In general, investments with original maturities of greater than three months and remaining maturities of less than one year are classified as short-term investments. Our short-term investments consist primarily of liquid investment grade commercial paper, which are diversified among individual issuers, including non-U.S. governments, non-U.S. governmental agencies, supranational institutions, banks and corporations. At September 30, 2022, we had short-term investments with a fair value of approximately $49.3 million with maturities in January and February of 2023. The short-term investments are accounted for as available-for-sale securities. The settlement risk related to these investments is insignificant given that the short-term investments held are primarily highly liquid investment-grade fixed-income securities.</w:t>
      </w:r>
    </w:p>
    <w:p>
      <w:pPr>
        <w:spacing w:after="0" w:line="186"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Company maintains its cash in bank deposit and securities accounts that exceed federally insured limits. We have not experienced significant losses in such accounts and management believes it is not exposed to material credit risk.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Inventory Valuation</w:t>
      </w:r>
    </w:p>
    <w:p>
      <w:pPr>
        <w:spacing w:after="0" w:line="212"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Inventory is stated at the lower of cost or net realizable value (“LCNRV”). Net realizable value (“NRV”) is the estimated future selling price of the inventory in the ordinary course of business. Non-cash charges to reflect the NRV of inventory on hand are recorded within Selling, General &amp; Administrative expenses in the Company’s condensed consolidated statement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will be computed using the straight-line method over the estimated useful lives of the related assets.</w:t>
      </w:r>
    </w:p>
    <w:p>
      <w:pPr>
        <w:spacing w:after="0" w:line="154"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76"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 See Note 4 for details regarding our impairment.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Equity-Method Investments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recognize our investments in unconsolidated entities over whose operating and financial policies we have the ability to exercise significant influence but not control, under the equity method of accounting. We initially record our investments based on our cash invested.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12"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testing and manufacturing costs, along with expenditures for prototype manufacturing, testing, validation, certification, contract and other professional services and costs associated with operating the Lordstown facility, prior to its sale.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17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Company accounts for the Public Warrants (as defined below), the Private Warrants (as defined below) and the Foxconn Warrants as described in Note 3 in accordance with the guidance contained in ASC Topic 815-40-15-7D and 7F under which the Public Warrants, the Private Warrants and the Foxconn Warrants do not meet the criteria for equity treatment and must be recorded as liabilities. Accordingly, the Company classifies the Public Warrants, the Private Warrants and the Foxconn Warrants as liabilities at their fair value and adjusts the Public Warrants, the Private Warrants and the Foxconn Warrants to fair value at each reporting period or at the time of settlement. Any change in fair value is recognized in the statement of operations. The Company accounts for the BGL Warrants as equity as these warrants qualify as share-based compensation under ASC Topic 718.</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7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 The Company does not have material uncertain tax positions.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479"/>
        <w:spacing w:after="0" w:line="301" w:lineRule="auto"/>
        <w:rPr>
          <w:sz w:val="20"/>
          <w:szCs w:val="20"/>
          <w:color w:val="auto"/>
        </w:rPr>
      </w:pPr>
      <w:r>
        <w:rPr>
          <w:rFonts w:ascii="Arial" w:cs="Arial" w:eastAsia="Arial" w:hAnsi="Arial"/>
          <w:sz w:val="17"/>
          <w:szCs w:val="17"/>
          <w:color w:val="auto"/>
        </w:rPr>
        <w:t xml:space="preserve">In February 2016,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and has subsequently issued several supplemental and/or clarifying ASUs (collectively, “ASC 842”) to increase transparency and comparability among</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8" w:name="page19"/>
    <w:bookmarkEnd w:id="18"/>
    <w:p>
      <w:pPr>
        <w:ind w:left="60" w:right="239"/>
        <w:spacing w:after="0" w:line="253" w:lineRule="auto"/>
        <w:rPr>
          <w:sz w:val="20"/>
          <w:szCs w:val="20"/>
          <w:color w:val="auto"/>
        </w:rPr>
      </w:pPr>
      <w:r>
        <w:rPr>
          <w:rFonts w:ascii="Arial" w:cs="Arial" w:eastAsia="Arial" w:hAnsi="Arial"/>
          <w:sz w:val="18"/>
          <w:szCs w:val="18"/>
          <w:color w:val="auto"/>
        </w:rPr>
        <w:t>organizations by recognizing lease assets and lease liabilities on the balance sheet and disclosing key information about leasing arrangements. The Company adopted ASC 842 effective January 1, 2021, but there was no material impact on the condensed consolidated financial statements.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1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The Company has short-term investments which are primarily commercial paper that are classified as Level II.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76"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auto"/>
        </w:rPr>
        <w:t>The Company has issued the following warrants: (i) warrants (the “Public Warrants”) to purchase shares of Class A common stock with an exercise price of $11.50 per share, (ii) warrants (the “Private Warrants”) to purchase Class A common stock with an exercise price of $11.50 per share, (iii) warrants (the “BGL Warrants”) to purchase Class A common stock with an exercise price of $10.00 per share, and (iv) the Foxconn Warrants to purchase shares of Class A common stock with an exercise price of $10.50. The BGL Warrants are classified as equity as they qualify as share-based compensation under ASC Topic 718.</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nine months ended September 30, 2021, approximately 6.7 million Public Warrants and 0.6 million of the Private Warrants were exercised which resulted in cash proceeds of $ 82.0 million. As of December 31, 2021 and September 30, 2022, there were 2.3 million Private Warrants, 1.6 million BGL Warrants and no Public Warrants outstanding. Additionally, as of September 30, 2022, there were also 1.7 million Foxconn Warrants outstanding. The fair value of the Foxconn Warrants was $0.3 million at issuance. The Public Warrants, the Private Warrants and the Foxconn Warrants are classified as a liability with any changes in the fair value recognized immediately in our condensed consolidated statements of operations.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net (loss) gain on changes in fair value (in thousands) related to the Public Warrants, the Private Warrants, and the Foxconn Warrants: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2300" w:type="dxa"/>
            <w:vAlign w:val="bottom"/>
          </w:tcPr>
          <w:p>
            <w:pPr>
              <w:spacing w:after="0"/>
              <w:rPr>
                <w:sz w:val="15"/>
                <w:szCs w:val="15"/>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r>
      <w:tr>
        <w:trPr>
          <w:trHeight w:val="203"/>
        </w:trPr>
        <w:tc>
          <w:tcPr>
            <w:tcW w:w="2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Warrants</w:t>
            </w:r>
          </w:p>
        </w:tc>
        <w:tc>
          <w:tcPr>
            <w:tcW w:w="5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2"/>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(27,180)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Private Warrants</w:t>
            </w:r>
          </w:p>
        </w:tc>
        <w:tc>
          <w:tcPr>
            <w:tcW w:w="5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12,263</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Foxconn Warrants</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4"/>
        </w:trPr>
        <w:tc>
          <w:tcPr>
            <w:tcW w:w="2300" w:type="dxa"/>
            <w:vAlign w:val="bottom"/>
          </w:tcPr>
          <w:p>
            <w:pPr>
              <w:spacing w:after="0" w:line="163" w:lineRule="exact"/>
              <w:rPr>
                <w:sz w:val="20"/>
                <w:szCs w:val="20"/>
                <w:color w:val="auto"/>
              </w:rPr>
            </w:pPr>
            <w:r>
              <w:rPr>
                <w:rFonts w:ascii="Arial" w:cs="Arial" w:eastAsia="Arial" w:hAnsi="Arial"/>
                <w:sz w:val="18"/>
                <w:szCs w:val="18"/>
                <w:color w:val="auto"/>
              </w:rPr>
              <w:t>Net (loss) gain on changes</w:t>
            </w:r>
          </w:p>
        </w:tc>
        <w:tc>
          <w:tcPr>
            <w:tcW w:w="5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39"/>
        </w:trPr>
        <w:tc>
          <w:tcPr>
            <w:tcW w:w="2300" w:type="dxa"/>
            <w:vAlign w:val="bottom"/>
          </w:tcPr>
          <w:p>
            <w:pPr>
              <w:spacing w:after="0"/>
              <w:rPr>
                <w:sz w:val="20"/>
                <w:szCs w:val="20"/>
                <w:color w:val="auto"/>
              </w:rPr>
            </w:pPr>
            <w:r>
              <w:rPr>
                <w:rFonts w:ascii="Arial" w:cs="Arial" w:eastAsia="Arial" w:hAnsi="Arial"/>
                <w:sz w:val="18"/>
                <w:szCs w:val="18"/>
                <w:color w:val="auto"/>
              </w:rPr>
              <w:t>in fair value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3,344</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54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(14,918)</w:t>
            </w:r>
          </w:p>
        </w:tc>
      </w:tr>
    </w:tbl>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 The Private Warrants and the Foxconn Warrants are measured at fair value using Level 3 inputs. These instruments are not actively traded and are valued using a Monte Carlo option pricing model and Black Scholes option pricing model, respectively, that use observable and unobservable market data as inputs.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9" w:name="page20"/>
    <w:bookmarkEnd w:id="19"/>
    <w:p>
      <w:pPr>
        <w:spacing w:after="0" w:line="4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 simulates risk-neutral stock price paths utilizing two parameters – a drift term (based on the risk-free rate and assumed volatility) and an error term (determined using a random number and assumed volatility).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applicable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16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Foxconn Warrants do not have any redemption features and their fair value was measured using the Black-Scholes closed-form option pricing model. Inputs to the model include remaining term, prevailing stock price, strike price, risk-free rate, and volatility.</w:t>
      </w:r>
    </w:p>
    <w:p>
      <w:pPr>
        <w:spacing w:after="0" w:line="15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stock price volatility rates utilized were 90% and 50% for the valuations as of September 30, 2022 and December 31, 2021, respectively. This assumption considers observed historical stock price volatility of other companies operating in the same or similar industry as the Company over a period similar to the remaining term of the Private Warrants and the Foxconn Warrants, as well as the volatility implied by the traded options of the Company. The risk-free rates utilized were 4.173% and 1.123% for the valuations as of September 30, 2022 and December 31, 2021, respectively, for the Private Warrants. The risk-free rate utilized for the valuation of the Foxconn Warrants as of September 30, 2022 was 4.173%.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18"/>
              <w:spacing w:after="0"/>
              <w:rPr>
                <w:sz w:val="20"/>
                <w:szCs w:val="20"/>
                <w:color w:val="auto"/>
              </w:rPr>
            </w:pPr>
            <w:r>
              <w:rPr>
                <w:rFonts w:ascii="Arial" w:cs="Arial" w:eastAsia="Arial" w:hAnsi="Arial"/>
                <w:sz w:val="14"/>
                <w:szCs w:val="14"/>
                <w:b w:val="1"/>
                <w:bCs w:val="1"/>
                <w:color w:val="auto"/>
              </w:rPr>
              <w:t>Quoted prices in</w:t>
            </w:r>
          </w:p>
        </w:tc>
        <w:tc>
          <w:tcPr>
            <w:tcW w:w="340" w:type="dxa"/>
            <w:vAlign w:val="bottom"/>
          </w:tcPr>
          <w:p>
            <w:pPr>
              <w:spacing w:after="0"/>
              <w:rPr>
                <w:sz w:val="14"/>
                <w:szCs w:val="14"/>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rPr>
              <w:t>Prices with</w:t>
            </w:r>
          </w:p>
        </w:tc>
        <w:tc>
          <w:tcPr>
            <w:tcW w:w="40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38"/>
              <w:spacing w:after="0"/>
              <w:rPr>
                <w:sz w:val="20"/>
                <w:szCs w:val="20"/>
                <w:color w:val="auto"/>
              </w:rPr>
            </w:pPr>
            <w:r>
              <w:rPr>
                <w:rFonts w:ascii="Arial" w:cs="Arial" w:eastAsia="Arial" w:hAnsi="Arial"/>
                <w:sz w:val="14"/>
                <w:szCs w:val="14"/>
                <w:b w:val="1"/>
                <w:bCs w:val="1"/>
                <w:color w:val="auto"/>
              </w:rPr>
              <w:t>active markets</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70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unobservable inputs</w:t>
            </w:r>
          </w:p>
        </w:tc>
      </w:tr>
      <w:tr>
        <w:trPr>
          <w:trHeight w:val="178"/>
        </w:trPr>
        <w:tc>
          <w:tcPr>
            <w:tcW w:w="24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September 30, 2022</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154,232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154,232</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49,304</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49,304</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731</w:t>
            </w:r>
          </w:p>
        </w:tc>
        <w:tc>
          <w:tcPr>
            <w:tcW w:w="260" w:type="dxa"/>
            <w:vAlign w:val="bottom"/>
          </w:tcPr>
          <w:p>
            <w:pPr>
              <w:spacing w:after="0"/>
              <w:rPr>
                <w:sz w:val="21"/>
                <w:szCs w:val="21"/>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Foxconn Warrants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382"/>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18"/>
              <w:spacing w:after="0"/>
              <w:rPr>
                <w:sz w:val="20"/>
                <w:szCs w:val="20"/>
                <w:color w:val="auto"/>
              </w:rPr>
            </w:pPr>
            <w:r>
              <w:rPr>
                <w:rFonts w:ascii="Arial" w:cs="Arial" w:eastAsia="Arial" w:hAnsi="Arial"/>
                <w:sz w:val="14"/>
                <w:szCs w:val="14"/>
                <w:b w:val="1"/>
                <w:bCs w:val="1"/>
                <w:color w:val="auto"/>
              </w:rPr>
              <w:t>Quoted prices in</w:t>
            </w:r>
          </w:p>
        </w:tc>
        <w:tc>
          <w:tcPr>
            <w:tcW w:w="340" w:type="dxa"/>
            <w:vAlign w:val="bottom"/>
          </w:tcPr>
          <w:p>
            <w:pPr>
              <w:spacing w:after="0"/>
              <w:rPr>
                <w:sz w:val="24"/>
                <w:szCs w:val="24"/>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rPr>
              <w:t>Prices with</w:t>
            </w:r>
          </w:p>
        </w:tc>
        <w:tc>
          <w:tcPr>
            <w:tcW w:w="400" w:type="dxa"/>
            <w:vAlign w:val="bottom"/>
          </w:tcPr>
          <w:p>
            <w:pPr>
              <w:spacing w:after="0"/>
              <w:rPr>
                <w:sz w:val="24"/>
                <w:szCs w:val="2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38"/>
              <w:spacing w:after="0"/>
              <w:rPr>
                <w:sz w:val="20"/>
                <w:szCs w:val="20"/>
                <w:color w:val="auto"/>
              </w:rPr>
            </w:pPr>
            <w:r>
              <w:rPr>
                <w:rFonts w:ascii="Arial" w:cs="Arial" w:eastAsia="Arial" w:hAnsi="Arial"/>
                <w:sz w:val="14"/>
                <w:szCs w:val="14"/>
                <w:b w:val="1"/>
                <w:bCs w:val="1"/>
                <w:color w:val="auto"/>
              </w:rPr>
              <w:t>active markets</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70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unobservable inputs</w:t>
            </w:r>
          </w:p>
        </w:tc>
      </w:tr>
      <w:tr>
        <w:trPr>
          <w:trHeight w:val="178"/>
        </w:trPr>
        <w:tc>
          <w:tcPr>
            <w:tcW w:w="24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244,016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244,016</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2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00" w:type="dxa"/>
            <w:vAlign w:val="bottom"/>
          </w:tcPr>
          <w:p>
            <w:pPr>
              <w:spacing w:after="0"/>
              <w:rPr>
                <w:sz w:val="22"/>
                <w:szCs w:val="22"/>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22"/>
                <w:szCs w:val="22"/>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Loss on fair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 at</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320" w:type="dxa"/>
            <w:vAlign w:val="bottom"/>
          </w:tcPr>
          <w:p>
            <w:pPr>
              <w:spacing w:after="0"/>
              <w:rPr>
                <w:sz w:val="14"/>
                <w:szCs w:val="14"/>
                <w:color w:val="auto"/>
              </w:rPr>
            </w:pPr>
          </w:p>
        </w:tc>
        <w:tc>
          <w:tcPr>
            <w:tcW w:w="1160" w:type="dxa"/>
            <w:vAlign w:val="bottom"/>
          </w:tcPr>
          <w:p>
            <w:pPr>
              <w:jc w:val="right"/>
              <w:ind w:right="236"/>
              <w:spacing w:after="0"/>
              <w:rPr>
                <w:sz w:val="20"/>
                <w:szCs w:val="20"/>
                <w:color w:val="auto"/>
              </w:rPr>
            </w:pPr>
            <w:r>
              <w:rPr>
                <w:rFonts w:ascii="Arial" w:cs="Arial" w:eastAsia="Arial" w:hAnsi="Arial"/>
                <w:sz w:val="14"/>
                <w:szCs w:val="14"/>
                <w:b w:val="1"/>
                <w:bCs w:val="1"/>
                <w:color w:val="auto"/>
              </w:rPr>
              <w:t>Balance at</w:t>
            </w:r>
          </w:p>
        </w:tc>
      </w:tr>
      <w:tr>
        <w:trPr>
          <w:trHeight w:val="178"/>
        </w:trPr>
        <w:tc>
          <w:tcPr>
            <w:tcW w:w="20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Settlements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r>
      <w:tr>
        <w:trPr>
          <w:trHeight w:val="203"/>
        </w:trPr>
        <w:tc>
          <w:tcPr>
            <w:tcW w:w="2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rPr>
              <w:t>485</w:t>
            </w:r>
          </w:p>
        </w:tc>
        <w:tc>
          <w:tcPr>
            <w:tcW w:w="114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w:t>
            </w:r>
          </w:p>
        </w:tc>
      </w:tr>
      <w:tr>
        <w:trPr>
          <w:trHeight w:val="261"/>
        </w:trPr>
        <w:tc>
          <w:tcPr>
            <w:tcW w:w="2060" w:type="dxa"/>
            <w:vAlign w:val="bottom"/>
          </w:tcPr>
          <w:p>
            <w:pPr>
              <w:ind w:left="20"/>
              <w:spacing w:after="0"/>
              <w:rPr>
                <w:sz w:val="20"/>
                <w:szCs w:val="20"/>
                <w:color w:val="auto"/>
              </w:rPr>
            </w:pPr>
            <w:r>
              <w:rPr>
                <w:rFonts w:ascii="Arial" w:cs="Arial" w:eastAsia="Arial" w:hAnsi="Arial"/>
                <w:sz w:val="18"/>
                <w:szCs w:val="18"/>
                <w:color w:val="auto"/>
              </w:rPr>
              <w:t>Foxconn Warrants</w:t>
            </w:r>
          </w:p>
        </w:tc>
        <w:tc>
          <w:tcPr>
            <w:tcW w:w="200" w:type="dxa"/>
            <w:vAlign w:val="bottom"/>
          </w:tcPr>
          <w:p>
            <w:pPr>
              <w:spacing w:after="0"/>
              <w:rPr>
                <w:sz w:val="22"/>
                <w:szCs w:val="22"/>
                <w:color w:val="auto"/>
              </w:rPr>
            </w:pPr>
          </w:p>
        </w:tc>
        <w:tc>
          <w:tcPr>
            <w:tcW w:w="12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323</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1"/>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w:t>
            </w: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thousands)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Pr>
          <w:p>
            <w:pPr>
              <w:spacing w:after="0"/>
              <w:rPr>
                <w:sz w:val="14"/>
                <w:szCs w:val="14"/>
                <w:color w:val="auto"/>
              </w:rPr>
            </w:pPr>
          </w:p>
        </w:tc>
        <w:tc>
          <w:tcPr>
            <w:tcW w:w="2180" w:type="dxa"/>
            <w:vAlign w:val="bottom"/>
          </w:tcPr>
          <w:p>
            <w:pPr>
              <w:jc w:val="right"/>
              <w:ind w:right="532"/>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&amp; Equipment</w:t>
            </w:r>
          </w:p>
        </w:tc>
        <w:tc>
          <w:tcPr>
            <w:tcW w:w="34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24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r>
      <w:tr>
        <w:trPr>
          <w:trHeight w:val="203"/>
        </w:trPr>
        <w:tc>
          <w:tcPr>
            <w:tcW w:w="3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w:t>
            </w:r>
          </w:p>
        </w:tc>
        <w:tc>
          <w:tcPr>
            <w:tcW w:w="3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43,723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39,073</w:t>
            </w:r>
          </w:p>
        </w:tc>
      </w:tr>
      <w:tr>
        <w:trPr>
          <w:trHeight w:val="203"/>
        </w:trPr>
        <w:tc>
          <w:tcPr>
            <w:tcW w:w="3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Tooling</w:t>
            </w:r>
          </w:p>
        </w:tc>
        <w:tc>
          <w:tcPr>
            <w:tcW w:w="34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127,225</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49,072</w:t>
            </w:r>
          </w:p>
        </w:tc>
        <w:tc>
          <w:tcPr>
            <w:tcW w:w="3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337,124</w:t>
            </w:r>
          </w:p>
        </w:tc>
      </w:tr>
      <w:tr>
        <w:trPr>
          <w:trHeight w:val="196"/>
        </w:trPr>
        <w:tc>
          <w:tcPr>
            <w:tcW w:w="35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220,020</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18"/>
                <w:szCs w:val="18"/>
                <w:color w:val="auto"/>
              </w:rPr>
            </w:pPr>
          </w:p>
        </w:tc>
        <w:tc>
          <w:tcPr>
            <w:tcW w:w="24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3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220,020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2021, construction in progress included manufacturing equipment, operating equipment and other general assets, retooling and construction at the Company's facilities in Lordstown, Ohio, Farmington Hills, Michigan, and Irvine, California, along with tooling held at various supplier locations. During the nine months ended September 30, 2022, the Company sold its manufacturing facility, certain equipment, and other assets located in Lordstown, Ohio and recorded a gain of $101.7 million. We continue to own our hub motor assembly line, as well as our battery module and pack line assets, certain tooling and other excluded assets. As all of our fixed assets currently support the production of the Endurance, we determined that our assets represent one asset group as this is the lowest level for which identifiable cash flows are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1" w:name="page22"/>
    <w:bookmarkEnd w:id="21"/>
    <w:p>
      <w:pPr>
        <w:ind w:left="60" w:right="199"/>
        <w:spacing w:after="0" w:line="253" w:lineRule="auto"/>
        <w:rPr>
          <w:sz w:val="20"/>
          <w:szCs w:val="20"/>
          <w:color w:val="auto"/>
        </w:rPr>
      </w:pPr>
      <w:r>
        <w:rPr>
          <w:rFonts w:ascii="Arial" w:cs="Arial" w:eastAsia="Arial" w:hAnsi="Arial"/>
          <w:sz w:val="18"/>
          <w:szCs w:val="18"/>
          <w:color w:val="auto"/>
        </w:rPr>
        <w:t>available. In September of 2022, we began commercial production with two vehicles completing assembly and completed assets were transferred to their respective asset classes. Depreciation during the quarter ended September 30, 2022 was immaterial.</w:t>
      </w:r>
    </w:p>
    <w:p>
      <w:pPr>
        <w:spacing w:after="0" w:line="169"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As of the end of the fiscal years ended December 31, 2020 and December 31, 2021, the Company determined that there was a substantial doubt in our ability to continue as a going concern. Our capital constraints have limited our ability to: (a) invest in hard tooling for scaled production of the Endurance and (b) establish multi-year production volumes consistent with our suppliers’ expectations. These factors together result in a bill of materials (“BOM”) cost for the Endurance that is significantly higher than the expected selling price.</w:t>
      </w:r>
    </w:p>
    <w:p>
      <w:pPr>
        <w:spacing w:after="0" w:line="15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September 30, 2022, property, plant, and equipment was reviewed for potential impairment for recoverability by comparing the carrying amount of our asset group to estimated undiscounted future cash flows expected to be generated by the asset group. As the carrying amount of our asset group exceeds its estimated undiscounted future cash flows, we recognized a $74.9 million charge based on the difference between the carrying value of the fixed assets and their fair value. The fair value was based on total enterprise value using level 1 inputs as we believe this technique results in the highest and best use of a hypothetical marketplace participant. Additional impairments could occur in future periods.</w:t>
      </w:r>
    </w:p>
    <w:p>
      <w:pPr>
        <w:spacing w:after="0" w:line="171"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As of September 30, 2022, construction in progress primarily includes certain production equipment and tooling not yet placed in service and uninstalled equipment acquired for higher capacity production, and general assets at Farmington Hills, Michigan, and Irvine, California.</w:t>
      </w:r>
    </w:p>
    <w:p>
      <w:pPr>
        <w:spacing w:after="0" w:line="15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We outsource all of the manufacturing of the Endurance and operation of certain remaining assets to Foxconn under the Contract Manufacturing Agreement.</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1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Company has entered into a supply agreement with Samsung to purchase lithium-ion cylindrical battery cells. The agreement provides for certain pricing and minimum quantity parameters, including our obligation to purchase such minimum amounts, subject to change for increases in raw material pricing. The agreement was amended for 2022 such that our minimum obligations for the year were satisfied as of September 30, 2022.</w:t>
      </w:r>
    </w:p>
    <w:p>
      <w:pPr>
        <w:spacing w:after="0" w:line="160"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The Company is subject to extensive pending and threatened legal proceedings arising in the ordinary course of business and we have already incurred, and expect to continue to incur, significant legal expenses in defending against these claims. The Company records a liability for loss contingencies in the condensed consolidated interim financial statements when a loss is known or considered probable and the amount can be reasonably estimated. The Company has and may in the future enter into discussions regarding settlement of these matters, and may enter into settlement agreements if it believes it is in the best interest of the Company. Settlement by the Company or adverse decisions with respect to the matters disclosed, individually or in the aggregate, may result in liability material to the Company’s condensed consolidated results of operations, financial condition or cash flows.</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During the three and nine months ended September 30, 2022, the Company recorded accruals of $30.0 million and $32.0 million, respectively, for certain of its outstanding legal proceedings within Accrued and other current liabilities on its Consolidated Balance Sheet. The accrual is based on current information, legal advice and the potential impact of the outcome of one or more claims on related matters and may be adjusted in the future based on new developments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accrual does not reflect a full range of possible outcomes for these proceedings or the full amount of any damages alleged, which are significantly higher. Furthermore, the Company may use Class A common stock as consideration in any settlement. While the Company believes that additional losses beyond current accruals are likely, and any such additional losses may be significant, it cannot presently estimate a possible loss contingency or range of reasonably possible loss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2" w:name="page23"/>
    <w:bookmarkEnd w:id="22"/>
    <w:p>
      <w:pPr>
        <w:ind w:left="60" w:right="179"/>
        <w:spacing w:after="0" w:line="271" w:lineRule="auto"/>
        <w:rPr>
          <w:sz w:val="20"/>
          <w:szCs w:val="20"/>
          <w:color w:val="auto"/>
        </w:rPr>
      </w:pPr>
      <w:r>
        <w:rPr>
          <w:rFonts w:ascii="Arial" w:cs="Arial" w:eastAsia="Arial" w:hAnsi="Arial"/>
          <w:sz w:val="18"/>
          <w:szCs w:val="18"/>
          <w:color w:val="auto"/>
        </w:rPr>
        <w:t>contingencies beyond current accruals. Estimating probable losses requires the analysis of multiple forecasted factors that often depend on judgments and potential actions by third parties.</w:t>
      </w:r>
    </w:p>
    <w:p>
      <w:pPr>
        <w:spacing w:after="0" w:line="15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 xml:space="preserve">Lordstown was notified by its primary insurer under our post-merger directors and officers insurance policy that the insurer is taking the position that no coverage is available for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Lordstown is analyzing the insurer’s position, and intends to pursue any available coverage under this policy and other insurance. As a result of the denial of coverage, no or limited insurance may be available to us to reimburse our expenses or cover any potential losses for these matters, which could be significant. </w:t>
      </w:r>
      <w:r>
        <w:rPr>
          <w:rFonts w:ascii="Arial" w:cs="Arial" w:eastAsia="Arial" w:hAnsi="Arial"/>
          <w:sz w:val="18"/>
          <w:szCs w:val="18"/>
          <w:color w:val="000000"/>
        </w:rPr>
        <w:t>The insurers in our Side A D&amp;O</w:t>
      </w:r>
      <w:r>
        <w:rPr>
          <w:rFonts w:ascii="Arial" w:cs="Arial" w:eastAsia="Arial" w:hAnsi="Arial"/>
          <w:sz w:val="18"/>
          <w:szCs w:val="18"/>
          <w:color w:val="231F20"/>
        </w:rPr>
        <w:t xml:space="preserve"> </w:t>
      </w:r>
      <w:r>
        <w:rPr>
          <w:rFonts w:ascii="Arial" w:cs="Arial" w:eastAsia="Arial" w:hAnsi="Arial"/>
          <w:sz w:val="18"/>
          <w:szCs w:val="18"/>
          <w:color w:val="000000"/>
        </w:rPr>
        <w:t>insurance program, providing coverage for individual directors and officers in derivative actions and certain other situations, have not denied coverage on this basis or otherwise.</w:t>
      </w:r>
    </w:p>
    <w:p>
      <w:pPr>
        <w:spacing w:after="0" w:line="18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Legal fees and costs of litigation or an adverse judgment or settlement in any one or more of our ongoing litigation matters that are not insured or that is in excess of insurance coverage could significantly exceed our current accrual and ability to pay. This would have a material adverse effect on our financial position and results of operations and could severely curtail or cause our operations to cease entirely.</w:t>
      </w:r>
    </w:p>
    <w:p>
      <w:pPr>
        <w:spacing w:after="0" w:line="17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based on a variety of claims and theories asserting very substantial losses by Karma and/or improper benefit to the Company that significantly exceed the Company’s accrual with respect to the matter and ability to pay. The Company has opposed Karma’s damages claims on factual and legal grounds, including lack of causality. The Company is vigorously challenging Karma’s asserted damages.</w:t>
      </w:r>
    </w:p>
    <w:p>
      <w:pPr>
        <w:spacing w:after="0" w:line="182"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52"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18, 2022, the Court granted in part Karma’s motion for sanctions against Mr. Post and the Company, finding that Karma</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3" w:name="page24"/>
    <w:bookmarkEnd w:id="23"/>
    <w:p>
      <w:pPr>
        <w:ind w:left="60" w:right="79"/>
        <w:spacing w:after="0" w:line="242" w:lineRule="auto"/>
        <w:rPr>
          <w:sz w:val="20"/>
          <w:szCs w:val="20"/>
          <w:color w:val="auto"/>
        </w:rPr>
      </w:pPr>
      <w:r>
        <w:rPr>
          <w:rFonts w:ascii="Arial" w:cs="Arial" w:eastAsia="Arial" w:hAnsi="Arial"/>
          <w:sz w:val="18"/>
          <w:szCs w:val="18"/>
          <w:color w:val="auto"/>
        </w:rPr>
        <w:t>was entitled to reasonable attorneys’ fees and costs incurred as a result of Mr. Post’s and the Company’s failure to comply with the Court’s discovery orders. Karma’s request for terminating sanctions was denied. As a result of the Court’s order, on March 4, 2022, Karma submitted its application for attorneys’ fees and costs in the amount of $0.1 million. The Company did not oppose Karma’s application, and on March 21, 2022 the Court ordered an award of Karma’s costs and attorneys’ fees against the Company and Mr. Post in the amount of $0.1 million, which has been paid by the Company.</w:t>
      </w:r>
    </w:p>
    <w:p>
      <w:pPr>
        <w:spacing w:after="0" w:line="165"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On July 22, 2022, Karma filed a second motion for terminating sanctions against the Company and against Mr. Post based upon Mr. Post’s installation of anti-forensic software on his personal computers following his second deposition. Karma has requested that the Court enter default judgment on all claims against Mr. Post and the Company. Karma also asks that, in the event terminating sanctions are not issued, the Court order a negative adverse inference on “remaining issues,” specifically that “Defendants Lordstown Motors Corp. and Darren Post shall be presumed to have misappropriated Karma’s trade secrets and confidential information, used Karma’s trade secrets and confidential information, and deliberately and maliciously destroyed evidence of their misappropriation and use of Karma’s trade secrets and confidential information in considering all damages and maliciousness.” The Court denied Karma’s second request for terminating sanctions in all respects.</w:t>
      </w:r>
    </w:p>
    <w:p>
      <w:pPr>
        <w:spacing w:after="0" w:line="15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 xml:space="preserve">On September 27, 2022, Karma filed an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application to continue the trial date until January 2023. The Company opposed the request. On September 28, 2022, the Court denied Karma’s request to continue the trial. However, on October 26, following the receipt of the parties’ pretrial filings, the Court, on its own initiative vacated the December 6, 2022 trial date. The case will be rescheduled for a trial date in 2023.</w:t>
      </w:r>
    </w:p>
    <w:p>
      <w:pPr>
        <w:spacing w:after="0" w:line="160" w:lineRule="exact"/>
        <w:rPr>
          <w:sz w:val="20"/>
          <w:szCs w:val="20"/>
          <w:color w:val="auto"/>
        </w:rPr>
      </w:pPr>
    </w:p>
    <w:p>
      <w:pPr>
        <w:ind w:left="60" w:right="419"/>
        <w:spacing w:after="0" w:line="261" w:lineRule="auto"/>
        <w:rPr>
          <w:sz w:val="20"/>
          <w:szCs w:val="20"/>
          <w:color w:val="auto"/>
        </w:rPr>
      </w:pPr>
      <w:r>
        <w:rPr>
          <w:rFonts w:ascii="Arial" w:cs="Arial" w:eastAsia="Arial" w:hAnsi="Arial"/>
          <w:sz w:val="17"/>
          <w:szCs w:val="17"/>
          <w:color w:val="auto"/>
        </w:rPr>
        <w:t>The Company and the individual defendants have moved for summary judgment on many of the claims and issues in the case. A hearing on the summary judgment motions is scheduled for November 14, 2022.The Company is continuing to evaluate the matters asserted in the lawsuit and is vigorously defending against Karma’s claims. The Company continues to believe that there are strong defenses to the claims and any damages demanded. The proceedings are subject to uncertainties inherent in the litigation process.</w:t>
      </w:r>
    </w:p>
    <w:p>
      <w:pPr>
        <w:spacing w:after="0" w:line="152"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Six related putative securities class action lawsuits were filed against the Company and certain of its current and former officers and directors and former DiamondPeak Holdings Corp.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w:t>
      </w:r>
    </w:p>
    <w:p>
      <w:pPr>
        <w:spacing w:after="0" w:line="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We intend to vigorously defend against the claims. The proceedings are subject to uncertainties inherent in the litigation process.</w:t>
      </w:r>
    </w:p>
    <w:p>
      <w:pPr>
        <w:spacing w:after="0" w:line="18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and Sarabia v. Burns, et al. (Case No. 21-cv-1010)).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4" w:name="page25"/>
    <w:bookmarkEnd w:id="24"/>
    <w:p>
      <w:pPr>
        <w:ind w:left="60" w:right="99"/>
        <w:spacing w:after="0" w:line="238" w:lineRule="auto"/>
        <w:rPr>
          <w:sz w:val="20"/>
          <w:szCs w:val="20"/>
          <w:color w:val="auto"/>
        </w:rPr>
      </w:pPr>
      <w:r>
        <w:rPr>
          <w:rFonts w:ascii="Arial" w:cs="Arial" w:eastAsia="Arial" w:hAnsi="Arial"/>
          <w:sz w:val="18"/>
          <w:szCs w:val="18"/>
          <w:color w:val="auto"/>
        </w:rPr>
        <w:t>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was not resolved by September 3, 2022.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September 3, 2022. The parties filed another court-ordered joint status report on October 28, 2022. We intend to vigorously defend against the claims. The proceedings are subject to uncertainties inherent in the litigation process.</w:t>
      </w:r>
    </w:p>
    <w:p>
      <w:pPr>
        <w:spacing w:after="0" w:line="18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We intend to vigorously defend against the claims. The proceedings are subject to uncertainties inherent in the litigation process.</w:t>
      </w:r>
    </w:p>
    <w:p>
      <w:pPr>
        <w:spacing w:after="0" w:line="18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2022, the court granted the parties’ proposed stipulation and order to consolidate the actions, and to stay the consolidated action pending the resolution of the motion to dismiss in the consolidated securities class action. While the action remains stayed, on June 24, 2022, the plaintiffs filed a consolidated complaint asserting similar claims, and substituting a new plaintiff (Ed Lomont) for Cormier, who no longer appears to be a named plaintiff in the consolidated action. We intend to vigorously defend against these actions. The proceedings are subject to uncertainties inherent in the litigation process.</w:t>
      </w:r>
    </w:p>
    <w:p>
      <w:pPr>
        <w:spacing w:after="0" w:line="18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(Hebert v. Hamamoto, et al. (C.A. No. 2021-1066); and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Defendants filed a motion to dismiss the amended class action complaint on October 14, 2022. Plaintiffs’ answering brief and Defendants’ reply brief are due on November 18 and December 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5" w:name="page26"/>
    <w:bookmarkEnd w:id="25"/>
    <w:p>
      <w:pPr>
        <w:ind w:left="60" w:right="519"/>
        <w:spacing w:after="0" w:line="253" w:lineRule="auto"/>
        <w:rPr>
          <w:sz w:val="20"/>
          <w:szCs w:val="20"/>
          <w:color w:val="auto"/>
        </w:rPr>
      </w:pPr>
      <w:r>
        <w:rPr>
          <w:rFonts w:ascii="Arial" w:cs="Arial" w:eastAsia="Arial" w:hAnsi="Arial"/>
          <w:sz w:val="18"/>
          <w:szCs w:val="18"/>
          <w:color w:val="auto"/>
        </w:rPr>
        <w:t>2022, respectively. Oral argument on the motion to dismiss has been scheduled for January 6, 2022. The defendants intend to vigorously defend against the claims. The proceedings are subject to uncertainties inherent in the litigation process.</w:t>
      </w:r>
    </w:p>
    <w:p>
      <w:pPr>
        <w:spacing w:after="0" w:line="16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addition, between approximately March 26, 2021 and September 23, 2021, LMC received eight demands for books and records pursuant to Section 220 of the Delaware General Corporation Law from stockholders who state they are investigating whether to file similar derivative lawsuits, among other purposes. A lawsuit to compel inspection of books and records under 8 Del. C. § 220 was filed against the Company on May 31, 2022 in the Delaware Court of Chancery (Turner v. Lordstown Motors Corp. (C.A. No. 2022-0468)). The plaintiff seeks production of documents related to, among other things, vehicle pre-orders, production timeline, and stock sales by insiders. The parties are engaged in discussions to resolve or narrow this action and do not have a schedule for responding to the complaint. We intend to vigorously defend against this action to the extent it is not resolved. The proceedings are subject to uncertainties inherent in the litigation process.</w:t>
      </w:r>
    </w:p>
    <w:p>
      <w:pPr>
        <w:spacing w:after="0" w:line="18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has also received two subpoenas from the SEC for the production of documents and information, including relating to the merger between DiamondPeak and Lordstown EV Corporation (formerly known as Lordstown Motors Corp.), a Delaware corporation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79"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On March 24, 2022, the Company received a letter addressed to its Board from the law firm of Purcell &amp; Lefkowitz LLP (“Purcell”) on behalf of three purported stockholders.</w:t>
      </w:r>
    </w:p>
    <w:p>
      <w:pPr>
        <w:spacing w:after="0" w:line="14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stockholder letter alleged that we would be required by Rules 14a-4(a)(3) and (b)(1) of the Exchange Act to present two separate proposals at the annual meeting of stockholders held on May 19, 2022 (the “2022 Annual Meeting”) relating to the proposed amendment of our Second Amended and Restated Certificate of Incorporation, as amended (the “Charter”) to increase the number of authorized shares, such that separate votes could be cast on a proposed increase in the number of shares of Class A common stock and a proposed increase in the number of shares of preferred stock. The Company does not believe that separate proposals would be required by the Exchange Act. Irrespective of the position asserted in the stockholder letter, the Company no longer believes an increase in the shares of preferred stock is needed and did not include this aspect of the proposal in the definitive proxy statement for the 2022 Annual Meeting filed with the SEC on April 8, 2022, as supplemented on May 9, 2022 (the “2022 Proxy Statement”).</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stockholder letter also addressed the approval of the Charter at the special meeting of stockholders held on October 22, 2020 (the “2020 Special Meeting”), which included a 200 million share increase in the number of authorized shares of Class A common stock and was approved by majority of the then-outstanding shares of both series of the Company’s common stock, voting as a single class. The stockholder letter alleged that the Charter approval required a separate vote in favor by at least a majority of the outstanding shares of Class A common stock under Section 242(b)(2) of the Delaware General Corporation Law (“DGCL”), and that the 200 million shares in question are thus unauthorized. The stockholder letter requested that the Company present a proposal at the 2022 Annual Meeting seeking ratification of the number of shares of Class A common stock authorized under the Company’s current Charter.</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Board has completed its review of the matters raised by the stockholder letter with the assistance of outside counsel not involved in the underlying transactions at issue and determined, (a) in reliance upon, among other things, advice of several law firms including a legal opinion of Delaware counsel, that the assertions regarding DGCL Section 242(b)(2) are wrong and that a separate class vote of the Class A common stock was not required to approve the amendment of the Charter at the 2020 Special Meeting to increase the shares of Class A common stock, and (b) that the remaining allegations therein are without merit. However, no assurances can be made regarding the outcome of any claims, proceedings or litigation regarding the authorization of our Class A common stock, including the claims raised by the stockholder letter. Any proceedings on these matters would be subject to uncertainties inherent in the litigation process.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6" w:name="page27"/>
    <w:bookmarkEnd w:id="26"/>
    <w:p>
      <w:pPr>
        <w:ind w:left="60" w:right="299"/>
        <w:spacing w:after="0" w:line="301" w:lineRule="auto"/>
        <w:rPr>
          <w:sz w:val="20"/>
          <w:szCs w:val="20"/>
          <w:color w:val="auto"/>
        </w:rPr>
      </w:pPr>
      <w:r>
        <w:rPr>
          <w:rFonts w:ascii="Arial" w:cs="Arial" w:eastAsia="Arial" w:hAnsi="Arial"/>
          <w:sz w:val="17"/>
          <w:szCs w:val="17"/>
          <w:color w:val="auto"/>
        </w:rPr>
        <w:t>Claims alleging that a portion of our Class A common stock was not authorized could lead to shares of our Class A common stock being voidable and have a material adverse effect on the Company and its prospects.</w:t>
      </w:r>
    </w:p>
    <w:p>
      <w:pPr>
        <w:spacing w:after="0" w:line="131"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May 20, 2022, the Company received a second letter addressed to its Board from Purcell on behalf of the same three purported stockholders regarding the vote at the 2022 Annual Meeting to approve the amendment to our Charter to increase the total number of authorized shares of Class A common stock from 300 million shares to 450 million shares (the “Charter Amendment”), as further described in the 2022 Proxy Statement. The letter asserted, among other things, that that in connection with the vote at the Annual Meeting to approve the Charter Amendment, brokers had cast discretionary votes on such proposal despite a statement in the 2022 Proxy Statement that they would not have authority to do so. The Proxy Statement erroneously indicated that brokers would not have discretionary authority to vote with respect to the proposal to approve the Charter Amendment and that if beneficial owners did not provide direction to their broker as to how to vote, a broker non-vote would result that would have the effect of a vote cast against such proposal. The Company’s Current Report on Form 8-K filed with the SEC on May 19, 2022 reported that the Charter Amendment was approved at the Annual Meeting and that the Charter was thereby amended, as the Charter Amendment had been filed with the Secretary of State of the State of Delaware.</w:t>
      </w:r>
    </w:p>
    <w:p>
      <w:pPr>
        <w:spacing w:after="0" w:line="18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Company’s Current Report on Form 8-K filed on May 23, 2022 reported that the Purcell letter had been received (and filed it as an exhibit), that the report of the votes at the Annual Meeting regarding the approval of the Charter Amendment was not considered final and that, to date, none of the shares authorized by the Charter Amendment had been issued. On May 31, 2022, after further review by the Company and its Board of the votes on the proposal to approve the Charter Amendment, due to uncertainty in counting the number of votes cast “for” by brokers exercising discretion without direction from the beneficial owner, the Board determined not to consider the Charter Amendment approved by the Company’s stockholders and we filed a Certificate of Correction with the Secretary of State of the State of Delaware, voiding the Charter Amendment and causing the number of authorized shares of Class A common stock to remain at 300 million.</w:t>
      </w:r>
    </w:p>
    <w:p>
      <w:pPr>
        <w:spacing w:after="0" w:line="170" w:lineRule="exact"/>
        <w:rPr>
          <w:sz w:val="20"/>
          <w:szCs w:val="20"/>
          <w:color w:val="auto"/>
        </w:rPr>
      </w:pPr>
    </w:p>
    <w:p>
      <w:pPr>
        <w:ind w:left="60" w:right="179"/>
        <w:spacing w:after="0" w:line="256" w:lineRule="auto"/>
        <w:rPr>
          <w:sz w:val="20"/>
          <w:szCs w:val="20"/>
          <w:color w:val="auto"/>
        </w:rPr>
      </w:pPr>
      <w:r>
        <w:rPr>
          <w:rFonts w:ascii="Arial" w:cs="Arial" w:eastAsia="Arial" w:hAnsi="Arial"/>
          <w:sz w:val="17"/>
          <w:szCs w:val="17"/>
          <w:color w:val="auto"/>
        </w:rPr>
        <w:t>The Company’s Form 8-K/A filed with the SEC on June 1, 2022, amending and supplementing the Forms 8-K filed by the Company on May 19, 2022, and May 23, 2022, reported that the Company had filed the Certificate of Correction and announced that the Board had called a special meeting of stockholders to be held on August 17, 2022 (“2022 Special Meeting”), to resubmit for approval an amendment to our Charter to increase the number of authorized shares of our Common Stock from 300 million to 450 million shares (the “Certificate of Amendment”). On July 7, 2022, we filed a definitive proxy statement for the 2022 Special Meeting and, at the</w:t>
      </w:r>
    </w:p>
    <w:p>
      <w:pPr>
        <w:ind w:left="60" w:right="339"/>
        <w:spacing w:after="0" w:line="255" w:lineRule="auto"/>
        <w:rPr>
          <w:sz w:val="20"/>
          <w:szCs w:val="20"/>
          <w:color w:val="auto"/>
        </w:rPr>
      </w:pPr>
      <w:r>
        <w:rPr>
          <w:rFonts w:ascii="Arial" w:cs="Arial" w:eastAsia="Arial" w:hAnsi="Arial"/>
          <w:sz w:val="18"/>
          <w:szCs w:val="18"/>
          <w:color w:val="auto"/>
        </w:rPr>
        <w:t>2022 Special Meeting, our stockholders approved the Certificate of Amendment. The parties have reached a settlement agreement to resolve the issues raised in both of the letters from Purcell. The amount of the settlement is not material to the Company.</w:t>
      </w:r>
    </w:p>
    <w:p>
      <w:pPr>
        <w:spacing w:after="0" w:line="19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material claims. From time to time however, the Company may be subject to various legal proceedings and claims that arise in the ordinary course of its business activities.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color w:val="auto"/>
        </w:rPr>
        <w:t>NOTE 6 — RELATED PARTY TRANSACTIONS</w:t>
      </w:r>
    </w:p>
    <w:p>
      <w:pPr>
        <w:spacing w:after="0" w:line="21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$ 4.75 million. The upfront royalty payment represented an advance on the royalties discussed above. The upfront royalty payment was recorded as other non-current assets as of September 30, 2022 and December 31, 2021.</w:t>
      </w:r>
    </w:p>
    <w:p>
      <w:pPr>
        <w:spacing w:after="0" w:line="185"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During the nine months ended September 30, 2021, we continued to refine the design of the Endurance and considered technologies we would use in future vehicles. Given the lack of Workhorse technology used in the Endurance and new management’s strategic direction of the Company, inclusive of the transactions contemplated with Foxconn as detailed in Note 1, we deemed it appropriate to change the useful life of the technology we acquired from Workhorse to zero months. As such, we recorded accelerated amortization of $11.1 million during the third quarter of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Workhorse Group was no longer determined to be a related party.</w:t>
      </w:r>
    </w:p>
    <w:p>
      <w:pPr>
        <w:spacing w:after="0" w:line="212"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As described in Note 1, the Company invested $13.5 million into the Foxconn Joint Venture, of which the Company owns 45%. Pursuant to the Investment Agreement, the Company will be reimbursed for certain costs incurred by the Company on behalf of the Foxconn Joint Venture (See Note 8 – Subsequent Events).</w:t>
      </w:r>
    </w:p>
    <w:p>
      <w:pPr>
        <w:spacing w:after="0" w:line="15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Company has adopted a related party transaction policy that instituted a process to review and approve all material transactions between the Foxconn Joint Venture and the Company. The Company intends to modify this policy to apply to those transactions contemplated by the Investment Agreement.</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CAPITAL STOCK AND LOSS PER SHARE</w:t>
      </w:r>
    </w:p>
    <w:p>
      <w:pPr>
        <w:spacing w:after="0" w:line="212" w:lineRule="exact"/>
        <w:rPr>
          <w:sz w:val="20"/>
          <w:szCs w:val="20"/>
          <w:color w:val="auto"/>
        </w:rPr>
      </w:pPr>
    </w:p>
    <w:p>
      <w:pPr>
        <w:ind w:left="60" w:right="179"/>
        <w:spacing w:after="0"/>
        <w:rPr>
          <w:sz w:val="20"/>
          <w:szCs w:val="20"/>
          <w:color w:val="auto"/>
        </w:rPr>
      </w:pPr>
      <w:r>
        <w:rPr>
          <w:rFonts w:ascii="Arial" w:cs="Arial" w:eastAsia="Arial" w:hAnsi="Arial"/>
          <w:sz w:val="18"/>
          <w:szCs w:val="18"/>
          <w:color w:val="231F20"/>
        </w:rPr>
        <w:t xml:space="preserve">Our Charter provides for 462 million authorized shares of capital stock, consisting of (i) 450 million shares of Class A common stock and (ii) 12 million shares of preferred stock each with a par value of $0.0001. We had 216.9 </w:t>
      </w:r>
      <w:r>
        <w:rPr>
          <w:rFonts w:ascii="Arial" w:cs="Arial" w:eastAsia="Arial" w:hAnsi="Arial"/>
          <w:sz w:val="18"/>
          <w:szCs w:val="18"/>
          <w:color w:val="000000"/>
        </w:rPr>
        <w:t>million and 196.4 million shares of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 of September 30, 2022 and</w:t>
      </w:r>
      <w:r>
        <w:rPr>
          <w:rFonts w:ascii="Arial" w:cs="Arial" w:eastAsia="Arial" w:hAnsi="Arial"/>
          <w:sz w:val="18"/>
          <w:szCs w:val="18"/>
          <w:color w:val="231F20"/>
        </w:rPr>
        <w:t xml:space="preserve"> </w:t>
      </w:r>
      <w:r>
        <w:rPr>
          <w:rFonts w:ascii="Arial" w:cs="Arial" w:eastAsia="Arial" w:hAnsi="Arial"/>
          <w:sz w:val="18"/>
          <w:szCs w:val="18"/>
          <w:color w:val="000000"/>
        </w:rPr>
        <w:t>December 31, 2021, respectively. Prior to the Initial Closing (as defined below), the Company will file with the Secretary of the State of Delaware a Certificate of Designation, Preferences and Rights of the Series A Convertible Preferred Stock designating 1 million shares as Series A Convertible Preferred Stock and designating the rights, preferences and limitations of such shares. (See Note 8 – Subsequent Events.)</w:t>
      </w:r>
    </w:p>
    <w:p>
      <w:pPr>
        <w:spacing w:after="0" w:line="185"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three months ended September 30, 2022, our share equivalent included 0.3 million options,1.6 million BGL Warrants, 2.3 million Private Warrants, and 1.7 million Foxconn Warrants outstanding. For the three months ended September 30, 2021, our share equivalent included 3.1 million options, 1.6 million BGL Warrants, and 2.3 million Private Warrants outstanding. None of the stock options or warrants were included in the calculation of diluted EPS because we recorded a net loss for the three and nine months ended September 30, 2022 and 2021 as including these instruments would be anti-dilutive.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9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 2021</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 2022</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 2021</w:t>
            </w:r>
          </w:p>
        </w:tc>
      </w:tr>
      <w:tr>
        <w:trPr>
          <w:trHeight w:val="164"/>
        </w:trPr>
        <w:tc>
          <w:tcPr>
            <w:tcW w:w="292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8"/>
                <w:szCs w:val="18"/>
                <w:color w:val="auto"/>
              </w:rPr>
              <w:t>Basic and diluted weighted</w:t>
            </w: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211,946</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178,761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203,147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176,573</w:t>
            </w:r>
          </w:p>
        </w:tc>
        <w:tc>
          <w:tcPr>
            <w:tcW w:w="20" w:type="dxa"/>
            <w:vAlign w:val="bottom"/>
          </w:tcPr>
          <w:p>
            <w:pPr>
              <w:spacing w:after="0"/>
              <w:rPr>
                <w:sz w:val="19"/>
                <w:szCs w:val="19"/>
                <w:color w:val="auto"/>
              </w:rPr>
            </w:pPr>
          </w:p>
        </w:tc>
      </w:tr>
      <w:tr>
        <w:trPr>
          <w:trHeight w:val="652"/>
        </w:trPr>
        <w:tc>
          <w:tcPr>
            <w:tcW w:w="2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gridSpan w:val="2"/>
          </w:tcPr>
          <w:p>
            <w:pPr>
              <w:jc w:val="right"/>
              <w:ind w:right="1268"/>
              <w:spacing w:after="0"/>
              <w:rPr>
                <w:sz w:val="20"/>
                <w:szCs w:val="20"/>
                <w:color w:val="auto"/>
              </w:rPr>
            </w:pPr>
            <w:r>
              <w:rPr>
                <w:rFonts w:ascii="Arial" w:cs="Arial" w:eastAsia="Arial" w:hAnsi="Arial"/>
                <w:sz w:val="18"/>
                <w:szCs w:val="18"/>
                <w:color w:val="auto"/>
                <w:w w:val="89"/>
              </w:rPr>
              <w:t>28</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9"/>
        </w:trPr>
        <w:tc>
          <w:tcPr>
            <w:tcW w:w="2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8" w:right="1440" w:bottom="1440" w:gutter="0" w:footer="0" w:header="0"/>
        </w:sectPr>
      </w:pPr>
    </w:p>
    <w:bookmarkStart w:id="28" w:name="page29"/>
    <w:bookmarkEnd w:id="28"/>
    <w:p>
      <w:pPr>
        <w:spacing w:after="0" w:line="24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n July 23, 2021, the Company entered into the Equity Purchase Agreement with YA, pursuant to which YA has</w:t>
      </w:r>
      <w:r>
        <w:rPr>
          <w:rFonts w:ascii="Arial" w:cs="Arial" w:eastAsia="Arial" w:hAnsi="Arial"/>
          <w:sz w:val="18"/>
          <w:szCs w:val="18"/>
          <w:color w:val="auto"/>
        </w:rPr>
        <w:t xml:space="preserve"> </w:t>
      </w:r>
      <w:r>
        <w:rPr>
          <w:rFonts w:ascii="Arial" w:cs="Arial" w:eastAsia="Arial" w:hAnsi="Arial"/>
          <w:sz w:val="18"/>
          <w:szCs w:val="18"/>
          <w:color w:val="231F20"/>
        </w:rPr>
        <w:t xml:space="preserve">committed to purchase up to $400 million of our Class A common stock, at our direction from time to time, subject to the satisfaction of certain conditions. </w:t>
      </w:r>
      <w:r>
        <w:rPr>
          <w:rFonts w:ascii="Arial" w:cs="Arial" w:eastAsia="Arial" w:hAnsi="Arial"/>
          <w:sz w:val="18"/>
          <w:szCs w:val="18"/>
          <w:color w:val="000000"/>
        </w:rPr>
        <w:t>Such sales of Class A common stock, are subject to certain</w:t>
      </w:r>
      <w:r>
        <w:rPr>
          <w:rFonts w:ascii="Arial" w:cs="Arial" w:eastAsia="Arial" w:hAnsi="Arial"/>
          <w:sz w:val="18"/>
          <w:szCs w:val="18"/>
          <w:color w:val="231F20"/>
        </w:rPr>
        <w:t xml:space="preserve"> </w:t>
      </w:r>
      <w:r>
        <w:rPr>
          <w:rFonts w:ascii="Arial" w:cs="Arial" w:eastAsia="Arial" w:hAnsi="Arial"/>
          <w:sz w:val="18"/>
          <w:szCs w:val="18"/>
          <w:color w:val="000000"/>
        </w:rPr>
        <w:t>limitations, and may occur from time to time at our sole discretion, over the approximately 36-month period commencing on the date of the Equity Purchase Agreement, provided that a registration statement covering the resale by YA of the shares of Class A common stock purchased from us is declared effective by the SEC and the other conditions set forth in the Equity Purchase Agreement are satisfied. We filed the registration statement with the SEC on July 30, 2021, and it was declared effective on August 11, 2021.</w:t>
      </w:r>
    </w:p>
    <w:p>
      <w:pPr>
        <w:spacing w:after="0" w:line="180"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Under applicable Nasdaq rules and the Equity Purchase Agreement, we will not sell to YA shares of our Class A common stock in excess of 35.1 million shares, or the Exchange Cap, which is 19.9% of the shares of Class A common stock outstanding immediately prior to the execution of the Equity Purchase Agreement, unless (i) we obtain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Equity Purchase Agreement; or (ii) the average Nasdaq Official Closing Price of the Class A common stock (as reflected on Nasdaq.com) for the five trading days immediately preceding the signing of the Equity Purchase Agreement). At current market prices of our shares of Class A common stock, without stockholder approval, the Exchange Cap would limit the amount of funds we are able to raise to significantly less than the $400 million commitment under the Equity Purchase Agreement.</w:t>
      </w:r>
    </w:p>
    <w:p>
      <w:pPr>
        <w:spacing w:after="0" w:line="173"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We may direct YA to purchase amounts of our Class A common stock under the Equity Purchase Agreement that we specify from time to time in a written notice (an “Advance Notice”) delivered to YA on any trading day. The maximum amount that we may specify in an Advance Notice without YA’s consent is equal to the lesser of:</w:t>
      </w:r>
    </w:p>
    <w:p>
      <w:pPr>
        <w:ind w:left="260" w:hanging="210"/>
        <w:spacing w:after="0" w:line="237"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amount equal to thirty percent (30%) of the Daily Value Traded of the Class A common stock on the</w:t>
      </w:r>
    </w:p>
    <w:p>
      <w:pPr>
        <w:ind w:left="60" w:right="139"/>
        <w:spacing w:after="0" w:line="237" w:lineRule="auto"/>
        <w:rPr>
          <w:rFonts w:ascii="Arial" w:cs="Arial" w:eastAsia="Arial" w:hAnsi="Arial"/>
          <w:sz w:val="18"/>
          <w:szCs w:val="18"/>
          <w:color w:val="auto"/>
        </w:rPr>
      </w:pPr>
      <w:r>
        <w:rPr>
          <w:rFonts w:ascii="Arial" w:cs="Arial" w:eastAsia="Arial" w:hAnsi="Arial"/>
          <w:sz w:val="18"/>
          <w:szCs w:val="18"/>
          <w:color w:val="auto"/>
        </w:rPr>
        <w:t>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or waiver of the conditions under the Equity Purchase Agreement, we may deliver Advance Notices from time to time, provided that we have delivered all shares relating to all prior Advance Notices, and the purchase price of the shares of Class A common stock will be equal to 97% of the simple average of the daily volume weighted average prices for the three trading days following the Advance Notice as set forth in the Equity Purchase Agreement.</w:t>
      </w:r>
    </w:p>
    <w:p>
      <w:pPr>
        <w:spacing w:after="0" w:line="18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16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231F20"/>
        </w:rPr>
        <w:t>During the nine months ended September 30, 2021, inclusive of the 0.4 million Commitment Shares, we issued 3.9 million shares to YA and received $20.0 million cash. During the nine months ended September 30, 2022, we issued 17.5 million shares to YA and received $40.4 million cash, net of equity issuance costs.</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As of September 30, 2022, we were in compliance with the terms and conditions of the Equity Purchase Agreement and the remaining availability under the Equity Purchase Agreement was $309.1 million which is subject to certain limitations as described above. In particular, without stockholder approval, the amount of shares the Company can issue would be limited to up to 35.1 million shares (unless the average price of all shares sold is $7.48 or higher) (“the Exchange Cap”), less the 27.1 million shares already issued, and therefore this share limitation and the current market price that would be the basis for the price of the shares of Class A common stock to be sold limit the funds the Company is able to raise to significantly less than the original $400 million commitment under the Equity Purchase Agreement.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ind w:left="60" w:right="79"/>
        <w:spacing w:after="0" w:line="247" w:lineRule="auto"/>
        <w:rPr>
          <w:sz w:val="20"/>
          <w:szCs w:val="20"/>
          <w:color w:val="auto"/>
        </w:rPr>
      </w:pPr>
      <w:r>
        <w:rPr>
          <w:rFonts w:ascii="Arial" w:cs="Arial" w:eastAsia="Arial" w:hAnsi="Arial"/>
          <w:sz w:val="18"/>
          <w:szCs w:val="18"/>
          <w:color w:val="auto"/>
        </w:rPr>
        <w:t>It is expected that the Equity Purchase Agreement will be terminated as the Sales Agreement will be used as the means for the Company to obtain financing through the periodic sale of the Class A common stock in at the-market transactions, subject to various conditions and limitations. See Note 8 – Subsequent Events and Part II, Item 5. Other Events for additional information.</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SUBSEQUENT EVENTS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Transactions</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November 7, 2022, the Company and an affiliate of Foxconn, Foxconn Ventures Pte, Ltd. (which is part of the entities we collectively refer to herein as “Foxconn”), entered into the Investment Agreement, pursuant to which Foxconn agreed to make an additional equity investment (collectively, the “Investment Transactions”) in the Company in the form of $70 million of our Class A common stock and up to $ 100 million of Series A Convertible Preferred Stock, $0.0001 par value per share (the “Preferred Stock,” and together with the Class A common stock, the “Securities”). The Company will use the proceeds from the sale of the Class A common stock for general corporate purposes as determined by the Company’s Board of Directors (the “Board”) and the proceeds from the sale of the Preferred Stock to fund the EV Program.</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Agreement</w:t>
      </w:r>
    </w:p>
    <w:p>
      <w:pPr>
        <w:spacing w:after="0" w:line="19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At an initial closing to be held on or after November 22, 2022 (the “Initial Closing”), subject to the conditions set forth in the Investment Agreement, Foxconn will purchase: (a) 12.9 million shares of Class A common stock at a purchase price of $1.76 per share for an aggregate purchase price of approximately $22.7 million, and (b) 0.3 million shares of Preferred Stock at a purchase price of $100 per share for an aggregate purchase price of $30 million.</w:t>
      </w:r>
    </w:p>
    <w:p>
      <w:pPr>
        <w:spacing w:after="0" w:line="16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Following the parties’ receipt of a written communication from the U.S. government’s Committee on Foreign Investment in the United States (“CFIUS”) that CFIUS has concluded that the transactions contemplated by the Investment Agreement are not a “covered transaction” or CFIUS has concluded that there are no unresolved national security concerns with respect to the transactions (“CFIUS Clearance”) and any applicable waiting period under the Hart-Scott-Rodino Antitrust Improvements Act of 1976, as amended, has expired or terminated and subject to the other conditions set forth in the Investment Agreement, at a second closing (the “Subsequent Common Closing”) Foxconn will purchase 26.9 million additional shares of Class A common stock at a purchase price of $1.76 per share.</w:t>
      </w:r>
    </w:p>
    <w:p>
      <w:pPr>
        <w:spacing w:after="0" w:line="16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Upon satisfaction of certain EV Program milestones (including establishing an EV Program budget) and subject to satisfaction of other customary conditions set forth in the Investment Agreement, Foxconn will purchase in two tranches up to 0.7 million additional shares of Preferred Stock at a purchase price of $100 per share. The first tranche will be in an amount up to 0.3 million shares for an aggregate purchase price of $30 million; and the second tranche will be in an amount up to 0.4 million shares for an aggregate purchase price of $40 million. The parties have agreed to use commercially reasonable efforts to agree upon the EV Program budget and funding milestones no later than May 7,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Investment Agreement provides that:</w:t>
      </w:r>
    </w:p>
    <w:p>
      <w:pPr>
        <w:spacing w:after="0" w:line="198" w:lineRule="exact"/>
        <w:rPr>
          <w:sz w:val="20"/>
          <w:szCs w:val="20"/>
          <w:color w:val="auto"/>
        </w:rPr>
      </w:pPr>
    </w:p>
    <w:p>
      <w:pPr>
        <w:ind w:left="720" w:right="259"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Board Representation</w:t>
      </w:r>
      <w:r>
        <w:rPr>
          <w:rFonts w:ascii="Arial" w:cs="Arial" w:eastAsia="Arial" w:hAnsi="Arial"/>
          <w:sz w:val="18"/>
          <w:szCs w:val="18"/>
          <w:color w:val="auto"/>
        </w:rPr>
        <w:t>: Foxconn will have the right to appoint two designees to the Board after</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CFIUS Clearance and consummation of the Subsequent Common Closing. Foxconn will relinquish one Board seat if it does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will relinquish its other Board seat if it does not continue to beneficially own at least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0" w:name="page31"/>
    <w:bookmarkEnd w:id="30"/>
    <w:p>
      <w:pPr>
        <w:ind w:left="720" w:right="739"/>
        <w:spacing w:after="0" w:line="245" w:lineRule="auto"/>
        <w:rPr>
          <w:sz w:val="20"/>
          <w:szCs w:val="20"/>
          <w:color w:val="auto"/>
        </w:rPr>
      </w:pPr>
      <w:r>
        <w:rPr>
          <w:rFonts w:ascii="Arial" w:cs="Arial" w:eastAsia="Arial" w:hAnsi="Arial"/>
          <w:sz w:val="18"/>
          <w:szCs w:val="18"/>
          <w:color w:val="auto"/>
        </w:rPr>
        <w:t>25% of the number of shares of Class A common stock (on an as-converted basis) acquired by Foxconn in connection with the Investment Transactions (the “25% Ownership Requirement”).</w:t>
      </w:r>
    </w:p>
    <w:p>
      <w:pPr>
        <w:ind w:left="720" w:right="79" w:hanging="319"/>
        <w:spacing w:after="0" w:line="23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Termination of Foxconn Joint Venture</w:t>
      </w:r>
      <w:r>
        <w:rPr>
          <w:rFonts w:ascii="Arial" w:cs="Arial" w:eastAsia="Arial" w:hAnsi="Arial"/>
          <w:sz w:val="18"/>
          <w:szCs w:val="18"/>
          <w:color w:val="auto"/>
        </w:rPr>
        <w:t>: The Company and Foxconn will cause (i) the Foxconn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Agreement to be amended to terminate all obligations of Lordstown EV Corporation and Foxconn EV Technology, Inc. thereunder, (ii) the Note, dated June 24, 2022, issued by Lordstown EV Corporation and guaranteed by the Company and Lordstown EV Sales to be terminated, and (iii) all liens on assets of Lordstown EV Corporation and the Company to be released. In addition, Foxconn will pay Lordstown EV Corporation approximately $0.4 million for services and reimburse Lordstown EV Corporation approximately $0.1 million for expenses. All remaining funds held by the joint venture will be distributed to Foxconn EV Technology, Inc. as a distribution for amounts contributed by it and as a repayment in full of any loans advanced by it to Lordstown EV Corporation under the Note.</w:t>
      </w:r>
    </w:p>
    <w:p>
      <w:pPr>
        <w:spacing w:after="0" w:line="5" w:lineRule="exact"/>
        <w:rPr>
          <w:rFonts w:ascii="Times New Roman" w:cs="Times New Roman" w:eastAsia="Times New Roman" w:hAnsi="Times New Roman"/>
          <w:sz w:val="18"/>
          <w:szCs w:val="18"/>
          <w:color w:val="auto"/>
        </w:rPr>
      </w:pPr>
    </w:p>
    <w:p>
      <w:pPr>
        <w:ind w:left="720" w:right="139" w:hanging="319"/>
        <w:spacing w:after="0" w:line="248" w:lineRule="auto"/>
        <w:tabs>
          <w:tab w:leader="none" w:pos="7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Standstill</w:t>
      </w:r>
      <w:r>
        <w:rPr>
          <w:rFonts w:ascii="Arial" w:cs="Arial" w:eastAsia="Arial" w:hAnsi="Arial"/>
          <w:sz w:val="17"/>
          <w:szCs w:val="17"/>
          <w:color w:val="auto"/>
        </w:rPr>
        <w:t>: Until the date that is the later of December 31, 2024 and 90 days after the first day on which</w:t>
      </w:r>
      <w:r>
        <w:rPr>
          <w:rFonts w:ascii="Arial" w:cs="Arial" w:eastAsia="Arial" w:hAnsi="Arial"/>
          <w:sz w:val="17"/>
          <w:szCs w:val="17"/>
          <w:i w:val="1"/>
          <w:iCs w:val="1"/>
          <w:color w:val="auto"/>
        </w:rPr>
        <w:t xml:space="preserve"> </w:t>
      </w:r>
      <w:r>
        <w:rPr>
          <w:rFonts w:ascii="Arial" w:cs="Arial" w:eastAsia="Arial" w:hAnsi="Arial"/>
          <w:sz w:val="17"/>
          <w:szCs w:val="17"/>
          <w:color w:val="auto"/>
        </w:rPr>
        <w:t>no Foxconn-appointed director serves on the Board and Foxconn no longer has a right to appoint any directors, without the approval of the Board, Foxconn will not (A) acquire any equity securities of the Company if after the acquisition Foxconn and its affiliates would own (i) prior to the Subsequent Common Closing, 9.99% of the capital stock of the Company that is entitled to vote generally in any election of directors of the Company (“Voting Power”), (ii) prior to the time the Company obtains the approval of stockholders contemplated by Rule 5635 of the Nasdaq listing rules as in effect on November 7, 2022 with respect to certain equity issuances (the “Requisite Stockholder Approval”), 19.99% of the Voting Power, and (iii) at all times following the Subsequent Common Closing and the Requisite Stockholder Approval, 24% of the Voting Power (collectively, the “Ownership Limitations”), or</w:t>
      </w:r>
    </w:p>
    <w:p>
      <w:pPr>
        <w:spacing w:after="0" w:line="4" w:lineRule="exact"/>
        <w:rPr>
          <w:rFonts w:ascii="Times New Roman" w:cs="Times New Roman" w:eastAsia="Times New Roman" w:hAnsi="Times New Roman"/>
          <w:sz w:val="17"/>
          <w:szCs w:val="17"/>
          <w:color w:val="auto"/>
        </w:rPr>
      </w:pPr>
    </w:p>
    <w:p>
      <w:pPr>
        <w:ind w:left="720" w:right="119"/>
        <w:spacing w:after="0" w:line="234" w:lineRule="auto"/>
        <w:rPr>
          <w:rFonts w:ascii="Times New Roman" w:cs="Times New Roman" w:eastAsia="Times New Roman" w:hAnsi="Times New Roman"/>
          <w:sz w:val="17"/>
          <w:szCs w:val="17"/>
          <w:color w:val="auto"/>
        </w:rPr>
      </w:pPr>
      <w:r>
        <w:rPr>
          <w:rFonts w:ascii="Arial" w:cs="Arial" w:eastAsia="Arial" w:hAnsi="Arial"/>
          <w:sz w:val="18"/>
          <w:szCs w:val="18"/>
          <w:color w:val="auto"/>
        </w:rPr>
        <w:t>(B)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w:t>
      </w:r>
    </w:p>
    <w:p>
      <w:pPr>
        <w:spacing w:after="0" w:line="3" w:lineRule="exact"/>
        <w:rPr>
          <w:rFonts w:ascii="Times New Roman" w:cs="Times New Roman" w:eastAsia="Times New Roman" w:hAnsi="Times New Roman"/>
          <w:sz w:val="17"/>
          <w:szCs w:val="17"/>
          <w:color w:val="auto"/>
        </w:rPr>
      </w:pPr>
    </w:p>
    <w:p>
      <w:pPr>
        <w:ind w:left="720" w:right="79" w:hanging="319"/>
        <w:spacing w:after="0" w:line="234"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Exclusivity</w:t>
      </w:r>
      <w:r>
        <w:rPr>
          <w:rFonts w:ascii="Arial" w:cs="Arial" w:eastAsia="Arial" w:hAnsi="Arial"/>
          <w:sz w:val="18"/>
          <w:szCs w:val="18"/>
          <w:color w:val="auto"/>
        </w:rPr>
        <w:t>: Prior to the Subsequent Common Closing, (i) without Foxconn’s consent,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(A) encourage, solicit, initiate or facilitate any Acquisition Proposal (as defined below), (B) enter into any agreement with respect to any Acquisition Proposal or that would cause it not to consummate any of the Investment Transactions or (C) participate in discussions or negotiations with, or furnish any information to, any person in connection with any Acquisition Proposal, and (ii) the Company will inform Foxconn of any Acquisition Proposal that it receives. An “</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 merger, dissolution or similar transaction involving the Company representing 30% or more of the consolidated assets of the Company, or (v) combination of the foregoing. The Company has also agreed that, while the Preferred Stock is outstanding, it will not put in place a poison pill that applies to Preferred Stock held by Foxconn or to Common Stock that Foxconn acquires from the Company.</w:t>
      </w:r>
    </w:p>
    <w:p>
      <w:pPr>
        <w:spacing w:after="0" w:line="9" w:lineRule="exact"/>
        <w:rPr>
          <w:rFonts w:ascii="Times New Roman" w:cs="Times New Roman" w:eastAsia="Times New Roman" w:hAnsi="Times New Roman"/>
          <w:sz w:val="18"/>
          <w:szCs w:val="18"/>
          <w:color w:val="auto"/>
        </w:rPr>
      </w:pPr>
    </w:p>
    <w:p>
      <w:pPr>
        <w:ind w:left="720" w:right="79" w:hanging="319"/>
        <w:spacing w:after="0" w:line="236"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Voting Agreement and Consent Rights</w:t>
      </w:r>
      <w:r>
        <w:rPr>
          <w:rFonts w:ascii="Arial" w:cs="Arial" w:eastAsia="Arial" w:hAnsi="Arial"/>
          <w:sz w:val="18"/>
          <w:szCs w:val="18"/>
          <w:color w:val="auto"/>
        </w:rPr>
        <w:t>: The terms of the Investment Agreement and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 (as defined below) provide that, until the later of (i) December 31, 2024 and (ii) 90 days after the first day on which no Foxconn-appointed director serves on the Board and Foxconn no longer has a right to appoint any directors Foxconn has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So long as the 25% Ownership Requirement is satisfied, without the consent of the holders of at least a majority of the then-issued and outstanding Preferred Stock (voting as a separate class), the Company cannot (i) amend any provision of the Charter or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1" w:name="page32"/>
    <w:bookmarkEnd w:id="31"/>
    <w:p>
      <w:pPr>
        <w:ind w:left="720" w:right="399"/>
        <w:spacing w:after="0" w:line="259" w:lineRule="auto"/>
        <w:rPr>
          <w:sz w:val="20"/>
          <w:szCs w:val="20"/>
          <w:color w:val="auto"/>
        </w:rPr>
      </w:pPr>
      <w:r>
        <w:rPr>
          <w:rFonts w:ascii="Arial" w:cs="Arial" w:eastAsia="Arial" w:hAnsi="Arial"/>
          <w:sz w:val="17"/>
          <w:szCs w:val="17"/>
          <w:color w:val="auto"/>
        </w:rPr>
        <w:t>increase the size of the Board, or (iv) sell, license or lease or encumber any material portion of the Company’s hub motor technology and production line other than in the ordinary course of business.</w:t>
      </w:r>
    </w:p>
    <w:p>
      <w:pPr>
        <w:spacing w:after="0" w:line="1" w:lineRule="exact"/>
        <w:rPr>
          <w:sz w:val="20"/>
          <w:szCs w:val="20"/>
          <w:color w:val="auto"/>
        </w:rPr>
      </w:pPr>
    </w:p>
    <w:p>
      <w:pPr>
        <w:ind w:left="720" w:right="79" w:hanging="319"/>
        <w:spacing w:after="0" w:line="238"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Participation Rights</w:t>
      </w:r>
      <w:r>
        <w:rPr>
          <w:rFonts w:ascii="Arial" w:cs="Arial" w:eastAsia="Arial" w:hAnsi="Arial"/>
          <w:sz w:val="18"/>
          <w:szCs w:val="18"/>
          <w:color w:val="auto"/>
        </w:rPr>
        <w:t>: Following the Subsequent Common Closing and until Foxconn no longer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appoint a director to the Board, other than with respect to certain excluded issuances, Foxconn has the right to purchase its pro rata portion of equity securities proposed to be sold by the Company; provided, that the Company is not required to sell Foxconn securities if the Company would be required to obtain stockholder approval under any applicable law or regulation.</w:t>
      </w:r>
    </w:p>
    <w:p>
      <w:pPr>
        <w:spacing w:after="0" w:line="170" w:lineRule="exact"/>
        <w:rPr>
          <w:sz w:val="20"/>
          <w:szCs w:val="20"/>
          <w:color w:val="auto"/>
        </w:rPr>
      </w:pPr>
    </w:p>
    <w:p>
      <w:pPr>
        <w:ind w:left="60" w:right="499"/>
        <w:spacing w:after="0" w:line="253" w:lineRule="auto"/>
        <w:rPr>
          <w:sz w:val="20"/>
          <w:szCs w:val="20"/>
          <w:color w:val="auto"/>
        </w:rPr>
      </w:pPr>
      <w:r>
        <w:rPr>
          <w:rFonts w:ascii="Arial" w:cs="Arial" w:eastAsia="Arial" w:hAnsi="Arial"/>
          <w:sz w:val="18"/>
          <w:szCs w:val="18"/>
          <w:color w:val="auto"/>
        </w:rPr>
        <w:t>The Investment Agreement contains customary representations, warranties and closing conditions. The Investment Agreement can be terminated by either party if the Initial Closing has not occurred on or before November 7, 2023 and also can be terminated by mutual consent of the parties.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Certificate of Designations of Preferred Stock</w:t>
      </w:r>
    </w:p>
    <w:p>
      <w:pPr>
        <w:spacing w:after="0" w:line="19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Prior to the Initial Closing, the Company will file with the Secretary of the State of Delaware a Certificate of Designation, Preferences and Rights of the Series A Convertible Preferred Stock (the “Certificate of Designations”) designating 1 million shares as Series A Convertible Preferred Stock and designating the rights, preferences and limitations of such shares.</w:t>
      </w:r>
    </w:p>
    <w:p>
      <w:pPr>
        <w:spacing w:after="0" w:line="16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Preferred Stock will, with respect to dividend rights, rights on the distribution of assets on any liquidation, dissolution or winding up of the affairs of the Company and redemption rights, rank: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w:t>
      </w:r>
    </w:p>
    <w:p>
      <w:pPr>
        <w:spacing w:after="0" w:line="16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the event of any liquidation, dissolution or winding up of the affairs of the Company, the holders of Preferred Stock will be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7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Holders of the Preferred Stock will be entitled to receive dividends at a rate equal to 8% per annum, which accrue and accumulate whether or not declared. Such dividends compound quarterly and are payable quarterly in arrears. In addition, the holders of the Preferred Stock participate with any dividends payable in respect of any Junior Stock or Parity Stock.</w:t>
      </w:r>
    </w:p>
    <w:p>
      <w:pPr>
        <w:spacing w:after="0" w:line="16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All holders of shares of Preferred Stock will be entitled to vote with the holders of Class A common stock on all matters submitted to a vote of stockholders of the Company as a single class with each share of Preferred Stock entitled to a number of votes equal to the number of shares of Common Stock into which such share could be converted; provided, that no holder of shares of Preferred Stock will be entitled to vote (i) until the expiration or termination of any applicable waiting period under the Hart-Scott-Rodino Antitrust Improvements Act of 1976, as amended, if applicable, or (ii)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spacing w:after="0" w:line="167"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Pursuant to the Certificate of Designation, commencing on the later of (1) May 7, 2023, and (2) the earlier of (x) the date of the Subsequent Common Closing and (y) November 7, 2023 (the “Conversion Right Date”), the Preferred Stock is convertible at the option of the holder into shares of Class A common stock at 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2" w:name="page33"/>
    <w:bookmarkEnd w:id="32"/>
    <w:p>
      <w:pPr>
        <w:ind w:left="60" w:right="79"/>
        <w:spacing w:after="0"/>
        <w:rPr>
          <w:sz w:val="20"/>
          <w:szCs w:val="20"/>
          <w:color w:val="auto"/>
        </w:rPr>
      </w:pPr>
      <w:r>
        <w:rPr>
          <w:rFonts w:ascii="Arial" w:cs="Arial" w:eastAsia="Arial" w:hAnsi="Arial"/>
          <w:sz w:val="18"/>
          <w:szCs w:val="18"/>
          <w:color w:val="auto"/>
        </w:rPr>
        <w:t>conversion price of $1.936 (the “Conversion Price”), subject to customary adjustments. At any time following the third anniversary of the date of issuance, the Company can cause the Preferred Stock to be converted if the volume-weighted average price of the Common Stock exceeds 200% of the Conversion Price for a period of at least twenty trading days in any period of thirty consecutive trading days. Foxconn’s ability to convert is limited by clauses (i) and (ii) of the definition of the Ownership Limitations. Upon a change of control,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Rights Agreement</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and Foxconn will enter into a Registration Rights Agreement (the “Registration Rights Agreement”) as a condition to the Initial Closing pursuant to which the Company will agree to use reasonable efforts to file and cause to be declared effective a registration statement with the Securities and Exchange Commission (“SEC”) registering the resale of the Securities, including any shares of Common Stock issuable upon conversion of the Preferred Stock, by the earlier to occur of (i) the Subsequent Common Closing, (ii) a determination that CFIUS Clearance will not occur and (iii) May 7, 2023. Foxconn also has customary demand and piggyback registration rights with respect to the Securities, and indemnification rights.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Agreement and ATM Offering</w:t>
      </w:r>
    </w:p>
    <w:p>
      <w:pPr>
        <w:spacing w:after="0" w:line="196"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On November 7, 2022, the Company entered into the Sales Agreement with Jefferies, as agent, pursuant to which the Company may offer and sell up to approximately 50.2 million shares of our Class A common stock, from time to time through Jefferies. The Company intends to file the Prospectus Supplement, concurrent with this Form 10-Q, in connection with the ATM Offering under the Registration Statement. The Company has agreed to pay Jefferies commissions for its services of acting as agent of up to 3% of the gross proceeds from the sale of the shares of Class A common stock pursuant to the Sales Agreement. The Company has also agreed to provide Jefferies with customary indemnification and contribution rights.</w:t>
      </w:r>
    </w:p>
    <w:p>
      <w:pPr>
        <w:spacing w:after="0" w:line="17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Upon delivery of an issuance notice and subject to the terms and conditions of the Sales Agreement, Jefferies may sell shares of Class A common stock at market prices by any method deemed to be an “at the market offering” as defined in Rule 415(a)(4) promulgated under the Securities Act of 1933, as amended, including sales made directly on or through The Nasdaq Global Select Market (“Nasdaq”), the existing trading market for the Class A common stock. The Company may instruct Jefferies to not sell the shares of Class A common stock if the sales cannot be transacted at or above the price designated by the Company in any issuance notice. The Company is not obligated to make any sales of the shares of Class A common stock under the Sales Agreement. Actual sales will depend on a variety of factors and no assurance can be given that the Company will sell any shares of Class A common stock under the Agreement, or, if it does, as to the price or amount of the shares of Class A common stock that it sells or the dates when such sales will take place. The shares of Class A common stock will be sold pursuant to the Registration Statement, and offerings of the shares of Class A common stock will be made only by means of the Prospectus Supplement and accompanying prospectus. This quarterly report on Form 10-Q shall not constitute an offer to sell or solicitation of an offer to buy the shares of Class A common stock, nor shall there be any sale of the shares of Class A common stock in any state in which such offer, solicitation or sale would be unlawful prior to registration or qualification under the securities law of such state or jurisdiction.</w:t>
      </w:r>
    </w:p>
    <w:p>
      <w:pPr>
        <w:spacing w:after="0" w:line="172"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Company or Jefferies may suspend or terminate the offering of shares of Class A commons stock upon notice to the other party, subject to certain conditions. Jefferies will act as sales agent on a commercially reasonable efforts basis consistent with its normal trading and sales practices and applicable state and federal law, rules and regulations and the rules of Nasdaq.</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3" w:name="page34"/>
    <w:bookmarkEnd w:id="33"/>
    <w:p>
      <w:pPr>
        <w:ind w:left="60" w:right="2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above and Item 1A. Risk Factors in our Form 10-K, prior Quarterly Reports on Form 10-Q and below for a discussion of these risks and uncertainties, including without limitation, with respect to our estimated production and sale timeline, need for additional financing and the risks related to effectively implementing and realizing the benefits of the Foxconn Transactions.</w:t>
      </w:r>
    </w:p>
    <w:p>
      <w:pPr>
        <w:spacing w:after="0" w:line="18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EV innovator focused on developing high-quality light-duty work vehicles.</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inception, we have been developing our flagship vehicle, the Endurance, an electric full-size pickup truck. During the first half of 2022, we built pre-production vehicles (“PPVs“) for testing, validation, certification, regulatory approvals and to demonstrate the capabilities of the Endurance to potential customers. In September of 2022, we started commercial production of the Endurance with the first two vehicles completing assembly. Production volume is expected to ramp slowly primarily as a result of supply chain constraints, with engineering readiness, quality, and part availability continuing to govern the speed of launch. We anticipate sales starting in the fourth quarter of 2022 subject to full homologation, testing and required certification.</w:t>
      </w:r>
    </w:p>
    <w:p>
      <w:pPr>
        <w:spacing w:after="0" w:line="185"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Our current bill of materials cost for the Endurance is well above our anticipated selling price. Our capital constraints have limited our ability to: (a) invest in hard tooling for scaled production of the Endurance, and (b) establish multi-year production volumes consistent with our suppliers’ expectations. These factors together result in a bill of materials cost for the Endurance that is, and will continue to be, significantly higher than the expected selling price. While we believe we will be able to achieve cost improvements over time if we are able to scale production of the Endurance, we do not anticipate reaching a positive gross margin until or unless we are able to make the investments and design enhancements to reduce the bill of materials cost. We are also seeking strategic partners, including other automakers, to provide additional capital or other support to enable us to scale the Endurance program and to develop new vehicle programs in cooperation with Foxconn or otherwise. If we raise sufficient capital, we would have the opportunity to allocate funds to investments in hard tools that are designed for long term use and higher production volumes. We have identified significant piece price savings from these investments that we could seek to realize over time. Such hard tool investments and piece price reductions may not be sufficient to achieve profitability, and we expect to continue to evaluate the need and opportunity for design enhancements that may result in further reductions in the bill of materials cost. However, no assurances can be made regarding our ability to successfully identify and implement actions that will lower the Endurance bill of materials cost, including that we will have sufficient capital to make these investments or our suppliers will be willing or able to manufacture the tools or the parts. Until such time as we have sufficient capital and we are able to lower the bill of materials cost, we expect to limit or curtail our production of the Endurance in order to minimize our losses, which we anticipate to be through 2023 or potentially longer.</w:t>
      </w:r>
    </w:p>
    <w:p>
      <w:pPr>
        <w:spacing w:after="0" w:line="22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As of September 30, 2022, property, plant, and equipment was reviewed for potential impairment for recoverability by comparing the carrying amount of our asset group to estimated undiscounted future cash flows expected to be generated by the asset group. As the carrying amount of our asset group exceeds its estimated undiscounted future cash flows, an impairment charge of $74.9 million was recognized as the amount by which the carrying amount of the asset group exceeds the fair value of the asset group.</w:t>
      </w:r>
    </w:p>
    <w:p>
      <w:pPr>
        <w:spacing w:after="0" w:line="176"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4" w:name="page35"/>
    <w:bookmarkEnd w:id="34"/>
    <w:p>
      <w:pPr>
        <w:ind w:left="60" w:right="79"/>
        <w:spacing w:after="0" w:line="239" w:lineRule="auto"/>
        <w:rPr>
          <w:sz w:val="20"/>
          <w:szCs w:val="20"/>
          <w:color w:val="auto"/>
        </w:rPr>
      </w:pPr>
      <w:r>
        <w:rPr>
          <w:rFonts w:ascii="Arial" w:cs="Arial" w:eastAsia="Arial" w:hAnsi="Arial"/>
          <w:sz w:val="18"/>
          <w:szCs w:val="18"/>
          <w:color w:val="auto"/>
        </w:rPr>
        <w:t>dealerships. However, we intend to explore other distribution strategies as our business grows. 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substantial fixed costs. Our expected limited initial production levels may make it more difficult to get support from commercial fleets or fleet management companies in the marketing, sale and distribution of the Endurance.</w:t>
      </w:r>
    </w:p>
    <w:p>
      <w:pPr>
        <w:spacing w:after="0" w:line="180"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We intend to leverage our advanced technologies and highly talented team to develop additional all-electric vehicles targeted for the commercial market.</w:t>
      </w:r>
    </w:p>
    <w:p>
      <w:pPr>
        <w:spacing w:after="0" w:line="154"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 xml:space="preserve">Pursuant to and subject to the conditions in the Investment Agreement with Foxconn, Foxconn agreed to purchase $70 million of our Class A common stock and up to $100 million in convertible preferred stock. Subject to the conditions set forth in the Investment Agreement, we expect to receive approximately $52.7 million from the issuance of our Class A common stock and Preferred Stock in the fourth quarter of 2022, of which approximately $22.7 million can be used for general corporate purposes and $30 million is to be used in connection with the EV Program. The remainder of the investment is subject to regulatory approvals and other conditions. Any such program will require substantially more capital than the initial funding from Foxconn. See Note 1 </w:t>
      </w:r>
      <w:r>
        <w:rPr>
          <w:rFonts w:ascii="Times New Roman" w:cs="Times New Roman" w:eastAsia="Times New Roman" w:hAnsi="Times New Roman"/>
          <w:sz w:val="18"/>
          <w:szCs w:val="18"/>
          <w:color w:val="auto"/>
        </w:rPr>
        <w:t>¾</w:t>
      </w:r>
      <w:r>
        <w:rPr>
          <w:rFonts w:ascii="Arial" w:cs="Arial" w:eastAsia="Arial" w:hAnsi="Arial"/>
          <w:sz w:val="18"/>
          <w:szCs w:val="18"/>
          <w:color w:val="auto"/>
        </w:rPr>
        <w:t xml:space="preserve"> Organization and Description of Business and Basis of Presentation </w:t>
      </w:r>
      <w:r>
        <w:rPr>
          <w:rFonts w:ascii="Times New Roman" w:cs="Times New Roman" w:eastAsia="Times New Roman" w:hAnsi="Times New Roman"/>
          <w:sz w:val="18"/>
          <w:szCs w:val="18"/>
          <w:color w:val="auto"/>
        </w:rPr>
        <w:t>¾</w:t>
      </w:r>
      <w:r>
        <w:rPr>
          <w:rFonts w:ascii="Arial" w:cs="Arial" w:eastAsia="Arial" w:hAnsi="Arial"/>
          <w:sz w:val="18"/>
          <w:szCs w:val="18"/>
          <w:color w:val="auto"/>
        </w:rPr>
        <w:t xml:space="preserve"> </w:t>
      </w:r>
      <w:r>
        <w:rPr>
          <w:rFonts w:ascii="Arial" w:cs="Arial" w:eastAsia="Arial" w:hAnsi="Arial"/>
          <w:sz w:val="18"/>
          <w:szCs w:val="18"/>
          <w:i w:val="1"/>
          <w:iCs w:val="1"/>
          <w:color w:val="auto"/>
        </w:rPr>
        <w:t>Lordstown 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w:t>
      </w:r>
      <w:r>
        <w:rPr>
          <w:rFonts w:ascii="Times New Roman" w:cs="Times New Roman" w:eastAsia="Times New Roman" w:hAnsi="Times New Roman"/>
          <w:sz w:val="18"/>
          <w:szCs w:val="18"/>
          <w:color w:val="auto"/>
        </w:rPr>
        <w:t>¾</w:t>
      </w:r>
      <w:r>
        <w:rPr>
          <w:rFonts w:ascii="Arial" w:cs="Arial" w:eastAsia="Arial" w:hAnsi="Arial"/>
          <w:sz w:val="18"/>
          <w:szCs w:val="18"/>
          <w:i w:val="1"/>
          <w:iCs w:val="1"/>
          <w:color w:val="auto"/>
        </w:rPr>
        <w:t xml:space="preserve"> Foxconn Joint Venture Agreement </w:t>
      </w:r>
      <w:r>
        <w:rPr>
          <w:rFonts w:ascii="Arial" w:cs="Arial" w:eastAsia="Arial" w:hAnsi="Arial"/>
          <w:sz w:val="18"/>
          <w:szCs w:val="18"/>
          <w:color w:val="auto"/>
        </w:rPr>
        <w:t>and Note 8 – Subsequent Events for additional detail.</w:t>
      </w:r>
    </w:p>
    <w:p>
      <w:pPr>
        <w:spacing w:after="0" w:line="19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See Liquidity and Capital Resources and Risk Factors under Part I - Item 1A. of our Form 10-K, prior Forms 10-Q and below for further discussion of the risks associated with the capital required to execute our business plan, implementation of the Foxconn Transactions and our production timeline.</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APA Closing with Foxconn on May 11, 2022 described in Note 1 resulted in more than $257 million in funding for the Company, of which $200 million was received in the form of down payments prior to the APA Closing, in addition to the $50 million purchase of our Class A common stock in October 2021. The Foxconn Transactions represent a shift in our business strategy from a fully vertically integrated designer, developer and manufacturer of EVs into a less capital-intensive business focused on developing, engineering, testing and industrializing vehicles in partnership with Foxconn. See Note 1 for additional detail.</w:t>
      </w:r>
    </w:p>
    <w:p>
      <w:pPr>
        <w:spacing w:after="0" w:line="17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sale of the Lordstown facility allowed us to meaningfully reduce our operating complexity and fixed cost structure by transferring to Foxconn the current and future manufacturing employees along with nearly all of the fixed and variable overhead costs, such as maintenance, utilities, insurance and more. The Foxconn Transactions should also provide more cost-effective access to certain raw materials, components and other inputs over time. In addition, we believe we will realize the benefits of scaled manufacturing sooner, as Foxconn contracts with other OEMs to produce their vehicles in the Lordstown facility.</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believe that outsourcing our manufacturing to a highly qualified partner will enable us to leverage Foxconn’s technology, supply chain network and expertise to accelerate the launch of current and future vehicle programs. The Foxconn Transactions should also allow us to leverage our EV product development and engineering capabilities across a broader platform. However, no assurances can be given that we will be able to effectively implement and realize the anticipated benefits of the Foxconn Transactions or as to the timing of such benefits. See Note 1 and Note 8 and Risk Factors under Part I - Item 1A. of our Form 10-K and prior Forms 10-Q and below for further discussion of the risks associated with the Foxconn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b w:val="1"/>
          <w:bCs w:val="1"/>
          <w:color w:val="auto"/>
        </w:rPr>
        <w:t>Results of Operations for the three months ended September 30, 2022 and 2021</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73"/>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31,281</w:t>
            </w: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19,839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56,890</w:t>
            </w: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r>
      <w:tr>
        <w:trPr>
          <w:trHeight w:val="203"/>
        </w:trPr>
        <w:tc>
          <w:tcPr>
            <w:tcW w:w="42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Impairment of fixed assets</w:t>
            </w: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74,865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196"/>
        </w:trPr>
        <w:tc>
          <w:tcPr>
            <w:tcW w:w="42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154,849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99,282</w:t>
            </w:r>
          </w:p>
        </w:tc>
      </w:tr>
      <w:tr>
        <w:trPr>
          <w:trHeight w:val="196"/>
        </w:trPr>
        <w:tc>
          <w:tcPr>
            <w:tcW w:w="426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(154,849)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(99,282)</w:t>
            </w: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income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Other (expense) income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3,467</w:t>
            </w: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196"/>
        </w:trPr>
        <w:tc>
          <w:tcPr>
            <w:tcW w:w="4260" w:type="dxa"/>
            <w:vAlign w:val="bottom"/>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(154,430)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(95,806)</w:t>
            </w: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ind w:left="14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196"/>
        </w:trPr>
        <w:tc>
          <w:tcPr>
            <w:tcW w:w="4260" w:type="dxa"/>
            <w:vAlign w:val="bottom"/>
          </w:tcPr>
          <w:p>
            <w:pPr>
              <w:ind w:left="540"/>
              <w:spacing w:after="0" w:line="196" w:lineRule="exact"/>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(154,430)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(95,806)</w:t>
            </w:r>
          </w:p>
        </w:tc>
      </w:tr>
      <w:tr>
        <w:trPr>
          <w:trHeight w:val="20"/>
        </w:trPr>
        <w:tc>
          <w:tcPr>
            <w:tcW w:w="4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administration expenses of $60.1 million during the three months ended</w:t>
      </w:r>
    </w:p>
    <w:p>
      <w:pPr>
        <w:spacing w:after="0" w:line="1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September 30, 2022 included a $30.0 million litigation accrual with respect to certain ongoing legal proceedings as described in Note 5 and a $16.2 million charge to reflect the NRV of inventory as described in Note 2. Our costs related to legal proceedings are subject to uncertainties inherent in the litigation process and we cannot predict the outcome of many of these matters. The remaining selling, general and administration expenses incurred in the third quarter of 2022 totaled $13.9 million primarily consisted of $6.4 million of personnel costs and $4.5 million of legal and insurance costs. Selling, general and administrative expenses increased $28.9 million during the three months ended September 30, 2022 compared to three months ended September 30, 2021 primarily due to increases of $19.8 million in legal and insurance costs and $16.2 million in the NRV charge, offset by a decrease of $7.0 million in professional fees.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Research and development expenses were $19.8 million during the three months ended September 30, 2022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support testing, certification and validation as we initiated a slow start of commercial production. Our research</w:t>
      </w:r>
    </w:p>
    <w:p>
      <w:pPr>
        <w:ind w:left="60"/>
        <w:spacing w:after="0" w:line="234" w:lineRule="auto"/>
        <w:rPr>
          <w:sz w:val="20"/>
          <w:szCs w:val="20"/>
          <w:color w:val="auto"/>
        </w:rPr>
      </w:pPr>
      <w:r>
        <w:rPr>
          <w:rFonts w:ascii="Arial" w:cs="Arial" w:eastAsia="Arial" w:hAnsi="Arial"/>
          <w:sz w:val="18"/>
          <w:szCs w:val="18"/>
          <w:color w:val="auto"/>
        </w:rPr>
        <w:t>and development costs in the third quarter of 2022 consisted of $14.2 million of personnel and professional</w:t>
      </w:r>
    </w:p>
    <w:p>
      <w:pPr>
        <w:ind w:left="60"/>
        <w:spacing w:after="0" w:line="235" w:lineRule="auto"/>
        <w:rPr>
          <w:sz w:val="20"/>
          <w:szCs w:val="20"/>
          <w:color w:val="auto"/>
        </w:rPr>
      </w:pPr>
      <w:r>
        <w:rPr>
          <w:rFonts w:ascii="Arial" w:cs="Arial" w:eastAsia="Arial" w:hAnsi="Arial"/>
          <w:sz w:val="18"/>
          <w:szCs w:val="18"/>
          <w:color w:val="auto"/>
        </w:rPr>
        <w:t>fees, $0.9 million in costs associated with manufacturing readiness and $1.7 million in prototype components</w:t>
      </w:r>
    </w:p>
    <w:p>
      <w:pPr>
        <w:ind w:left="60"/>
        <w:spacing w:after="0" w:line="235" w:lineRule="auto"/>
        <w:rPr>
          <w:sz w:val="20"/>
          <w:szCs w:val="20"/>
          <w:color w:val="auto"/>
        </w:rPr>
      </w:pPr>
      <w:r>
        <w:rPr>
          <w:rFonts w:ascii="Arial" w:cs="Arial" w:eastAsia="Arial" w:hAnsi="Arial"/>
          <w:sz w:val="18"/>
          <w:szCs w:val="18"/>
          <w:color w:val="auto"/>
        </w:rPr>
        <w:t>and $3.0 million in other costs. The three months ended September 30, 2022 represents the first full quarter</w:t>
      </w:r>
    </w:p>
    <w:p>
      <w:pPr>
        <w:ind w:left="60"/>
        <w:spacing w:after="0" w:line="235" w:lineRule="auto"/>
        <w:rPr>
          <w:sz w:val="20"/>
          <w:szCs w:val="20"/>
          <w:color w:val="auto"/>
        </w:rPr>
      </w:pPr>
      <w:r>
        <w:rPr>
          <w:rFonts w:ascii="Arial" w:cs="Arial" w:eastAsia="Arial" w:hAnsi="Arial"/>
          <w:sz w:val="18"/>
          <w:szCs w:val="18"/>
          <w:color w:val="auto"/>
        </w:rPr>
        <w:t>the Company did not own the Lordstown, Ohio facility, as it was sold to Foxconn on May 11, 2022. During the</w:t>
      </w:r>
    </w:p>
    <w:p>
      <w:pPr>
        <w:ind w:left="60"/>
        <w:spacing w:after="0" w:line="235" w:lineRule="auto"/>
        <w:rPr>
          <w:sz w:val="20"/>
          <w:szCs w:val="20"/>
          <w:color w:val="auto"/>
        </w:rPr>
      </w:pPr>
      <w:r>
        <w:rPr>
          <w:rFonts w:ascii="Arial" w:cs="Arial" w:eastAsia="Arial" w:hAnsi="Arial"/>
          <w:sz w:val="18"/>
          <w:szCs w:val="18"/>
          <w:color w:val="auto"/>
        </w:rPr>
        <w:t>third quarter of 2021, research and development costs totaled $56.9 million and were primarily made up of</w:t>
      </w:r>
    </w:p>
    <w:p>
      <w:pPr>
        <w:ind w:left="60"/>
        <w:spacing w:after="0" w:line="234" w:lineRule="auto"/>
        <w:rPr>
          <w:sz w:val="20"/>
          <w:szCs w:val="20"/>
          <w:color w:val="auto"/>
        </w:rPr>
      </w:pPr>
      <w:r>
        <w:rPr>
          <w:rFonts w:ascii="Arial" w:cs="Arial" w:eastAsia="Arial" w:hAnsi="Arial"/>
          <w:sz w:val="18"/>
          <w:szCs w:val="18"/>
          <w:color w:val="auto"/>
        </w:rPr>
        <w:t>$16.0 million related to the costs associated with operating the Lordstown facility, including approximately $11.5</w:t>
      </w:r>
    </w:p>
    <w:p>
      <w:pPr>
        <w:ind w:left="60"/>
        <w:spacing w:after="0" w:line="235" w:lineRule="auto"/>
        <w:rPr>
          <w:sz w:val="20"/>
          <w:szCs w:val="20"/>
          <w:color w:val="auto"/>
        </w:rPr>
      </w:pPr>
      <w:r>
        <w:rPr>
          <w:rFonts w:ascii="Arial" w:cs="Arial" w:eastAsia="Arial" w:hAnsi="Arial"/>
          <w:sz w:val="18"/>
          <w:szCs w:val="18"/>
          <w:color w:val="auto"/>
        </w:rPr>
        <w:t>million in personnel and professional fees and $12.3 million of prototype component costs. During the third</w:t>
      </w:r>
    </w:p>
    <w:p>
      <w:pPr>
        <w:ind w:left="60"/>
        <w:spacing w:after="0" w:line="235" w:lineRule="auto"/>
        <w:rPr>
          <w:sz w:val="20"/>
          <w:szCs w:val="20"/>
          <w:color w:val="auto"/>
        </w:rPr>
      </w:pPr>
      <w:r>
        <w:rPr>
          <w:rFonts w:ascii="Arial" w:cs="Arial" w:eastAsia="Arial" w:hAnsi="Arial"/>
          <w:sz w:val="18"/>
          <w:szCs w:val="18"/>
          <w:color w:val="auto"/>
        </w:rPr>
        <w:t>quarter of 2021, we incurred $28.6 million of non-plant related costs, consisting primarily of $16.8 million in</w:t>
      </w:r>
    </w:p>
    <w:p>
      <w:pPr>
        <w:ind w:left="60"/>
        <w:spacing w:after="0" w:line="235" w:lineRule="auto"/>
        <w:rPr>
          <w:sz w:val="20"/>
          <w:szCs w:val="20"/>
          <w:color w:val="auto"/>
        </w:rPr>
      </w:pPr>
      <w:r>
        <w:rPr>
          <w:rFonts w:ascii="Arial" w:cs="Arial" w:eastAsia="Arial" w:hAnsi="Arial"/>
          <w:sz w:val="18"/>
          <w:szCs w:val="18"/>
          <w:color w:val="auto"/>
        </w:rPr>
        <w:t>outside engineering, testing and other services, and $8.3 million in personnel costs. Total research and</w:t>
      </w:r>
    </w:p>
    <w:p>
      <w:pPr>
        <w:ind w:left="60"/>
        <w:spacing w:after="0" w:line="235" w:lineRule="auto"/>
        <w:rPr>
          <w:sz w:val="20"/>
          <w:szCs w:val="20"/>
          <w:color w:val="auto"/>
        </w:rPr>
      </w:pPr>
      <w:r>
        <w:rPr>
          <w:rFonts w:ascii="Arial" w:cs="Arial" w:eastAsia="Arial" w:hAnsi="Arial"/>
          <w:sz w:val="18"/>
          <w:szCs w:val="18"/>
          <w:color w:val="auto"/>
        </w:rPr>
        <w:t>development expenditures decreased by $37.1 million for the three months ended 2022 as compared to 2021,</w:t>
      </w:r>
    </w:p>
    <w:p>
      <w:pPr>
        <w:ind w:left="60"/>
        <w:spacing w:after="0" w:line="234" w:lineRule="auto"/>
        <w:rPr>
          <w:sz w:val="20"/>
          <w:szCs w:val="20"/>
          <w:color w:val="auto"/>
        </w:rPr>
      </w:pPr>
      <w:r>
        <w:rPr>
          <w:rFonts w:ascii="Arial" w:cs="Arial" w:eastAsia="Arial" w:hAnsi="Arial"/>
          <w:sz w:val="18"/>
          <w:szCs w:val="18"/>
          <w:color w:val="auto"/>
        </w:rPr>
        <w:t>primarily from the elimination of the costs associated with operating the plant, $10.6 million in prototype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and a reduction of $10.9 million in other personnel and professional fees.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b w:val="1"/>
          <w:bCs w:val="1"/>
          <w:i w:val="1"/>
          <w:iCs w:val="1"/>
          <w:color w:val="auto"/>
        </w:rPr>
        <w:t>Impairment of fixed assets</w:t>
      </w:r>
    </w:p>
    <w:p>
      <w:pPr>
        <w:spacing w:after="0" w:line="210"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Impairment of fixed assets totaled $74.9 million during the three months ended September 30, 2022 as described in Note 4. As of September 30, 2022, property, plant, and equipment was reviewed for potential impairment for recoverability by comparing the carrying amount of our asset group to estimated undiscounted future cash flows expected to be generated by the asset group. As the carrying amount of our asset group exceeds its estimated undiscounted future cash flows, we recognized a $74.9 million charge based on the difference between the carrying value of the fixed assets and their fair value. The fair value was based on total enterprise value using level 1 inputs as we believe this technique results in the highest and best use of a hypothetical marketplace participant. Additional impairments could occur in future periods.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During the quarter ended September 30, 2021, we continued to refine the design of the Endurance and consider technologies we would use in future vehicles. Given the lack of Workhorse technology used in the Endurance and new management’s strategic direction of the Company, inclusive of the transactions contemplated with Foxconn, we deemed it appropriate to change the useful life of the technology we acquired from Workhorse to zero months. As such, we recorded accelerated amortization of $11.1 million during the quarter ended September 30,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nine months ended September 30, 2022 and 2021</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680" w:type="dxa"/>
            <w:vAlign w:val="bottom"/>
          </w:tcPr>
          <w:p>
            <w:pPr>
              <w:jc w:val="right"/>
              <w:ind w:right="17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4"/>
                <w:szCs w:val="14"/>
                <w:color w:val="auto"/>
              </w:rPr>
            </w:pPr>
          </w:p>
        </w:tc>
        <w:tc>
          <w:tcPr>
            <w:tcW w:w="1680" w:type="dxa"/>
            <w:vAlign w:val="bottom"/>
          </w:tcPr>
          <w:p>
            <w:pPr>
              <w:jc w:val="right"/>
              <w:ind w:right="172"/>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4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79,468</w:t>
            </w:r>
          </w:p>
        </w:tc>
      </w:tr>
      <w:tr>
        <w:trPr>
          <w:trHeight w:val="216"/>
        </w:trPr>
        <w:tc>
          <w:tcPr>
            <w:tcW w:w="4860" w:type="dxa"/>
            <w:vAlign w:val="bottom"/>
          </w:tcPr>
          <w:p>
            <w:pPr>
              <w:ind w:left="120"/>
              <w:spacing w:after="0" w:line="216"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92,213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225,245</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fixed assets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1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11,111</w:t>
            </w: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(101,736)</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196"/>
        </w:trPr>
        <w:tc>
          <w:tcPr>
            <w:tcW w:w="486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181,447</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315,825</w:t>
            </w:r>
          </w:p>
        </w:tc>
      </w:tr>
      <w:tr>
        <w:trPr>
          <w:trHeight w:val="196"/>
        </w:trPr>
        <w:tc>
          <w:tcPr>
            <w:tcW w:w="4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(181,447)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(315,825)</w:t>
            </w: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(13,788)</w:t>
            </w:r>
          </w:p>
        </w:tc>
      </w:tr>
      <w:tr>
        <w:trPr>
          <w:trHeight w:val="216"/>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196"/>
        </w:trPr>
        <w:tc>
          <w:tcPr>
            <w:tcW w:w="48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(180,404)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196"/>
        </w:trPr>
        <w:tc>
          <w:tcPr>
            <w:tcW w:w="486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(180,404)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(329,217)</w:t>
            </w: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720" w:right="279" w:hanging="319"/>
        <w:spacing w:after="0" w:line="286"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Research and development expenses for the nine months ended September 30, 2022 are net of $18.4 million in operating expense reimbursements as described in Note 1.</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administration expenses of $116.1 million during the nine months ended</w:t>
      </w:r>
    </w:p>
    <w:p>
      <w:pPr>
        <w:spacing w:after="0" w:line="14"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September 30, 2022 included a $32.0 million litigation accrual with respect to certain ongoing legal proceedings, as described in Note 5 and a $25.6 million charge to reflect the NRV of inventory as described in Note 2. Our costs related to legal proceedings are subject to uncertainties inherent in the litigation process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0" w:right="1440" w:bottom="1440" w:gutter="0" w:footer="0" w:header="0"/>
        </w:sectPr>
      </w:pPr>
    </w:p>
    <w:bookmarkStart w:id="37" w:name="page38"/>
    <w:bookmarkEnd w:id="37"/>
    <w:p>
      <w:pPr>
        <w:ind w:left="60" w:right="119"/>
        <w:spacing w:after="0" w:line="259" w:lineRule="auto"/>
        <w:rPr>
          <w:sz w:val="20"/>
          <w:szCs w:val="20"/>
          <w:color w:val="auto"/>
        </w:rPr>
      </w:pPr>
      <w:r>
        <w:rPr>
          <w:rFonts w:ascii="Arial" w:cs="Arial" w:eastAsia="Arial" w:hAnsi="Arial"/>
          <w:sz w:val="17"/>
          <w:szCs w:val="17"/>
          <w:color w:val="auto"/>
        </w:rPr>
        <w:t>and we cannot predict the outcome of many of these matters. The remaining selling, general and administrative expenses for the nine months ended September 30, 2022 totaled $58.5 million which consisted primarily of $32.3 million in personnel and professional fees and $ 20.8 million of legal and insurance costs. Total selling, general and administrative expenses increased $ 36.6 million during the nine months ended September 30, 2022 compared to 2021 primarily due to the NRV charge for inventory and increases of $14.9 million in legal and insurance costs and $5.4 million in personnel costs, offset by a $9.3 million decrease in professional fees.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Research and development expenses were $92.2 million during the nine months ended September 30, 2022, which includes the impact of $18.4 million in reimbursement of certain operating costs incurred by the Company between September 1, 2021 and the APA Closing as described in Note 1. Until we initiate commercial sales, the costs associated with operating the Lordstown facility are included in research and development expense as they relate to the design and construction of beta and pre-production vehicles, along with manufacturing readiness. During the nine months ended September 30, 2022, we incurred $33.6 million in costs associated with the Lordstown facility, including $15.7 million in personnel and professional costs, $7.8 million in freight, $4.5 million in utilities and $5.6 million of other facility and manufacturing costs. The substantial majority of the costs associated with operating the Lordstown, Ohio facility were incurred prior to the sale of the plant to Foxconn on May 11, 2022 (see Note 1). During the nine months ended September 30, 2021, we incurred $42.4 million in costs associated with operating the Lordstown facility, including $ 26.9 million in personnel and professional costs, $5.1 million in utilities, and $10.3 million in other facility operating costs.</w:t>
      </w:r>
    </w:p>
    <w:p>
      <w:pPr>
        <w:spacing w:after="0" w:line="183"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Also included in research and development expense are the prototype components used for part, module or system design testing and validation, as well as full production of beta and pre-production vehicles. In the nine months ended September 30, 2022, our prototype component costs totaled $ 22.8 million compared to $ 84.9 million in the same period of 2021. The substantial majority of the 2022 costs represented parts used in the production of PPVs.</w:t>
      </w:r>
    </w:p>
    <w:p>
      <w:pPr>
        <w:spacing w:after="0" w:line="1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All other research and development expenses totaled $54.1 million for the nine months ended September 30, 2022 which primarily consisted of $44.6 million of personnel and professional fees. This represents a decrease of $43.9 million in the nine months ended September 30, 2022 compared to the same period in 2021 primarily due to a $44.4 million decrease in outside engineering and testing services and $4.7 million in freight as Endurance development costs decline as we approached commercial production, partially offset by an increase in personnel costs.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on sale</w:t>
      </w:r>
    </w:p>
    <w:p>
      <w:pPr>
        <w:spacing w:after="0" w:line="210" w:lineRule="exact"/>
        <w:rPr>
          <w:sz w:val="20"/>
          <w:szCs w:val="20"/>
          <w:color w:val="auto"/>
        </w:rPr>
      </w:pPr>
    </w:p>
    <w:p>
      <w:pPr>
        <w:ind w:left="60" w:right="479"/>
        <w:spacing w:after="0" w:line="301" w:lineRule="auto"/>
        <w:rPr>
          <w:sz w:val="20"/>
          <w:szCs w:val="20"/>
          <w:color w:val="auto"/>
        </w:rPr>
      </w:pPr>
      <w:r>
        <w:rPr>
          <w:rFonts w:ascii="Arial" w:cs="Arial" w:eastAsia="Arial" w:hAnsi="Arial"/>
          <w:sz w:val="17"/>
          <w:szCs w:val="17"/>
          <w:color w:val="auto"/>
        </w:rPr>
        <w:t>Gain on sale totaled $101.7 million during the nine months ended September 30, 2022 which was primarily attributable to the gain on the sale of the Lordstown facility sold to Foxconn as described in Note 1.</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We had cash, cash equivalents and short-term investments of approximately $203.5 million and an accumulated deficit of $725.2 million at September 30, 2022 and a net loss of $180.4 million for the nine months ended September 30, 2022.</w:t>
      </w:r>
    </w:p>
    <w:p>
      <w:pPr>
        <w:spacing w:after="0" w:line="169"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the first half of 2022, we continued to build PPVs for testing, validation, certification, regulatory approvals, and to demonstrate the capabilities of the Endurance to potential customers. In September of 2022, the Company started commercial production of the Endurance with the first two vehicles completing assembly. We expect production volume will primarily as a result of supply chain constraints, with engineering readiness, quality, and part availability continuing to govern the speed of launch. We anticipate sales starting in the fourth quarter of 2022 subject to full homologation, testing and required certification. For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8" w:name="page39"/>
    <w:bookmarkEnd w:id="38"/>
    <w:p>
      <w:pPr>
        <w:ind w:left="60" w:right="79"/>
        <w:spacing w:after="0" w:line="237" w:lineRule="auto"/>
        <w:rPr>
          <w:sz w:val="20"/>
          <w:szCs w:val="20"/>
          <w:color w:val="auto"/>
        </w:rPr>
      </w:pPr>
      <w:r>
        <w:rPr>
          <w:rFonts w:ascii="Arial" w:cs="Arial" w:eastAsia="Arial" w:hAnsi="Arial"/>
          <w:sz w:val="18"/>
          <w:szCs w:val="18"/>
          <w:color w:val="auto"/>
        </w:rPr>
        <w:t xml:space="preserve">foreseeable future, we will incur significant operating expenses, capital expenditures and working capital funding that will deplete our cash on hand. </w:t>
      </w:r>
      <w:r>
        <w:rPr>
          <w:rFonts w:ascii="Arial" w:cs="Arial" w:eastAsia="Arial" w:hAnsi="Arial"/>
          <w:sz w:val="18"/>
          <w:szCs w:val="18"/>
          <w:color w:val="231F20"/>
        </w:rPr>
        <w:t>As a result of having insufficient capital to execute our business</w:t>
      </w:r>
      <w:r>
        <w:rPr>
          <w:rFonts w:ascii="Arial" w:cs="Arial" w:eastAsia="Arial" w:hAnsi="Arial"/>
          <w:sz w:val="18"/>
          <w:szCs w:val="18"/>
          <w:color w:val="auto"/>
        </w:rPr>
        <w:t xml:space="preserve"> </w:t>
      </w:r>
      <w:r>
        <w:rPr>
          <w:rFonts w:ascii="Arial" w:cs="Arial" w:eastAsia="Arial" w:hAnsi="Arial"/>
          <w:sz w:val="18"/>
          <w:szCs w:val="18"/>
          <w:color w:val="231F20"/>
        </w:rPr>
        <w:t xml:space="preserve">plan, we have substantially limited investments in tooling and other aspects of the Endurance and our operations. The trade-offs we are making, including related to hard tooling, are likely to result in higher costs for the Company in the future and are likely to slow or impair future design enhancements or options we may otherwise seek to make available to customers. </w:t>
      </w:r>
      <w:r>
        <w:rPr>
          <w:rFonts w:ascii="Arial" w:cs="Arial" w:eastAsia="Arial" w:hAnsi="Arial"/>
          <w:sz w:val="18"/>
          <w:szCs w:val="18"/>
          <w:color w:val="000000"/>
        </w:rPr>
        <w:t>The Company’s research and development expenses and</w:t>
      </w:r>
      <w:r>
        <w:rPr>
          <w:rFonts w:ascii="Arial" w:cs="Arial" w:eastAsia="Arial" w:hAnsi="Arial"/>
          <w:sz w:val="18"/>
          <w:szCs w:val="18"/>
          <w:color w:val="231F20"/>
        </w:rPr>
        <w:t xml:space="preserve"> </w:t>
      </w:r>
      <w:r>
        <w:rPr>
          <w:rFonts w:ascii="Arial" w:cs="Arial" w:eastAsia="Arial" w:hAnsi="Arial"/>
          <w:sz w:val="18"/>
          <w:szCs w:val="18"/>
          <w:color w:val="000000"/>
        </w:rPr>
        <w:t>capital expenditures are significant due to spending needed for PPVs, vehicle validation tests, securing necessary parts/equipment, and utilizing in-house and third-party engineering, testing and validation services. During 2021, the Company experienced the stress that the COVID-19 pandemic put on the global automotive supply chain including with regard to the availability, pricing and lead times for components and raw materials. Furthermore, in 2021 and 2022, we have incurred significant freight charges that in part were higher due to the COVID-19 pandemic and challenging logistics that created delays and higher pricing on standard freight, and incurred substantially higher expedited freight charges to mitigate delays. The Company expects continued supply chain constraints as well as raw material and other pricing pressures that are likely to negatively impact our cost structure and production timeline. See Part I - Item 1A. Risk Factors in our Form 10-K and Forms 10-Q for further discussion of the risks associated with disruptions to the supply chain.</w:t>
      </w:r>
    </w:p>
    <w:p>
      <w:pPr>
        <w:spacing w:after="0" w:line="18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We also have meaningful exposure to material losses and costs related to ongoing litigation and regulatory proceedings for which insurance coverage has been denied for certain claims and may be unavailable for those and other claims. See Note 5 – Commitments and Contingencies for additional information and Part I - Item 1A. Risk Factors in our Form 10-K and Forms 10-Q and below for further discussion of the risks associated with our exposure to litigation and regulatory proceedings and availability of insurance coverage.</w:t>
      </w:r>
    </w:p>
    <w:p>
      <w:pPr>
        <w:spacing w:after="0" w:line="1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We need additional funding to execute our business plan, including scaling production of the Endurance and developing other vehicles including through the EV Program, due to the capital required to complete testing and validation, purchase the raw materials and vehicle components for saleable vehicles, invest in the hard tooling to lower our bill of materials cost and fund future engineering, operating and corporate expenditures. If we are unable to raise </w:t>
      </w:r>
      <w:r>
        <w:rPr>
          <w:rFonts w:ascii="Arial" w:cs="Arial" w:eastAsia="Arial" w:hAnsi="Arial"/>
          <w:sz w:val="18"/>
          <w:szCs w:val="18"/>
          <w:color w:val="231F20"/>
        </w:rPr>
        <w:t>substantial</w:t>
      </w:r>
      <w:r>
        <w:rPr>
          <w:rFonts w:ascii="Arial" w:cs="Arial" w:eastAsia="Arial" w:hAnsi="Arial"/>
          <w:sz w:val="18"/>
          <w:szCs w:val="18"/>
          <w:color w:val="auto"/>
        </w:rPr>
        <w:t xml:space="preserve"> additional capital in the near term</w:t>
      </w:r>
      <w:r>
        <w:rPr>
          <w:rFonts w:ascii="Arial" w:cs="Arial" w:eastAsia="Arial" w:hAnsi="Arial"/>
          <w:sz w:val="18"/>
          <w:szCs w:val="18"/>
          <w:color w:val="231F20"/>
        </w:rPr>
        <w:t>, our ability to invest in hard tooling to lower the bill</w:t>
      </w:r>
      <w:r>
        <w:rPr>
          <w:rFonts w:ascii="Arial" w:cs="Arial" w:eastAsia="Arial" w:hAnsi="Arial"/>
          <w:sz w:val="18"/>
          <w:szCs w:val="18"/>
          <w:color w:val="auto"/>
        </w:rPr>
        <w:t xml:space="preserve"> </w:t>
      </w:r>
      <w:r>
        <w:rPr>
          <w:rFonts w:ascii="Arial" w:cs="Arial" w:eastAsia="Arial" w:hAnsi="Arial"/>
          <w:sz w:val="18"/>
          <w:szCs w:val="18"/>
          <w:color w:val="231F20"/>
        </w:rPr>
        <w:t>of material cost of the Endurance will be significantly scaled back or curtailed. If the funds raised are insufficient to provide a bridge to full scale commercial production at a profit, our operations could be severely curtailed or cease entirely. Until such time as we have sufficient funds to invest in the necessary actions to reduce our bill of material costs, we will limit our curtail production in order to minimize our losses.</w:t>
      </w:r>
    </w:p>
    <w:p>
      <w:pPr>
        <w:spacing w:after="0" w:line="18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 xml:space="preserve">In an effort to alleviate these conditions, management continues to actively seek and evaluate opportunities to raise additional funds through the issuance of equity or debt securities, asset sales, arrangements with strategic partners or obtaining financing from government or financial institutions. </w:t>
      </w:r>
      <w:r>
        <w:rPr>
          <w:rFonts w:ascii="Arial" w:cs="Arial" w:eastAsia="Arial" w:hAnsi="Arial"/>
          <w:sz w:val="18"/>
          <w:szCs w:val="18"/>
          <w:color w:val="010101"/>
        </w:rPr>
        <w:t>We have engaged a financial advisor to</w:t>
      </w:r>
      <w:r>
        <w:rPr>
          <w:rFonts w:ascii="Arial" w:cs="Arial" w:eastAsia="Arial" w:hAnsi="Arial"/>
          <w:sz w:val="18"/>
          <w:szCs w:val="18"/>
          <w:color w:val="auto"/>
        </w:rPr>
        <w:t xml:space="preserve"> </w:t>
      </w:r>
      <w:r>
        <w:rPr>
          <w:rFonts w:ascii="Arial" w:cs="Arial" w:eastAsia="Arial" w:hAnsi="Arial"/>
          <w:sz w:val="18"/>
          <w:szCs w:val="18"/>
          <w:color w:val="010101"/>
        </w:rPr>
        <w:t>advise the Company on additional financing alternatives</w:t>
      </w:r>
      <w:r>
        <w:rPr>
          <w:rFonts w:ascii="Arial" w:cs="Arial" w:eastAsia="Arial" w:hAnsi="Arial"/>
          <w:sz w:val="18"/>
          <w:szCs w:val="18"/>
          <w:color w:val="000000"/>
        </w:rPr>
        <w:t>. No assurances can be given that any such financing</w:t>
      </w:r>
      <w:r>
        <w:rPr>
          <w:rFonts w:ascii="Arial" w:cs="Arial" w:eastAsia="Arial" w:hAnsi="Arial"/>
          <w:sz w:val="18"/>
          <w:szCs w:val="18"/>
          <w:color w:val="010101"/>
        </w:rPr>
        <w:t xml:space="preserve"> </w:t>
      </w:r>
      <w:r>
        <w:rPr>
          <w:rFonts w:ascii="Arial" w:cs="Arial" w:eastAsia="Arial" w:hAnsi="Arial"/>
          <w:sz w:val="18"/>
          <w:szCs w:val="18"/>
          <w:color w:val="000000"/>
        </w:rPr>
        <w:t>will be available on commercially reasonable terms or at all.</w:t>
      </w:r>
    </w:p>
    <w:p>
      <w:pPr>
        <w:spacing w:after="0" w:line="17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 xml:space="preserve">As part of our funding efforts, on July 23, 2021, the Company entered into the Equity Purchase Agreement with YA, pursuant to which YA has committed to purchase up to $400 million of our Class A common stock, at our direction from time to time, subject to the satisfaction of certain conditions. During the nine months ended September 30, 2021, we issued 3.9 million shares to YA and received $20.0 million cash, net of equity issuance costs. </w:t>
      </w:r>
      <w:r>
        <w:rPr>
          <w:rFonts w:ascii="Arial" w:cs="Arial" w:eastAsia="Arial" w:hAnsi="Arial"/>
          <w:sz w:val="18"/>
          <w:szCs w:val="18"/>
          <w:color w:val="231F20"/>
        </w:rPr>
        <w:t>During the nine months ended September 30, 2022, we issued 17.5 million shares to YA and received</w:t>
      </w:r>
      <w:r>
        <w:rPr>
          <w:rFonts w:ascii="Arial" w:cs="Arial" w:eastAsia="Arial" w:hAnsi="Arial"/>
          <w:sz w:val="18"/>
          <w:szCs w:val="18"/>
          <w:color w:val="auto"/>
        </w:rPr>
        <w:t xml:space="preserve"> </w:t>
      </w:r>
      <w:r>
        <w:rPr>
          <w:rFonts w:ascii="Arial" w:cs="Arial" w:eastAsia="Arial" w:hAnsi="Arial"/>
          <w:sz w:val="18"/>
          <w:szCs w:val="18"/>
          <w:color w:val="231F20"/>
        </w:rPr>
        <w:t>$40.4 million cash, net of equity issuance costs.</w:t>
      </w:r>
    </w:p>
    <w:p>
      <w:pPr>
        <w:spacing w:after="0" w:line="17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actual amount that we may raise under the Equity Purchase Agreement depends on market conditions and limitations in the agreement. In particular, without stockholder approval, the Exchange Cap provision would limit the amount of shares we can issue to 35.1 million shares (unless the average price of all shares sold is $7.48 or higher), including the 27.1 million shares previously issued, and therefore this share limitation and the current market price that would be the basis for the price of the shares of Class A common stock to be sold limit funds we are able to raise to significantly less than the $400 million commitment under the Equity Purchase Agreement. As of September 30, 2022, we were in compliance with the terms and conditions of the Equity Purchase Agreement and the remaining availability under the Equity Purchase Agreement was 8 million shares, due to certain limitations as described above and in Note 7 of the condensed consolidated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9" w:name="page40"/>
    <w:bookmarkEnd w:id="39"/>
    <w:p>
      <w:pPr>
        <w:ind w:left="60" w:right="179"/>
        <w:spacing w:after="0" w:line="244" w:lineRule="auto"/>
        <w:rPr>
          <w:sz w:val="20"/>
          <w:szCs w:val="20"/>
          <w:color w:val="auto"/>
        </w:rPr>
      </w:pPr>
      <w:r>
        <w:rPr>
          <w:rFonts w:ascii="Arial" w:cs="Arial" w:eastAsia="Arial" w:hAnsi="Arial"/>
          <w:sz w:val="18"/>
          <w:szCs w:val="18"/>
          <w:color w:val="auto"/>
        </w:rPr>
        <w:t>financial statements. In addition, it is expected that the Sales Agreement will replace the Equity Purchase Agreement as the means for the Company to obtain financing through the periodic sale of up to approximately 50.2 million shares of Class A common stock in at-the-market transactions, subject to various conditions and limitations, and the Equity Purchase Agreement will be terminated. See Note 8 – Subsequent Events and Part II, Item 5. Other Events for additional information.</w:t>
      </w:r>
    </w:p>
    <w:p>
      <w:pPr>
        <w:spacing w:after="0" w:line="16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APA Closing with Foxconn provided more than $257 million in funding for the Company, including the $230 million purchase price and $ 27.5 million in reimbursements, in addition to the $ 50 million purchase of our Class A common stock in October 2021. The Foxconn Transactions represent a shift into a less capital-intensive business.</w:t>
      </w:r>
    </w:p>
    <w:p>
      <w:pPr>
        <w:spacing w:after="0" w:line="160"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In addition, the Foxconn Joint Venture Agreement provides that Foxconn will make term loans to Lordstown EV in an aggregate original amount not to exceed $45 million as advances are requested by Lordstown EV to fund our capital commitment of $45 million pursuant to the Foxconn Joint Venture Agreement. To secure its obligations under the Notes, Lordstown EV has granted Foxconn a security interest in (i) all of Lordstown EV’s equity interests in the Foxconn Joint Venture, and (ii) personal property constituting the hub motor assembly lines, battery module assembly lines and battery pack assembly lines. Each outstanding Note will accrue interest at a rate of 7.0% per annum, to be paid-in-kind, and is due on the earlier of (i) the first anniversary of issuance and (ii) December 31, 2025, unless earlier terminated in the event of a default. Pursuant to the Foxconn Joint Venture Agreement, each Note maturing before December 31, 2025 will be refinanced by Foxconn with a new Note in the principal amount equal to the outstanding principal amount of the refinanced Note, plus accrued and unpaid interest thereon, and will have terms otherwise substantively identical to the terms of the refinanced Note. As a result, it is not expected, absent a default, that any amounts will become due under the Notes prior to December 31, 2025. Lordstown EV will be required to prepay each Note and all accrued but unpaid interest thereon with proceeds received upon distributions from the Foxconn Joint Venture or cash proceeds of certain asset dispositions. On June 16, 2022, Lordstown EV requested an initial advance of $13.5 million, which was funded by Foxconn in exchange for the delivery by Lordstown EV of a Note in such amount on June 24, 2022. See Note 1 of the condensed consolidated financial statements for additional details. Under the Investment Agreement, the parties have agreed to terminate the Foxconn Joint Venture and the parties will no longer be subject to their capital commitments. In connection with the termination, all remaining funds held by the Foxconn Joint Venture will be distributed to Foxconn as a distribution for amounts contributed by it and as a repayment in full of any loans advanced by it to Lordstown EV, and the security interest in the assets of the Company will be released. (See Note 8 - Subsequent Events for additional information.)</w:t>
      </w:r>
    </w:p>
    <w:p>
      <w:pPr>
        <w:spacing w:after="0" w:line="364"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Under the Investment Agreement, Foxconn agreed to purchase $70 million of our Class A common stock and up to $100 million in Preferred Stock, subject to certain conditions, including regulatory approvals and achievement of development milestones established by the parties, of which we expect to receive approximately $52.7 million in the fourth quarter of 2022 (subject to satisfaction of the funding conditions). Approximately $ 22.7 million can be used for general corporate purposes and $30 million is restricted for use in connection with the EV Program. The additional capital that may be available to us under the Investment Agreement is subject to regulatory approvals and achieving certain program milestones, among other conditions, and therefore may be limited. Notwithstanding this funding arrangement, we will continue to require substantial additional capital in order to fulfill our business plans under the EV Program and otherwise. (See Note 8 - Subsequent Events for additional information.)</w:t>
      </w:r>
    </w:p>
    <w:p>
      <w:pPr>
        <w:spacing w:after="0" w:line="16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As we seek additional sources of financing, there can be no assurance that such financing would be available to us on favorable terms or at all. Our ability to obtain additional financing is subject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and costs related to ongoing litigation and the SEC investigation, the market price of our stock, our performance and investor sentiment with respect to us and our business and industry, as well as our ability to effectively implement and realize the expected benefits of the Foxconn Transactions. As a result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0" w:name="page41"/>
    <w:bookmarkEnd w:id="40"/>
    <w:p>
      <w:pPr>
        <w:ind w:left="60" w:right="579"/>
        <w:spacing w:after="0" w:line="271" w:lineRule="auto"/>
        <w:rPr>
          <w:sz w:val="20"/>
          <w:szCs w:val="20"/>
          <w:color w:val="auto"/>
        </w:rPr>
      </w:pPr>
      <w:r>
        <w:rPr>
          <w:rFonts w:ascii="Arial" w:cs="Arial" w:eastAsia="Arial" w:hAnsi="Arial"/>
          <w:sz w:val="18"/>
          <w:szCs w:val="18"/>
          <w:color w:val="auto"/>
        </w:rPr>
        <w:t>of these uncertainties, and notwithstanding management’s plans and efforts to date, there continues to be substantial doubt about our ability to continue as a going concern.</w:t>
      </w:r>
    </w:p>
    <w:p>
      <w:pPr>
        <w:spacing w:after="0" w:line="15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requirements of the FASB’s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80" w:lineRule="exact"/>
        <w:rPr>
          <w:sz w:val="20"/>
          <w:szCs w:val="20"/>
          <w:color w:val="auto"/>
        </w:rPr>
      </w:pPr>
    </w:p>
    <w:p>
      <w:pPr>
        <w:ind w:left="60" w:right="139"/>
        <w:spacing w:after="0" w:line="301" w:lineRule="auto"/>
        <w:rPr>
          <w:sz w:val="20"/>
          <w:szCs w:val="20"/>
          <w:color w:val="auto"/>
        </w:rPr>
      </w:pPr>
      <w:r>
        <w:rPr>
          <w:rFonts w:ascii="Arial" w:cs="Arial" w:eastAsia="Arial" w:hAnsi="Arial"/>
          <w:sz w:val="17"/>
          <w:szCs w:val="17"/>
          <w:color w:val="auto"/>
        </w:rPr>
        <w:t>See Risk Factors under Part I - Item 1A. of our Form 10-K, and prior Forms 10-Q and below for further discussion of the risks associated with our need for additional financing and loss exposures, among other risks.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57"/>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ind w:right="97"/>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20" w:type="dxa"/>
            <w:vAlign w:val="bottom"/>
          </w:tcPr>
          <w:p>
            <w:pPr>
              <w:spacing w:after="0"/>
              <w:rPr>
                <w:sz w:val="17"/>
                <w:szCs w:val="17"/>
                <w:color w:val="auto"/>
              </w:rPr>
            </w:pPr>
          </w:p>
        </w:tc>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by 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(171,022)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(246,240)</w:t>
            </w: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Net Cash used by investing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(74,554)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(255,528)</w:t>
            </w: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155,792</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105,838</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210"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For the nine months ended September 30, 2022 compared to 2021, net cash used by operating activities decreased by $75.2 million primarily due to changes in working capital and the $17.5 million received from Foxconn for the reimbursement of operating costs.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Investing Activities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For the nine months ended September 30, 2022 compared to 2021, cash used by investing activities decreased $181.0 million primarily due to lower capital spending in 2022. Cash used by investing activities in 2022 also included a $13.5 million investment into the Foxconn Joint Venture and was net of $37.5 million in proceeds from the sale of capital assets to Foxconn. The $200 million in down payments received prior to closing are reflected as financing proceeds and are reflected as a non-cash transaction when the down payment was applied at the APA Closing and the Company’s repayment obligation was terminated. The capital spending in 2021 represented the early investments to retool the Lordstown Facility, acquire testing equipment and related capabilities, and to prepare for manufacturing.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10" w:lineRule="exact"/>
        <w:rPr>
          <w:sz w:val="20"/>
          <w:szCs w:val="20"/>
          <w:color w:val="auto"/>
        </w:rPr>
      </w:pPr>
    </w:p>
    <w:p>
      <w:pPr>
        <w:ind w:left="60" w:right="439"/>
        <w:spacing w:after="0" w:line="275" w:lineRule="auto"/>
        <w:rPr>
          <w:sz w:val="20"/>
          <w:szCs w:val="20"/>
          <w:color w:val="auto"/>
        </w:rPr>
      </w:pPr>
      <w:r>
        <w:rPr>
          <w:rFonts w:ascii="Arial" w:cs="Arial" w:eastAsia="Arial" w:hAnsi="Arial"/>
          <w:sz w:val="17"/>
          <w:szCs w:val="17"/>
          <w:color w:val="auto"/>
        </w:rPr>
        <w:t>For the nine months ended September 30, 2022 compared to 2021, cash flows from financing activities increased $50 million. Financing cash flows in 2022 was primarily related to the $100 million down payment received from Foxconn, $13.5 million from proceeds from Foxconn notes payable and $40.4 million from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1" w:name="page42"/>
    <w:bookmarkEnd w:id="41"/>
    <w:p>
      <w:pPr>
        <w:jc w:val="both"/>
        <w:ind w:left="60" w:right="99"/>
        <w:spacing w:after="0" w:line="253" w:lineRule="auto"/>
        <w:rPr>
          <w:sz w:val="20"/>
          <w:szCs w:val="20"/>
          <w:color w:val="auto"/>
        </w:rPr>
      </w:pPr>
      <w:r>
        <w:rPr>
          <w:rFonts w:ascii="Arial" w:cs="Arial" w:eastAsia="Arial" w:hAnsi="Arial"/>
          <w:sz w:val="18"/>
          <w:szCs w:val="18"/>
          <w:color w:val="auto"/>
        </w:rPr>
        <w:t>sales under the Equity Purchase Agreement, net of issuance costs. Financing cash flows in 2021 was primarily due to $82.0 million of cash proceeds from the exercise of warrants in 2021 and $20.0 million from sales under the Equity Purchase Agreement, net of issuance costs.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September 30,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See Note 2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On September 30, 2022, we had cash, cash equivalents and short-term investments of approximately $ 203.5 million. We believe that a 10 basis point change in interest rates is likely in the near term. Based on our current level of investment, an increase or decrease of 10 basis points in interest rates would not have a material impact to our cash balances.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not effective as of December 31, 2021 due to the material weakness described below and discussed in our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2" w:name="page43"/>
    <w:bookmarkEnd w:id="42"/>
    <w:p>
      <w:pPr>
        <w:ind w:left="60" w:right="339"/>
        <w:spacing w:after="0" w:line="271" w:lineRule="auto"/>
        <w:rPr>
          <w:sz w:val="20"/>
          <w:szCs w:val="20"/>
          <w:color w:val="auto"/>
        </w:rPr>
      </w:pPr>
      <w:r>
        <w:rPr>
          <w:rFonts w:ascii="Arial" w:cs="Arial" w:eastAsia="Arial" w:hAnsi="Arial"/>
          <w:sz w:val="18"/>
          <w:szCs w:val="18"/>
          <w:color w:val="auto"/>
        </w:rPr>
        <w:t>In the course of preparing the Company’s financial statements for the Form 10-K, our management identified the following material weakness in internal control over financial reporting:</w:t>
      </w:r>
    </w:p>
    <w:p>
      <w:pPr>
        <w:spacing w:after="0" w:line="154" w:lineRule="exact"/>
        <w:rPr>
          <w:sz w:val="20"/>
          <w:szCs w:val="20"/>
          <w:color w:val="auto"/>
        </w:rPr>
      </w:pPr>
    </w:p>
    <w:p>
      <w:pPr>
        <w:ind w:left="720" w:right="19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have a sufficient number of trained resources with assigned responsibilities and accountability for the design and operation of internal controls over financial reporting.</w:t>
      </w:r>
    </w:p>
    <w:p>
      <w:pPr>
        <w:spacing w:after="0" w:line="15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a consequence,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169"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These control deficiencies create a reasonable possibility that a material misstatement to the consolidated financial statements will not be prevented or detected on a timely basis, and therefore we conclude that the deficiencies represent a material weakness in internal control over financial reporting and our internal control over financial reporting is not effective as of December 31, 2021.</w:t>
      </w:r>
    </w:p>
    <w:p>
      <w:pPr>
        <w:spacing w:after="0" w:line="174"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2022. Based upon their evaluation, our Chief Executive Officer and Chief Financial Officer concluded that our disclosure controls and procedures were effective as of September 30, 2022 as our material weakness has been remediated.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Remediation of the Material Weakness</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As of September 30, 2022, management has designed and implemented additional controls to remediate the material weakness previously reported in the Form 10-K for the year ended December 31, 2021 and Form 10-Q for each of the quarters ended March 31, 2022 and June 30, 2022.The Board and management, with the assistance of our third-party consultants and oversight of the Audit Committee, have implemented, among other items, the following measures:</w:t>
      </w:r>
    </w:p>
    <w:p>
      <w:pPr>
        <w:spacing w:after="0" w:line="68"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hired and trained additional qualified personnel</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performed detailed risk assessments in key process areas to identify risks of material misstatement</w:t>
      </w:r>
    </w:p>
    <w:p>
      <w:pPr>
        <w:spacing w:after="0" w:line="8" w:lineRule="exact"/>
        <w:rPr>
          <w:rFonts w:ascii="Times New Roman" w:cs="Times New Roman" w:eastAsia="Times New Roman" w:hAnsi="Times New Roman"/>
          <w:sz w:val="18"/>
          <w:szCs w:val="18"/>
          <w:color w:val="auto"/>
        </w:rPr>
      </w:pPr>
    </w:p>
    <w:p>
      <w:pPr>
        <w:ind w:left="720" w:right="119" w:hanging="319"/>
        <w:spacing w:after="0" w:line="242"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a large nationally recognized accounting firm, designed and implemented control procedures to address the identified risks of material misstatements in key process areas and tested these quarterly.</w:t>
      </w:r>
    </w:p>
    <w:p>
      <w:pPr>
        <w:spacing w:after="0" w:line="16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Given the remediation efforts noted above, testing of applicable controls completed during the third quarter and the determination that controls are designed and operating effectively, management has concluded that the material weakness set forth above was remediated as of September 30, 2022. Our independent registered public accounting firm will complete their audit of the Company’s internal control over financial reporting and report on their independent evaluation of the effectiveness of the Company’s internal control over financial reporting as of December 31, 2022 in connection with the filing of the Company’s 2022 annual financial statements.</w:t>
      </w:r>
    </w:p>
    <w:p>
      <w:pPr>
        <w:spacing w:after="0" w:line="30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Notwithstanding the material weakness that existed as of the beginning of the quarter ended September 30, 2022, management believes that the condensed consolidated financial statements included in this Quarterly Report on Form 10-Q present fairly in all material respects our condensed consolidated financial position, results of operations and cash flows for the period presented.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3" w:name="page44"/>
    <w:bookmarkEnd w:id="43"/>
    <w:p>
      <w:pPr>
        <w:ind w:left="60" w:right="79"/>
        <w:spacing w:after="0" w:line="247"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of the Exchange Act) during the quarter ended September 30, 2022 that have materially affected, or are reasonably likely to materially affect, our internal control over financial reporting except for the remediation efforts with regard to the material weakness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12"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For a description of our legal proceedings, see Note 5 - Commitments and Contingencies of the notes to the condensed consolidated financial statements of this Quarterly Report on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There are no material changes from the risk factors set forth in Part I, “Item 1A. Risk Factors” in our Form 10-K and prior Forms 10-Q, except as set forth below. In addition to the risk factors set forth below and the other information set forth in this report, you should carefully consider the factors discussed in Part I, “Item 1A. Risk Factors” in our Form 10-K and Forms 10-Q, which could materially affect our business, financial condition or future operating results.</w:t>
      </w:r>
    </w:p>
    <w:p>
      <w:pPr>
        <w:spacing w:after="0" w:line="178"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b w:val="1"/>
          <w:bCs w:val="1"/>
          <w:i w:val="1"/>
          <w:iCs w:val="1"/>
          <w:color w:val="auto"/>
        </w:rPr>
        <w:t>The funding transactions contemplated with Foxconn under the Investment Agreement are subject to closing conditions including regulatory approvals and further negotiation of development milestones, and the EV Program development plans contemplated with Foxconn will require additional funding and the establishment and implementation of the program requirements, among other matters, and may not be consummated, sufficiently implemented or provide the benefits we expect, which could have a material adverse effect on our business, operating results, financial condition and prospects.</w:t>
      </w:r>
    </w:p>
    <w:p>
      <w:pPr>
        <w:spacing w:after="0" w:line="15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closing of all tranches of funding under the Investment Agreement for the aggregate sale of up to approximately 39.8 million shares of Class A common stock and up to $100 million of Preferred Stock to Foxconn is subject to certain conditions as follows: (a) the Initial Closing of the sale of approximately 12.9 million shares of Class A common stock for an aggregate purchase price of $22.7 million and $30 million of Preferred Stock is subject to satisfaction of customary representations and covenants, (b) the Subsequent Common Closing of the sale of approximately 26.9 million shares for an aggregate purchase price of $47.3 million will occur only if CFIUS Clearance is received and any applicable waiting period under the Hart-Scott-Rodino Antitrust Improvements Act of 1976, as amended, has expired or terminated, and is subject to satisfaction of customary representations and covenants, and (c) once certain initial EV Program milestones to be agreed to by the parties (the “Preferred Funding Milestones”) have been established, the sale of the remaining $70 million of Preferred Stock is subject to satisfaction of such Preferred Funding Milestones and customary representations and covenants. If these conditions are not satisfied, the funding under the Investment Agreement may not be received or may be limited, which could result in a material adverse effect on our business, operating results, financial condition and prospects.</w:t>
      </w:r>
    </w:p>
    <w:p>
      <w:pPr>
        <w:spacing w:after="0" w:line="189" w:lineRule="exact"/>
        <w:rPr>
          <w:sz w:val="20"/>
          <w:szCs w:val="20"/>
          <w:color w:val="auto"/>
        </w:rPr>
      </w:pPr>
    </w:p>
    <w:p>
      <w:pPr>
        <w:ind w:left="60" w:right="259"/>
        <w:spacing w:after="0" w:line="255" w:lineRule="auto"/>
        <w:rPr>
          <w:sz w:val="20"/>
          <w:szCs w:val="20"/>
          <w:color w:val="auto"/>
        </w:rPr>
      </w:pPr>
      <w:r>
        <w:rPr>
          <w:rFonts w:ascii="Arial" w:cs="Arial" w:eastAsia="Arial" w:hAnsi="Arial"/>
          <w:sz w:val="17"/>
          <w:szCs w:val="17"/>
          <w:color w:val="auto"/>
        </w:rPr>
        <w:t>The funding from the sale of Preferred Stock may be used only to fund expenditures in respect of pre-development activities and related overhead and support in connection with the Company carrying out certain product development and engineering services in connection with the EV Program and to fund the design, development and production of the covered electric vehicle program in accordance with the terms of a related EV Program agreement; provided, that if the EV Program is abandoned, the Compay may use proceeds from the sale of the Preferred Stock that the Company receives prior to the date of such abandonment to fund expenditures in connection with the any substitute or replacement electric vehicle program agreed to by the Company and Foxconn. The parties are to use commercially reasonable good faith efforts to agree upon the Preferred Funding Milestones and a budget for the EV Program no later than May 7, 2023. There is no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4" w:name="page45"/>
    <w:bookmarkEnd w:id="44"/>
    <w:p>
      <w:pPr>
        <w:jc w:val="both"/>
        <w:ind w:left="60" w:right="139"/>
        <w:spacing w:after="0" w:line="275" w:lineRule="auto"/>
        <w:rPr>
          <w:sz w:val="20"/>
          <w:szCs w:val="20"/>
          <w:color w:val="auto"/>
        </w:rPr>
      </w:pPr>
      <w:r>
        <w:rPr>
          <w:rFonts w:ascii="Arial" w:cs="Arial" w:eastAsia="Arial" w:hAnsi="Arial"/>
          <w:sz w:val="17"/>
          <w:szCs w:val="17"/>
          <w:color w:val="auto"/>
        </w:rPr>
        <w:t>assurance that the parties will meet these conditions and, if they are unable to do so, the lack of further funding and progress on the EV Program in accordance with the milestones may have a material adverse effect on the Company’s ability to achieve its business plan with respect to the development of additional electric vehicles.</w:t>
      </w:r>
    </w:p>
    <w:p>
      <w:pPr>
        <w:spacing w:after="0" w:line="35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Further, implementation of the EV Program will require substantial funding beyond the amounts contemplated by the Investment Agreement and effective cooperation by the parties to establish plans, processes and a budget and to timely and effectively fulfill these commitments. Our ability to undertake these actions depends on many variables, which could include our ability to utilize the designs, engineering data and other foundational work of Foxconn, its affiliates, and other members of the MIH consortium as well as other parties, establish appropriate infrastructure and processes with such parties and for all such parties to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 We are still at an early stage of development and no assurances can be given as to the timing or completion of design, development, homologation, certification and production under the EV Program. If we are unable to obtain the additional funding that is needed or the parties are otherwise unable to successfully complete the steps required by the EV Program on a timely basis, our business plan, prospects, financial condition and results of operations could be materially and adversely impaired.</w:t>
      </w:r>
    </w:p>
    <w:p>
      <w:pPr>
        <w:spacing w:after="0" w:line="17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Furthermore, even if the EV Program is completed, we cannot predict whether we will be able to fully realize the anticipated benefits from the intended production of one or more electric vehicle. A variety of other factors, including competition, technological advances, supply chain disruptions, adequate testing, safety and reliability, certifications and government approvals, and the pace and extent of vehicle electrification generally, among other matters, could present challenges to the ultimate success of the EV Program and our business plan, prospects, financial condition and results of operations.</w:t>
      </w:r>
    </w:p>
    <w:p>
      <w:pPr>
        <w:spacing w:after="0" w:line="167" w:lineRule="exact"/>
        <w:rPr>
          <w:sz w:val="20"/>
          <w:szCs w:val="20"/>
          <w:color w:val="auto"/>
        </w:rPr>
      </w:pPr>
    </w:p>
    <w:p>
      <w:pPr>
        <w:ind w:left="60" w:right="99"/>
        <w:spacing w:after="0" w:line="245" w:lineRule="auto"/>
        <w:rPr>
          <w:sz w:val="20"/>
          <w:szCs w:val="20"/>
          <w:color w:val="auto"/>
        </w:rPr>
      </w:pPr>
      <w:r>
        <w:rPr>
          <w:rFonts w:ascii="Arial" w:cs="Arial" w:eastAsia="Arial" w:hAnsi="Arial"/>
          <w:sz w:val="18"/>
          <w:szCs w:val="18"/>
          <w:b w:val="1"/>
          <w:bCs w:val="1"/>
          <w:i w:val="1"/>
          <w:iCs w:val="1"/>
          <w:color w:val="auto"/>
        </w:rPr>
        <w:t>We have agreed to issue shares of Series A Convertible Preferred Stock that ranks senior to our Class A common stock in priority of distribution rights and rights upon our liquidation, dissolution or winding up, accrues dividends and is convertible into Class A common stock and provides associated corporate governance rights and rights with respect to subsequent transactions, which may adversely affect and/or limit the influence of holders of our Class A common stock.</w:t>
      </w:r>
    </w:p>
    <w:p>
      <w:pPr>
        <w:spacing w:after="0" w:line="17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November 7, 2022, the Company and Foxconn entered into the Investment Agreement, pursuant to which Foxconn agreed, subject to certain funding conditions, to purchase $70 million of our Class A common stock and $30 million of Preferred Stock, and subject to the parties agreeing to an EV Program budget and attaining certain EV Program milestones to be established by the parties, up to an additional $70 million of Preferred Stock. If these transactions are consummated, Foxconn will have significant ownership, rights and preferences with respect to our equity securities which may adversely affect and/or limit the influence of holders of our Class A common stock.</w:t>
      </w:r>
    </w:p>
    <w:p>
      <w:pPr>
        <w:spacing w:after="0" w:line="18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Preferred Stock ranks senior to our Class A common stock with respect to dividend rights, rights on the distribution of assets on any liquidation or winding up of the affairs of the Company and redemption rights. Upon any dissolution, liquidation or winding up, holders of the Preferred Stock will be entitled to receive distributions in cash in an amount per share equal to the greater of (1) the sum of $100 per share plus the accrued unpaid dividends with respect to such share and (2) the amount the holder would have received had it converted such share into Class A common stock immediately prior to the date of such event, before any distributions shall be made on any shares of our Class A common stock. In addition, holders of the Preferred Stock will be entitled to receive dividends at a rate equal to 8% per annum, which accrue and accumulate whether or not declared. The holders of the Preferred Stock also participate with any dividends payable in respect of any Junior Stock or Parity Stock. Such dividend obligations could limit our ability to obtain additional financing, which could have an adverse effect on our financial condition. The preferential rights described above could also result in divergent interests between the holders of shares of Preferred Stock and the holders of our Class A common stock.</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5" w:name="page46"/>
    <w:bookmarkEnd w:id="45"/>
    <w:p>
      <w:pPr>
        <w:spacing w:after="0" w:line="31" w:lineRule="exact"/>
        <w:rPr>
          <w:sz w:val="20"/>
          <w:szCs w:val="20"/>
          <w:color w:val="auto"/>
        </w:rPr>
      </w:pPr>
    </w:p>
    <w:p>
      <w:pPr>
        <w:jc w:val="both"/>
        <w:ind w:left="60" w:right="159"/>
        <w:spacing w:after="0" w:line="244" w:lineRule="auto"/>
        <w:rPr>
          <w:sz w:val="20"/>
          <w:szCs w:val="20"/>
          <w:color w:val="auto"/>
        </w:rPr>
      </w:pPr>
      <w:r>
        <w:rPr>
          <w:rFonts w:ascii="Arial" w:cs="Arial" w:eastAsia="Arial" w:hAnsi="Arial"/>
          <w:sz w:val="18"/>
          <w:szCs w:val="18"/>
          <w:color w:val="auto"/>
        </w:rPr>
        <w:t>Commencing on the Conversion Right Date, the Preferred Stock is convertible at the option of the holder, or by us in certain instances, into shares of Class A common stock based on the Conversion Price, which is subject to customary adjustments. The issuance of our Class A common stock upon conversion of the Preferred Stock will result in immediate dilution that may be substantial to the interests of holders of our Class A common stock and could affect the market price of our Class A common stock.</w:t>
      </w:r>
    </w:p>
    <w:p>
      <w:pPr>
        <w:spacing w:after="0" w:line="16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In addition, all holders of shares of Preferred Stock will be entitled to vote with the holders of Class A common stock on all matters submitted to a vote of stockholders of the Company as a single class on an as-converted basis; provided, that no holder of shares of Preferred Stock will be entitled to vote (i) until the expiration or termination of any applicable waiting period under the Hart-Scott-Rodino Antitrust Improvements Act of 1976, as amended, if applicable, or (ii) to the extent that such holder would have the right to a number of votes in respect of such holder’s shares of Class A common stock, Preferred Stock or other capital stock would exceed the limitations set forth in clauses (i) and (ii) of the definition of Ownership Limitations. Pursuant to the Investment Agreement, Foxconn will have the right to appoint two designees to the Board after receiving CFIUS Clearance and consummation of the Subsequent Common Closing. Foxconn will relinquish one Board seat if it does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will relinquish its other Board seat if it does not continue to beneficially own at least 25% of the number of shares of Class A common stock (on an as-converted basis) acquired by Foxconn in connection with the Investment Transactions.</w:t>
      </w:r>
    </w:p>
    <w:p>
      <w:pPr>
        <w:spacing w:after="0" w:line="17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Further, following the Subsequent Common Closing and until Foxconn no longer has the right to appoint a director to sit on the Board, other than with respect to certain excluded issuances, Foxconn has the right to purchase its pro rata portion of equity securities proposed to be sold by the Company, with some exceptions; provided, that the Company is not required to sell Foxconn securities if the Company would be required to obtain stockholder approval under any applicable law or regulation. Foxconn has agreed to a standstill until the later of (i) December 31, 2024 and (ii) 90 days after the first day on which no Foxconn-appointed director serves on the Board and Foxconn no longer has a right to appoint any directors. Pursuant to such stanstill, and without the approval of the Board, Foxconn will not (A) acquire any equity securities of the Company if after the acquisition Foxconn and its affiliates would cross an ownership threshold of 19.99% of the Voting Power and if CFIUS Clearance and the Requisite Stockholder Approval were received, 24% of the Voting Power, or (B)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 Prior to the Subsequent Common Closing, we have agreed that, without Foxconn’s consent, we will not encourage, initiate, facilitate or negotiate any Acquisition Proposal or enter into any agreement with respect to any Acquisition Proposal or that would cause us not to consummate any of the Investment Transactions, and will inform Foxconn of any Acquisition Proposal that we receive. We have also agreed that, while the Preferred Stock is outstanding, we will not put in place a poison pill arrangement that applies to Preferred Stock or to Common Stock that Foxconn acquires from the Company.</w:t>
      </w:r>
    </w:p>
    <w:p>
      <w:pPr>
        <w:spacing w:after="0" w:line="18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Until the later of (i) December 31, 2024 and (ii) 90 days after the first day on which no Foxconn-appointed director serves on the Board and Foxconn no longer has a right to appoint any directors, Foxconn has agreed to vote in favor of each director recommended by the Board and in accordance with any recommendation of the Board on all other proposals that are the subject of stockholder action (other than any action related to any merger or other change of control transaction or sale of assets). So long as the 25% Ownership Requirement is satisfied, we cannot take any of the following actions without the consent of the holders of at least a majority of the then-issued and outstanding Preferred Stock (voting as a separate class) (i) amend any provision of the Charter or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ind w:left="60" w:right="119"/>
        <w:spacing w:after="0" w:line="271" w:lineRule="auto"/>
        <w:rPr>
          <w:sz w:val="20"/>
          <w:szCs w:val="20"/>
          <w:color w:val="auto"/>
        </w:rPr>
      </w:pPr>
      <w:r>
        <w:rPr>
          <w:rFonts w:ascii="Arial" w:cs="Arial" w:eastAsia="Arial" w:hAnsi="Arial"/>
          <w:sz w:val="18"/>
          <w:szCs w:val="18"/>
          <w:color w:val="auto"/>
        </w:rPr>
        <w:t>license or lease or encumber any material portion of our hub motor technology and production line other than in the ordinary course of business.</w:t>
      </w:r>
    </w:p>
    <w:p>
      <w:pPr>
        <w:spacing w:after="0" w:line="14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 xml:space="preserve">As long as Foxconn or another party or concentrated group owns or controls a significant percentage of our Preferred Stock or outstanding voting power, they </w:t>
      </w:r>
      <w:r>
        <w:rPr>
          <w:rFonts w:ascii="Arial" w:cs="Arial" w:eastAsia="Arial" w:hAnsi="Arial"/>
          <w:sz w:val="18"/>
          <w:szCs w:val="18"/>
          <w:color w:val="000000"/>
        </w:rPr>
        <w:t>have the ability to have a significant influence on our actions</w:t>
      </w:r>
      <w:r>
        <w:rPr>
          <w:rFonts w:ascii="Arial" w:cs="Arial" w:eastAsia="Arial" w:hAnsi="Arial"/>
          <w:sz w:val="18"/>
          <w:szCs w:val="18"/>
          <w:color w:val="231F20"/>
        </w:rPr>
        <w:t xml:space="preserve"> </w:t>
      </w:r>
      <w:r>
        <w:rPr>
          <w:rFonts w:ascii="Arial" w:cs="Arial" w:eastAsia="Arial" w:hAnsi="Arial"/>
          <w:sz w:val="18"/>
          <w:szCs w:val="18"/>
          <w:color w:val="000000"/>
        </w:rPr>
        <w:t xml:space="preserve">and operation of the Board and </w:t>
      </w:r>
      <w:r>
        <w:rPr>
          <w:rFonts w:ascii="Arial" w:cs="Arial" w:eastAsia="Arial" w:hAnsi="Arial"/>
          <w:sz w:val="18"/>
          <w:szCs w:val="18"/>
          <w:color w:val="231F20"/>
        </w:rPr>
        <w:t>to influence certain corporate actions requiring stockholder approval, including</w:t>
      </w:r>
      <w:r>
        <w:rPr>
          <w:rFonts w:ascii="Arial" w:cs="Arial" w:eastAsia="Arial" w:hAnsi="Arial"/>
          <w:sz w:val="18"/>
          <w:szCs w:val="18"/>
          <w:color w:val="000000"/>
        </w:rPr>
        <w:t xml:space="preserve"> </w:t>
      </w:r>
      <w:r>
        <w:rPr>
          <w:rFonts w:ascii="Arial" w:cs="Arial" w:eastAsia="Arial" w:hAnsi="Arial"/>
          <w:sz w:val="18"/>
          <w:szCs w:val="18"/>
          <w:color w:val="231F20"/>
        </w:rPr>
        <w:t xml:space="preserve">the election of directors, any amendment of our Charter and the approval of significant corporate transactions. On a pro forma basis, solely giving effect to the Initial Closing and Subsequent Common Closing and not any conversion of Preferred Stock or exercise of Warrants, following the Second Closing, Foxconn would hold shares of Class A common stock representing approximately 18.3% of our outstanding Class A common stock. In addition, to our knowledge, as of November 4, 2022, Steven S. Burns held approximately 16.3% of our Class A common stock. These concentrations of voting power and other rights could have the effect of delaying or preventing a change of control or changes in management and would make the approval of certain transactions difficult or impossible without the support of these significant stockholders. </w:t>
      </w:r>
      <w:r>
        <w:rPr>
          <w:rFonts w:ascii="Arial" w:cs="Arial" w:eastAsia="Arial" w:hAnsi="Arial"/>
          <w:sz w:val="18"/>
          <w:szCs w:val="18"/>
          <w:color w:val="000000"/>
        </w:rPr>
        <w:t>Any of the foregoing could impact</w:t>
      </w:r>
      <w:r>
        <w:rPr>
          <w:rFonts w:ascii="Arial" w:cs="Arial" w:eastAsia="Arial" w:hAnsi="Arial"/>
          <w:sz w:val="18"/>
          <w:szCs w:val="18"/>
          <w:color w:val="231F20"/>
        </w:rPr>
        <w:t xml:space="preserve"> </w:t>
      </w:r>
      <w:r>
        <w:rPr>
          <w:rFonts w:ascii="Arial" w:cs="Arial" w:eastAsia="Arial" w:hAnsi="Arial"/>
          <w:sz w:val="18"/>
          <w:szCs w:val="18"/>
          <w:color w:val="000000"/>
        </w:rPr>
        <w:t>our ability to run our business, and may adversely affect the influence of the holders and market price of our Class A common stock.</w:t>
      </w:r>
    </w:p>
    <w:p>
      <w:pPr>
        <w:spacing w:after="0" w:line="169" w:lineRule="exact"/>
        <w:rPr>
          <w:sz w:val="20"/>
          <w:szCs w:val="20"/>
          <w:color w:val="auto"/>
        </w:rPr>
      </w:pPr>
    </w:p>
    <w:p>
      <w:pPr>
        <w:ind w:left="60" w:right="239"/>
        <w:spacing w:after="0" w:line="249" w:lineRule="auto"/>
        <w:rPr>
          <w:sz w:val="20"/>
          <w:szCs w:val="20"/>
          <w:color w:val="auto"/>
        </w:rPr>
      </w:pPr>
      <w:r>
        <w:rPr>
          <w:rFonts w:ascii="Arial" w:cs="Arial" w:eastAsia="Arial" w:hAnsi="Arial"/>
          <w:sz w:val="18"/>
          <w:szCs w:val="18"/>
          <w:b w:val="1"/>
          <w:bCs w:val="1"/>
          <w:i w:val="1"/>
          <w:iCs w:val="1"/>
          <w:color w:val="auto"/>
        </w:rPr>
        <w:t>Even if the Investment Transactions are consummated, we need substantial additional funding and expect to use the ATM Offering to raise capital, however, our ability to obtain funding through the ATM Offering and the amount that we may raise is uncertain, and a lack of sufficient funding for our operations would have an adverse effect on our business.</w:t>
      </w:r>
    </w:p>
    <w:p>
      <w:pPr>
        <w:spacing w:after="0" w:line="16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We have entered into the Sales Agreement for the ATM Offering and may sell up to approximately 50.2 million shares of Class A common stock from time to time through at-the-market offerings by Jefferies, as agent. Subject to certain limitations in the Sales Agreement and compliance with applicable law, we have the discretion to deliver a placement notice to Jefferies at any time throughout the term of the Sales Agreement. The proceeds we receive after delivering a placement notice will fluctuate based on a number of factors, including the market price of our Class A common stock during the sales period, any limits we may set with Jefferies in any applicable placement notice and the demand for our Class A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8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Further, given the decrease in the market price of our Class A common stock and volatility in the public markets, we may not be willing or able to use the ATM Offering to raise significant amounts, or any funding at all. In addition, the sale of a substantial number of shares of our Class A common stock or other securities convertible into or exchangeable for our Class A common stock in the public markets, or the perception that such sales could occur, could depress the market price of our Class A common stock and impair our ability to raise capital through such sales, which could result in a material adverse effect on our business, operating results, financial condition and prospects.</w:t>
      </w:r>
    </w:p>
    <w:p>
      <w:pPr>
        <w:spacing w:after="0" w:line="185"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 xml:space="preserve">Even if the ATM Offering is successful and we receive the funds contemplated by the Investment Agreement, we need additional funding to execute our business plan that, including scaling production of the Endurance and developing other vehicles through the EV Program and otherwise, due to the capital required to complete testing and validation, purchase the raw materials and vehicle components for saleable vehicles, invest in the hard tooling to lower our bill of materials cost and fund future engineering, operating and corporate expenditures. We also have meaningful exposure to material losses and costs related to ongoing litigation and regulatory proceedings for which insurance coverage has been denied for certain claims and may be unavailable for those and other claims. </w:t>
      </w:r>
      <w:r>
        <w:rPr>
          <w:rFonts w:ascii="Arial" w:cs="Arial" w:eastAsia="Arial" w:hAnsi="Arial"/>
          <w:sz w:val="18"/>
          <w:szCs w:val="18"/>
          <w:color w:val="231F20"/>
        </w:rPr>
        <w:t>The opinion of our independent registered public accountants on our</w:t>
      </w:r>
      <w:r>
        <w:rPr>
          <w:rFonts w:ascii="Arial" w:cs="Arial" w:eastAsia="Arial" w:hAnsi="Arial"/>
          <w:sz w:val="18"/>
          <w:szCs w:val="18"/>
          <w:color w:val="auto"/>
        </w:rPr>
        <w:t xml:space="preserve"> </w:t>
      </w:r>
      <w:r>
        <w:rPr>
          <w:rFonts w:ascii="Arial" w:cs="Arial" w:eastAsia="Arial" w:hAnsi="Arial"/>
          <w:sz w:val="18"/>
          <w:szCs w:val="18"/>
          <w:color w:val="231F20"/>
        </w:rPr>
        <w:t xml:space="preserve">audited financial statements as of and for the year ended December 31, 2021 contains an explanatory paragraph regarding substantial doubt about our ability to continue as a going concern. </w:t>
      </w:r>
      <w:r>
        <w:rPr>
          <w:rFonts w:ascii="Arial" w:cs="Arial" w:eastAsia="Arial" w:hAnsi="Arial"/>
          <w:sz w:val="18"/>
          <w:szCs w:val="18"/>
          <w:color w:val="000000"/>
        </w:rPr>
        <w:t>Until such time as we</w:t>
      </w:r>
      <w:r>
        <w:rPr>
          <w:rFonts w:ascii="Arial" w:cs="Arial" w:eastAsia="Arial" w:hAnsi="Arial"/>
          <w:sz w:val="18"/>
          <w:szCs w:val="18"/>
          <w:color w:val="231F20"/>
        </w:rPr>
        <w:t xml:space="preserve"> </w:t>
      </w:r>
      <w:r>
        <w:rPr>
          <w:rFonts w:ascii="Arial" w:cs="Arial" w:eastAsia="Arial" w:hAnsi="Arial"/>
          <w:sz w:val="18"/>
          <w:szCs w:val="18"/>
          <w:color w:val="000000"/>
        </w:rPr>
        <w:t>have sufficient funds to invest in the necessary actions to reduce our bill of material costs, we will limit our production in order to minimize our losses. If we are unable to raise substantial additional capital in the near term, our ability to invest in hard tooling to lower the bill of material cost of the Endurance will be significantly scaled back or curtailed. If the funds raised are insufficient to provide a bridge to full scale commercial production at a profit, our operations could be severely curtailed or cease entirely.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7" w:name="page48"/>
    <w:bookmarkEnd w:id="47"/>
    <w:p>
      <w:pPr>
        <w:ind w:left="60" w:right="79"/>
        <w:spacing w:after="0" w:line="237" w:lineRule="auto"/>
        <w:rPr>
          <w:sz w:val="20"/>
          <w:szCs w:val="20"/>
          <w:color w:val="auto"/>
        </w:rPr>
      </w:pPr>
      <w:r>
        <w:rPr>
          <w:rFonts w:ascii="Arial" w:cs="Arial" w:eastAsia="Arial" w:hAnsi="Arial"/>
          <w:sz w:val="18"/>
          <w:szCs w:val="18"/>
          <w:color w:val="auto"/>
        </w:rPr>
        <w:t>In an effort to alleviate these conditions, management continues to actively seek and evaluate opportunities to raise additional funds through the issuance of equity or debt securities, asset sales, arrangements with strategic partners or obtaining financing from government or financial institutions. We have engaged a financial advisor to advise the Company on additional financing alternatives. There can be no assurance that such financing would be available to us on favorable terms or at all. Our ability to obtain additional financing is subject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and costs related to ongoing litigation and the SEC investigation, the market price of our stock, potential dilution from the issuance of the Preferred Stock and future financings, our performance and investor sentiment with respect to us and our business and industry, as well as our ability to effectively implement and realize the expected benefits of the Foxconn Transactions. As a result of these uncertainties, and notwithstanding management’s plans and efforts to date, there continues to be substantial doubt about our ability to continue as a going concern.</w:t>
      </w:r>
    </w:p>
    <w:p>
      <w:pPr>
        <w:spacing w:after="0" w:line="189"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If we are unable to raise substantial additional capital, our continuing operations and production plans will be scaled back or curtailed and, if any funds raised are insufficient to provide a bridge to full commercial production, our operations could be severely curtailed or cease entirely.</w:t>
      </w:r>
    </w:p>
    <w:p>
      <w:pPr>
        <w:spacing w:after="0" w:line="171" w:lineRule="exact"/>
        <w:rPr>
          <w:sz w:val="20"/>
          <w:szCs w:val="20"/>
          <w:color w:val="auto"/>
        </w:rPr>
      </w:pPr>
    </w:p>
    <w:p>
      <w:pPr>
        <w:jc w:val="both"/>
        <w:ind w:left="60" w:right="259"/>
        <w:spacing w:after="0" w:line="256" w:lineRule="auto"/>
        <w:rPr>
          <w:sz w:val="20"/>
          <w:szCs w:val="20"/>
          <w:color w:val="auto"/>
        </w:rPr>
      </w:pPr>
      <w:r>
        <w:rPr>
          <w:rFonts w:ascii="Arial" w:cs="Arial" w:eastAsia="Arial" w:hAnsi="Arial"/>
          <w:sz w:val="18"/>
          <w:szCs w:val="18"/>
          <w:b w:val="1"/>
          <w:bCs w:val="1"/>
          <w:i w:val="1"/>
          <w:iCs w:val="1"/>
          <w:color w:val="auto"/>
        </w:rPr>
        <w:t>We may issue additional shares of preferred stock or additional shares of Class A common stock, and sales of a substantial number of shares of our securities would dilute the interest of our stockholders and could cause the price of our Class A common stock to decline.</w:t>
      </w:r>
    </w:p>
    <w:p>
      <w:pPr>
        <w:spacing w:after="0" w:line="15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Our Charter provides for 462 million authorized shares of capital stock, consisting of (i) 450 million shares of Class A common stock and (ii) 12 million shares of preferred stock, of which 1 million shares has been designated as Series A Convertible Preferred Stock.</w:t>
      </w:r>
    </w:p>
    <w:p>
      <w:pPr>
        <w:spacing w:after="0" w:line="16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To raise capital, we may sell additional shares of Class A common stock, preferred stock, convertible securities or other equity securities in one or more transactions. Such securities may be offered at a price per share that is less than the price per share paid by our current stockholders, and investors purchasing shares or other securities in the future could have rights superior to existing stockholders. Any such issuance:</w:t>
      </w:r>
    </w:p>
    <w:p>
      <w:pPr>
        <w:spacing w:after="0" w:line="174" w:lineRule="exact"/>
        <w:rPr>
          <w:sz w:val="20"/>
          <w:szCs w:val="20"/>
          <w:color w:val="auto"/>
        </w:rPr>
      </w:pPr>
    </w:p>
    <w:p>
      <w:pPr>
        <w:ind w:left="820" w:hanging="324"/>
        <w:spacing w:after="0"/>
        <w:tabs>
          <w:tab w:leader="none" w:pos="8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may significantly dilute the equity interest of our then-current stockholders;</w:t>
      </w:r>
    </w:p>
    <w:p>
      <w:pPr>
        <w:spacing w:after="0" w:line="224"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may subordinate the rights of holders of shares of Class A common stock if one or more</w:t>
      </w:r>
    </w:p>
    <w:p>
      <w:pPr>
        <w:spacing w:after="0" w:line="12" w:lineRule="exact"/>
        <w:rPr>
          <w:rFonts w:ascii="Times New Roman" w:cs="Times New Roman" w:eastAsia="Times New Roman" w:hAnsi="Times New Roman"/>
          <w:sz w:val="18"/>
          <w:szCs w:val="18"/>
          <w:color w:val="auto"/>
        </w:rPr>
      </w:pPr>
    </w:p>
    <w:p>
      <w:pPr>
        <w:ind w:left="820" w:right="459"/>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classes of preferred stock are created, and such preferred shares are issued, with rights senior to those afforded to our Class A common stock;</w:t>
      </w:r>
    </w:p>
    <w:p>
      <w:pPr>
        <w:spacing w:after="0" w:line="171"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may have covenants that restrict our financial and operating flexibility;</w:t>
      </w:r>
    </w:p>
    <w:p>
      <w:pPr>
        <w:spacing w:after="0" w:line="224" w:lineRule="exact"/>
        <w:rPr>
          <w:rFonts w:ascii="Times New Roman" w:cs="Times New Roman" w:eastAsia="Times New Roman" w:hAnsi="Times New Roman"/>
          <w:sz w:val="18"/>
          <w:szCs w:val="18"/>
          <w:color w:val="auto"/>
        </w:rPr>
      </w:pPr>
    </w:p>
    <w:p>
      <w:pPr>
        <w:ind w:left="820" w:right="79" w:hanging="324"/>
        <w:spacing w:after="0" w:line="252" w:lineRule="auto"/>
        <w:tabs>
          <w:tab w:leader="none" w:pos="8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could cause a change in control if a substantial number of shares of Class A common stock are issued, which may affect, among other things, our ability to use our net operating loss carryforwards, if any, and could result in the resignation or removal of our present officers and directors; and</w:t>
      </w:r>
    </w:p>
    <w:p>
      <w:pPr>
        <w:spacing w:after="0" w:line="170" w:lineRule="exact"/>
        <w:rPr>
          <w:rFonts w:ascii="Times New Roman" w:cs="Times New Roman" w:eastAsia="Times New Roman" w:hAnsi="Times New Roman"/>
          <w:sz w:val="18"/>
          <w:szCs w:val="18"/>
          <w:color w:val="auto"/>
        </w:rPr>
      </w:pPr>
    </w:p>
    <w:p>
      <w:pPr>
        <w:ind w:left="820" w:hanging="324"/>
        <w:spacing w:after="0"/>
        <w:tabs>
          <w:tab w:leader="none" w:pos="8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may adversely affect the prevailing market price for our Class A common stock.</w:t>
      </w:r>
    </w:p>
    <w:p>
      <w:pPr>
        <w:spacing w:after="0" w:line="224"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Sales of a substantial number of shares of Class A common stock in the public market could occur at any time, including sales pursuant to the Invesment Agreement and expected resale registration statement covering such shares, the Equity Purchase Agreement and resale registration statement covering such shares (although we expect this to be terminated), the Sales Agreement and ATM Offering, or other efforts to raise additional capital or in connection with a strategic alliance, business combination or similar transaction, as well as pursuant to a resale prospectus covering shares and Warrants issued in the Business Combination and registered pursuant to the Registration Rights and Lock-up Agreement entered into with certain investors, and our 2020 Equity Incentive Plan and other Warrants. These sales, or the perception in the market that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8" w:name="page49"/>
    <w:bookmarkEnd w:id="48"/>
    <w:p>
      <w:pPr>
        <w:jc w:val="both"/>
        <w:ind w:left="60" w:right="79"/>
        <w:spacing w:after="0" w:line="275" w:lineRule="auto"/>
        <w:rPr>
          <w:sz w:val="20"/>
          <w:szCs w:val="20"/>
          <w:color w:val="auto"/>
        </w:rPr>
      </w:pPr>
      <w:r>
        <w:rPr>
          <w:rFonts w:ascii="Arial" w:cs="Arial" w:eastAsia="Arial" w:hAnsi="Arial"/>
          <w:sz w:val="17"/>
          <w:szCs w:val="17"/>
          <w:color w:val="auto"/>
        </w:rPr>
        <w:t>holders of a large number of shares intend to sell shares, could reduce the market price of our Class A common stock and could impair our ability to raise capital through the sale of additional equity securities. We are unable to predict the effect that sales may have on the prevailing market price of our Class A common stock.</w:t>
      </w:r>
    </w:p>
    <w:p>
      <w:pPr>
        <w:spacing w:after="0" w:line="152" w:lineRule="exact"/>
        <w:rPr>
          <w:sz w:val="20"/>
          <w:szCs w:val="20"/>
          <w:color w:val="auto"/>
        </w:rPr>
      </w:pPr>
    </w:p>
    <w:p>
      <w:pPr>
        <w:ind w:left="60" w:right="179"/>
        <w:spacing w:after="0" w:line="250" w:lineRule="auto"/>
        <w:rPr>
          <w:sz w:val="20"/>
          <w:szCs w:val="20"/>
          <w:color w:val="auto"/>
        </w:rPr>
      </w:pPr>
      <w:r>
        <w:rPr>
          <w:rFonts w:ascii="Arial" w:cs="Arial" w:eastAsia="Arial" w:hAnsi="Arial"/>
          <w:sz w:val="17"/>
          <w:szCs w:val="17"/>
          <w:color w:val="auto"/>
        </w:rPr>
        <w:t>As of September 30, 2022, we had outstanding 216 million shares of our Class A common stock and Warrants to purchase approximately 5.6 million shares of our Class A common stock. The exercise price of the Warrants ranges from $10.00 to $11.50 per share. In addition, as of September 30, 2022, an aggregate of 18.6 million shares of Class A common stock are subject to outstanding awards or available for future issuance under the 2020 Equity Incentive Plan. Prior to the Initial Closing, the Company will file the Certificate of Designations to designate 1 million shares of Preferred Stock which are expected to be issued under the Investment Agreement, subject to the satisfaction of certain conditions. To the extent such Warrants or equity awards are exercised or vested and settled or the Preferred Stock is converted into Class A common stock, additional shares of our Class A common stock will be issued, which will result in dilution to the holders of our Class A common stock and will increase the number of shares eligible for resale in the public market. In addition,</w:t>
      </w:r>
    </w:p>
    <w:p>
      <w:pPr>
        <w:spacing w:after="0" w:line="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Registration Rights and Lock-up Agreement provided that certain of our securities held by the parties to such agreement were locked-up following the Business Combination, and this restriction lapsed as to the remaining 50% of shares of Class A common stock held by Stephen S. Burns as of October 23, 2022. Sales, or the potential sales, of substantial numbers of shares in the public market, subject to certain restrictions on transfer until the termination of applicable lock-up periods, could increase the volatility of or adversely affect the market price of our Class A common stock.</w:t>
      </w:r>
    </w:p>
    <w:p>
      <w:pPr>
        <w:spacing w:after="0" w:line="181"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b w:val="1"/>
          <w:bCs w:val="1"/>
          <w:color w:val="auto"/>
        </w:rPr>
        <w:t>We face risks and uncertainties related to ongoing and potential future litigation, as well as regulatory actions and government investigations and inquiries, for which we will continue to incur significant legal costs and may be subject to significant uninsured losses</w:t>
      </w:r>
      <w:r>
        <w:rPr>
          <w:rFonts w:ascii="Arial" w:cs="Arial" w:eastAsia="Arial" w:hAnsi="Arial"/>
          <w:sz w:val="18"/>
          <w:szCs w:val="18"/>
          <w:color w:val="auto"/>
        </w:rPr>
        <w:t>.</w:t>
      </w:r>
    </w:p>
    <w:p>
      <w:pPr>
        <w:spacing w:after="0" w:line="14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are currently subject to extensive litigation, including securities class action litigation, shareholder derivative suits, a stockholder class action, an SEC investigation, and litigation involving alleged trade secret misappropriation, unfair competition and other related claims. We may in the future be subject to, or become a party to, additional litigation, claims, regulatory actions, and government investigations and inquiries, as, in the ordinary course of business, we may be subject to claims by customers, suppliers, vendors, contractors, competitors, government agencies, stockholders or other parties regarding our products, development, accidents, advertising,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 which we have no or limited insurance coverage. See Part II – Item 1 and updates provided under the heading “Legal Proceedings” and otherwise in our subsequent filings with the SEC for additional information regarding our ongoing litigation matters.</w:t>
      </w:r>
    </w:p>
    <w:p>
      <w:pPr>
        <w:spacing w:after="0" w:line="183"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These claims have and may in the future divert our financial and management resources that would otherwise be used to benefit our operations, increase our insurance costs and cause reputational harm. We have already incurred, and expect to continue to incur, significant legal expenses in defending against these claims. Further, the ongoing expense of lawsuits, investigations and any substantial settlement payment by us or damage award enforceable against us could adversely affect our business and results of operations.</w:t>
      </w:r>
    </w:p>
    <w:p>
      <w:pPr>
        <w:spacing w:after="0" w:line="1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While we currently carry commercial general liability, commercial automobile liability, excess liability, workers’ compensation, cyber security and directors’ and officers’ insurance policies, coverage amounts are limited and we may not maintain as much insurance coverage as other OEMs do. In some cases, we may not maintain any insurance coverage at all. Additionally, the policies that we do have may include significant deductibles and exclusions, and we cannot be certain that our insurance coverage will be applicable to or sufficient to cover all current and future claims against us.</w:t>
      </w:r>
    </w:p>
    <w:p>
      <w:pPr>
        <w:spacing w:after="0" w:line="179"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Our insurers have asserted a denial of coverage under the main tower of our director and officer insurance program with respect to numerous ongoing matters, including the consolidated securities class action, various shareholder derivative actions, the consolidated stockholder class action, various demands for inspection of</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9" w:name="page50"/>
    <w:bookmarkEnd w:id="49"/>
    <w:p>
      <w:pPr>
        <w:ind w:left="60" w:right="179"/>
        <w:spacing w:after="0" w:line="239" w:lineRule="auto"/>
        <w:rPr>
          <w:sz w:val="20"/>
          <w:szCs w:val="20"/>
          <w:color w:val="auto"/>
        </w:rPr>
      </w:pPr>
      <w:r>
        <w:rPr>
          <w:rFonts w:ascii="Arial" w:cs="Arial" w:eastAsia="Arial" w:hAnsi="Arial"/>
          <w:sz w:val="18"/>
          <w:szCs w:val="18"/>
          <w:color w:val="auto"/>
        </w:rPr>
        <w:t>books and records, the SEC investigation, and the investigation by the United States Attorney’s Office for the Southern District of New York,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We are analyzing the insurer’s position, and intend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not denied coverage on this basis or otherwise.</w:t>
      </w:r>
    </w:p>
    <w:p>
      <w:pPr>
        <w:spacing w:after="0" w:line="18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At this time, the Company cannot predict the results of many of the current proceedings, and future resolution of these matters could result in changes in management's estimates of losses, which could be material to our consolidated financial statements. As of September 30, 2022, we have an aggregate provision for litigation costs of $34 million. The</w:t>
      </w:r>
    </w:p>
    <w:p>
      <w:pPr>
        <w:spacing w:after="0" w:line="200" w:lineRule="exact"/>
        <w:rPr>
          <w:sz w:val="20"/>
          <w:szCs w:val="20"/>
          <w:color w:val="auto"/>
        </w:rPr>
      </w:pPr>
    </w:p>
    <w:p>
      <w:pPr>
        <w:spacing w:after="0" w:line="392" w:lineRule="exact"/>
        <w:rPr>
          <w:sz w:val="20"/>
          <w:szCs w:val="20"/>
          <w:color w:val="auto"/>
        </w:rPr>
      </w:pPr>
    </w:p>
    <w:p>
      <w:pPr>
        <w:ind w:left="60" w:right="59" w:firstLine="50"/>
        <w:spacing w:after="0" w:line="237" w:lineRule="auto"/>
        <w:rPr>
          <w:sz w:val="20"/>
          <w:szCs w:val="20"/>
          <w:color w:val="auto"/>
        </w:rPr>
      </w:pPr>
      <w:r>
        <w:rPr>
          <w:rFonts w:ascii="Arial" w:cs="Arial" w:eastAsia="Arial" w:hAnsi="Arial"/>
          <w:sz w:val="18"/>
          <w:szCs w:val="18"/>
          <w:color w:val="auto"/>
        </w:rPr>
        <w:t>is based on current information, legal advice and the potential impact of the outcome of one or more claims on related matters and may be adjusted in the future based on new developments. This accrual does not reflect a full range of possible outcomes for these proceedings or the full amount of any damages alleged, which are significantly higher. Furthermore, we may use Class A common stock as consideration in any settlement. While we believe that additional losses beyond current accruals are likely, and any such additional losses may be significant, we cannot presently estimate a possible loss contingency or range of reasonably possible loss contingencies beyond current accruals. Estimating probable losses requires the analysis of multiple forecasted factors that often depend on judgments and potential actions by third parties. Legal fees and costs of litigation or an adverse judgment or settlement in any one or more of our ongoing litigation matters that are not insured or that is in excess of insurance coverage could significantly exceed our current accrual and ability to pay. This would have a material adverse effect on our financial position and results of operations and could severely curtail or cause our operations to cease entirely. Furthermore, our ability to raise the additional capital we need to execute our business plans is adversely impacted by the potential material adverse effect of any one or more of the pending litigations, SEC investigation and related ongoing significant legal costs.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Except as described below and previously disclosed in a Current Report on Form 8-K, there were no sales of equity securities during the quarter ended September 30, 2022 that were not registered under the Securities Act.</w:t>
      </w:r>
    </w:p>
    <w:p>
      <w:pPr>
        <w:spacing w:after="0" w:line="155"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 xml:space="preserve">On August 10, 2022 and August 19, 2022, pursuant to the Equity Purchase Agreement the Company sold an aggregate of 10.9 million shares of its Class A common stock to YA </w:t>
      </w:r>
      <w:r>
        <w:rPr>
          <w:rFonts w:ascii="Arial" w:cs="Arial" w:eastAsia="Arial" w:hAnsi="Arial"/>
          <w:sz w:val="18"/>
          <w:szCs w:val="18"/>
          <w:color w:val="231F20"/>
        </w:rPr>
        <w:t>and received $26.7 million cash, net of</w:t>
      </w:r>
      <w:r>
        <w:rPr>
          <w:rFonts w:ascii="Arial" w:cs="Arial" w:eastAsia="Arial" w:hAnsi="Arial"/>
          <w:sz w:val="18"/>
          <w:szCs w:val="18"/>
          <w:color w:val="auto"/>
        </w:rPr>
        <w:t xml:space="preserve"> </w:t>
      </w:r>
      <w:r>
        <w:rPr>
          <w:rFonts w:ascii="Arial" w:cs="Arial" w:eastAsia="Arial" w:hAnsi="Arial"/>
          <w:sz w:val="18"/>
          <w:szCs w:val="18"/>
          <w:color w:val="231F20"/>
        </w:rPr>
        <w:t>equity issuance costs.</w:t>
      </w:r>
    </w:p>
    <w:p>
      <w:pPr>
        <w:spacing w:after="0" w:line="155"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color w:val="auto"/>
        </w:rPr>
        <w:t>The shares were issued and sold to an accredited investor in reliance upon the exemption from the registration requirements of the Securities Act of 1933 afforded by Section 4(a)(2) of the Securities Act of 1933.</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On November 7, 2022, the Company entered into the Sales Agreement with Jefferies, as agent, pursuant to which the Company may offer and sell up to approximately 50.2 million shares of our Class A common Stock, from time to time through Jefferies. The Company filed the Prospectus Supplement in connection with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50" w:name="page51"/>
    <w:bookmarkEnd w:id="50"/>
    <w:p>
      <w:pPr>
        <w:ind w:left="60" w:right="199"/>
        <w:spacing w:after="0" w:line="247" w:lineRule="auto"/>
        <w:rPr>
          <w:sz w:val="20"/>
          <w:szCs w:val="20"/>
          <w:color w:val="auto"/>
        </w:rPr>
      </w:pPr>
      <w:r>
        <w:rPr>
          <w:rFonts w:ascii="Arial" w:cs="Arial" w:eastAsia="Arial" w:hAnsi="Arial"/>
          <w:sz w:val="18"/>
          <w:szCs w:val="18"/>
          <w:color w:val="auto"/>
        </w:rPr>
        <w:t>ATM Offering under the Registration Statement. The Company has agreed to pay Jefferies commissions for its services of acting as agent of up to 3% of the gross proceeds from the sale of the shares of Class A common stock pursuant to the Sales Agreement. The Company has also agreed to provide Jefferies with customary indemnification and contribution rights.</w:t>
      </w:r>
    </w:p>
    <w:p>
      <w:pPr>
        <w:spacing w:after="0" w:line="16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Upon delivery of an issuance notice and subject to the terms and conditions of the Sales Agreement, Jefferies may sell shares of Class A common stock at market prices by any method deemed to be an “at the market offering” as defined in Rule 415(a)(4) promulgated under the Securities Act of 1933, as amended, including sales made directly on or through Nasdaq, the existing trading market for the Class A common stock. The Company may instruct Jefferies to not sell the shares of Class A common stock if the sales cannot be transacted at or above the price designated by the Company in any issuance notice, and in no event may sales occur below a minimum price of $ 1.00. The Company is not obligated to make any sales of the shares of Class A common stock under the Sales Agreement. Actual sales will depend on a variety of factors and no assurance can be given that the Company will sell any shares of Class A common stock under the Agreement, or, if it does, as to the price or amount of the shares of Class A common stock that it sells or the dates when such sales will take place.</w:t>
      </w:r>
    </w:p>
    <w:p>
      <w:pPr>
        <w:spacing w:after="0" w:line="17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shares of Class A common stock will be sold pursuant to the Registration Statement, and offerings of the shares of Class A common stock will be made only by means of the Prospectus Supplement and accompanying prospectus. This quarterly report on Form 10-Q shall not constitute an offer to sell or solicitation of an offer to buy the shares of Class A common stock, nor shall there be any sale of the shares of Class A common stock in any state in which such offer, solicitation or sale would be unlawful prior to registration or qualification under the securities law of such state or jurisdiction.</w:t>
      </w:r>
    </w:p>
    <w:p>
      <w:pPr>
        <w:spacing w:after="0" w:line="165"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Company or Jefferies may suspend or terminate the offering of shares of Class A commons stock upon notice to the other party, subject to certain conditions. Jefferies will act as sales agent on a commercially reasonable efforts basis consistent with its normal trading and sales practices and applicable state and federal law, rules and regulations and the rules of Nasdaq.</w:t>
      </w:r>
    </w:p>
    <w:p>
      <w:pPr>
        <w:spacing w:after="0" w:line="160"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A copy of the Sales Agreement is attached as Exhibit 10.3 to this quarterly report on Form 10-Q and is incorporated herein by reference. The foregoing description of the material terms of the Sales Agreement is qualified in its entirety by reference to such exhibit.</w:t>
      </w:r>
    </w:p>
    <w:p>
      <w:pPr>
        <w:spacing w:after="0" w:line="155"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Baker &amp; Hostetler LLP, counsel to the Company, has issued a legal opinion relating to the shares under the Sales Agreement. A copy of such legal opinion, including the consent included therein, is attached as Exhibit 5.1 to this quarterly report on Form 10-Q.</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51" w:name="page52"/>
    <w:bookmarkEnd w:id="51"/>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gridSpan w:val="9"/>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3.1</w:t>
            </w:r>
          </w:p>
        </w:tc>
        <w:tc>
          <w:tcPr>
            <w:tcW w:w="7680" w:type="dxa"/>
            <w:vAlign w:val="bottom"/>
            <w:gridSpan w:val="13"/>
          </w:tcPr>
          <w:p>
            <w:pPr>
              <w:spacing w:after="0" w:line="155" w:lineRule="exact"/>
              <w:rPr>
                <w:rFonts w:ascii="Arial" w:cs="Arial" w:eastAsia="Arial" w:hAnsi="Arial"/>
                <w:sz w:val="16"/>
                <w:szCs w:val="16"/>
                <w:color w:val="0000EE"/>
              </w:rPr>
            </w:pPr>
            <w:hyperlink r:id="rId63">
              <w:r>
                <w:rPr>
                  <w:rFonts w:ascii="Arial" w:cs="Arial" w:eastAsia="Arial" w:hAnsi="Arial"/>
                  <w:sz w:val="16"/>
                  <w:szCs w:val="16"/>
                  <w:color w:val="0000EE"/>
                </w:rPr>
                <w:t>Form of Certificate of Designation, Preferences and Rights of Series A Convertible Preferred Stock</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5.1*</w:t>
            </w:r>
          </w:p>
        </w:tc>
        <w:tc>
          <w:tcPr>
            <w:tcW w:w="706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63">
              <w:r>
                <w:rPr>
                  <w:rFonts w:ascii="Arial" w:cs="Arial" w:eastAsia="Arial" w:hAnsi="Arial"/>
                  <w:sz w:val="16"/>
                  <w:szCs w:val="16"/>
                  <w:color w:val="0000EE"/>
                </w:rPr>
                <w:t>(incorporated by reference to the current report on Form 8-K filed by the Company on November 7,</w:t>
              </w:r>
            </w:hyperlink>
          </w:p>
        </w:tc>
        <w:tc>
          <w:tcPr>
            <w:tcW w:w="460" w:type="dxa"/>
            <w:vAlign w:val="bottom"/>
            <w:tcBorders>
              <w:bottom w:val="single" w:sz="8" w:color="0000EE"/>
            </w:tcBorders>
          </w:tcPr>
          <w:p>
            <w:pPr>
              <w:jc w:val="right"/>
              <w:spacing w:after="0" w:line="169" w:lineRule="exact"/>
              <w:rPr>
                <w:rFonts w:ascii="Arial" w:cs="Arial" w:eastAsia="Arial" w:hAnsi="Arial"/>
                <w:sz w:val="16"/>
                <w:szCs w:val="16"/>
                <w:color w:val="0000EE"/>
              </w:rPr>
            </w:pPr>
            <w:hyperlink r:id="rId63">
              <w:r>
                <w:rPr>
                  <w:rFonts w:ascii="Arial" w:cs="Arial" w:eastAsia="Arial" w:hAnsi="Arial"/>
                  <w:sz w:val="16"/>
                  <w:szCs w:val="16"/>
                  <w:color w:val="0000EE"/>
                </w:rPr>
                <w:t>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238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rPr>
              <w:t>Opinion of Baker &amp; Hostetler LLP</w:t>
            </w:r>
          </w:p>
        </w:tc>
        <w:tc>
          <w:tcPr>
            <w:tcW w:w="5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7680" w:type="dxa"/>
            <w:vAlign w:val="bottom"/>
            <w:gridSpan w:val="13"/>
          </w:tcPr>
          <w:p>
            <w:pPr>
              <w:spacing w:after="0" w:line="169" w:lineRule="exact"/>
              <w:rPr>
                <w:rFonts w:ascii="Arial" w:cs="Arial" w:eastAsia="Arial" w:hAnsi="Arial"/>
                <w:sz w:val="16"/>
                <w:szCs w:val="16"/>
                <w:color w:val="0000EE"/>
              </w:rPr>
            </w:pPr>
            <w:hyperlink r:id="rId64">
              <w:r>
                <w:rPr>
                  <w:rFonts w:ascii="Arial" w:cs="Arial" w:eastAsia="Arial" w:hAnsi="Arial"/>
                  <w:sz w:val="16"/>
                  <w:szCs w:val="16"/>
                  <w:color w:val="0000EE"/>
                </w:rPr>
                <w:t>Investment Agreement dated November 7, 2022, between Lordstown Motors Corp. and Foxconn Ventures</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60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64">
              <w:r>
                <w:rPr>
                  <w:rFonts w:ascii="Arial" w:cs="Arial" w:eastAsia="Arial" w:hAnsi="Arial"/>
                  <w:sz w:val="16"/>
                  <w:szCs w:val="16"/>
                  <w:color w:val="0000EE"/>
                </w:rPr>
                <w:t>Pte. Ltd. (incorporated by reference to the current report on Form 8-K filed by the Company on November</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10.2</w:t>
            </w:r>
          </w:p>
        </w:tc>
        <w:tc>
          <w:tcPr>
            <w:tcW w:w="5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5"/>
              </w:rPr>
            </w:pPr>
            <w:hyperlink r:id="rId64">
              <w:r>
                <w:rPr>
                  <w:rFonts w:ascii="Arial" w:cs="Arial" w:eastAsia="Arial" w:hAnsi="Arial"/>
                  <w:sz w:val="16"/>
                  <w:szCs w:val="16"/>
                  <w:color w:val="0000EE"/>
                  <w:w w:val="95"/>
                </w:rPr>
                <w:t>7, 2022)</w:t>
              </w:r>
            </w:hyperlink>
          </w:p>
        </w:tc>
        <w:tc>
          <w:tcPr>
            <w:tcW w:w="180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28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580" w:type="dxa"/>
            <w:vAlign w:val="bottom"/>
            <w:gridSpan w:val="2"/>
          </w:tcPr>
          <w:p>
            <w:pPr>
              <w:spacing w:after="0" w:line="169" w:lineRule="exact"/>
              <w:rPr>
                <w:rFonts w:ascii="Arial" w:cs="Arial" w:eastAsia="Arial" w:hAnsi="Arial"/>
                <w:sz w:val="16"/>
                <w:szCs w:val="16"/>
                <w:color w:val="0000EE"/>
              </w:rPr>
            </w:pPr>
            <w:hyperlink r:id="rId65">
              <w:r>
                <w:rPr>
                  <w:rFonts w:ascii="Arial" w:cs="Arial" w:eastAsia="Arial" w:hAnsi="Arial"/>
                  <w:sz w:val="16"/>
                  <w:szCs w:val="16"/>
                  <w:color w:val="0000EE"/>
                </w:rPr>
                <w:t>Form of</w:t>
              </w:r>
            </w:hyperlink>
          </w:p>
        </w:tc>
        <w:tc>
          <w:tcPr>
            <w:tcW w:w="7100" w:type="dxa"/>
            <w:vAlign w:val="bottom"/>
            <w:gridSpan w:val="11"/>
          </w:tcPr>
          <w:p>
            <w:pPr>
              <w:ind w:left="20"/>
              <w:spacing w:after="0" w:line="169" w:lineRule="exact"/>
              <w:rPr>
                <w:rFonts w:ascii="Arial" w:cs="Arial" w:eastAsia="Arial" w:hAnsi="Arial"/>
                <w:sz w:val="16"/>
                <w:szCs w:val="16"/>
                <w:color w:val="0000EE"/>
              </w:rPr>
            </w:pPr>
            <w:hyperlink r:id="rId65">
              <w:r>
                <w:rPr>
                  <w:rFonts w:ascii="Arial" w:cs="Arial" w:eastAsia="Arial" w:hAnsi="Arial"/>
                  <w:sz w:val="16"/>
                  <w:szCs w:val="16"/>
                  <w:color w:val="0000EE"/>
                </w:rPr>
                <w:t>Registration Rights Agreement between Lordstown Motors Corp. and Foxconn Ventures Pte. Ltd.</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10.3*</w:t>
            </w:r>
          </w:p>
        </w:tc>
        <w:tc>
          <w:tcPr>
            <w:tcW w:w="756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65">
              <w:r>
                <w:rPr>
                  <w:rFonts w:ascii="Arial" w:cs="Arial" w:eastAsia="Arial" w:hAnsi="Arial"/>
                  <w:sz w:val="16"/>
                  <w:szCs w:val="16"/>
                  <w:color w:val="0000EE"/>
                </w:rPr>
                <w:t>(incorporated by reference to the current report on Form 8-K filed by the Company on November 7, 2022)</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520" w:type="dxa"/>
            <w:vAlign w:val="bottom"/>
            <w:tcBorders>
              <w:top w:val="single" w:sz="8" w:color="0000EE"/>
              <w:bottom w:val="single" w:sz="8" w:color="0000EE"/>
            </w:tcBorders>
            <w:gridSpan w:val="9"/>
          </w:tcPr>
          <w:p>
            <w:pPr>
              <w:spacing w:after="0" w:line="169" w:lineRule="exact"/>
              <w:rPr>
                <w:sz w:val="20"/>
                <w:szCs w:val="20"/>
                <w:color w:val="auto"/>
              </w:rPr>
            </w:pPr>
            <w:r>
              <w:rPr>
                <w:rFonts w:ascii="Arial" w:cs="Arial" w:eastAsia="Arial" w:hAnsi="Arial"/>
                <w:sz w:val="16"/>
                <w:szCs w:val="16"/>
                <w:color w:val="0000EE"/>
              </w:rPr>
              <w:t>Open Market Sales Agreement, dated November 7, 2022, between Lordstown Motors Corp. and Jefferies</w:t>
            </w:r>
          </w:p>
        </w:tc>
        <w:tc>
          <w:tcPr>
            <w:tcW w:w="20" w:type="dxa"/>
            <w:vAlign w:val="bottom"/>
            <w:tcBorders>
              <w:bottom w:val="single" w:sz="8" w:color="0000EE"/>
            </w:tcBorders>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23.1*</w:t>
            </w:r>
          </w:p>
        </w:tc>
        <w:tc>
          <w:tcPr>
            <w:tcW w:w="7540" w:type="dxa"/>
            <w:vAlign w:val="bottom"/>
            <w:gridSpan w:val="10"/>
          </w:tcPr>
          <w:p>
            <w:pPr>
              <w:spacing w:after="0" w:line="169" w:lineRule="exact"/>
              <w:rPr>
                <w:sz w:val="20"/>
                <w:szCs w:val="20"/>
                <w:color w:val="auto"/>
              </w:rPr>
            </w:pPr>
            <w:r>
              <w:rPr>
                <w:rFonts w:ascii="Arial" w:cs="Arial" w:eastAsia="Arial" w:hAnsi="Arial"/>
                <w:sz w:val="16"/>
                <w:szCs w:val="16"/>
                <w:color w:val="0000EE"/>
              </w:rPr>
              <w:t>LLC</w:t>
            </w: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680" w:type="dxa"/>
            <w:vAlign w:val="bottom"/>
            <w:gridSpan w:val="13"/>
          </w:tcPr>
          <w:p>
            <w:pPr>
              <w:spacing w:after="0" w:line="169" w:lineRule="exact"/>
              <w:rPr>
                <w:sz w:val="20"/>
                <w:szCs w:val="20"/>
                <w:color w:val="auto"/>
              </w:rPr>
            </w:pPr>
            <w:r>
              <w:rPr>
                <w:rFonts w:ascii="Arial" w:cs="Arial" w:eastAsia="Arial" w:hAnsi="Arial"/>
                <w:sz w:val="16"/>
                <w:szCs w:val="16"/>
                <w:color w:val="0000EE"/>
              </w:rPr>
              <w:t>Consent of Baker &amp; Hostetler LLP (included in exhibit 5.1)</w:t>
            </w: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414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auto"/>
                <w:w w:val="99"/>
              </w:rPr>
              <w:t>Certification of Principal Executive Officer pursuant to Rule</w:t>
            </w:r>
          </w:p>
        </w:tc>
        <w:tc>
          <w:tcPr>
            <w:tcW w:w="3540" w:type="dxa"/>
            <w:vAlign w:val="bottom"/>
            <w:gridSpan w:val="8"/>
          </w:tcPr>
          <w:p>
            <w:pPr>
              <w:ind w:left="100"/>
              <w:spacing w:after="0" w:line="169" w:lineRule="exact"/>
              <w:rPr>
                <w:sz w:val="20"/>
                <w:szCs w:val="20"/>
                <w:color w:val="auto"/>
              </w:rPr>
            </w:pPr>
            <w:r>
              <w:rPr>
                <w:rFonts w:ascii="Arial" w:cs="Arial" w:eastAsia="Arial" w:hAnsi="Arial"/>
                <w:sz w:val="16"/>
                <w:szCs w:val="16"/>
                <w:color w:val="auto"/>
              </w:rPr>
              <w:t>13a-14(a) or Rule 15d-14(a)</w:t>
            </w: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6260" w:type="dxa"/>
            <w:vAlign w:val="bottom"/>
            <w:tcBorders>
              <w:top w:val="single" w:sz="8" w:color="auto"/>
            </w:tcBorders>
            <w:gridSpan w:val="7"/>
          </w:tcPr>
          <w:p>
            <w:pPr>
              <w:spacing w:after="0" w:line="169" w:lineRule="exact"/>
              <w:rPr>
                <w:sz w:val="20"/>
                <w:szCs w:val="20"/>
                <w:color w:val="auto"/>
              </w:rPr>
            </w:pPr>
            <w:r>
              <w:rPr>
                <w:rFonts w:ascii="Arial" w:cs="Arial" w:eastAsia="Arial" w:hAnsi="Arial"/>
                <w:sz w:val="16"/>
                <w:szCs w:val="16"/>
                <w:color w:val="auto"/>
              </w:rPr>
              <w:t>Certification of Principal Financial Officer pursuant to Rule 13a-14(a) or Rule 15d-14(a)</w:t>
            </w:r>
          </w:p>
        </w:tc>
        <w:tc>
          <w:tcPr>
            <w:tcW w:w="14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6200" w:type="dxa"/>
            <w:vAlign w:val="bottom"/>
            <w:tcBorders>
              <w:top w:val="single" w:sz="8" w:color="auto"/>
            </w:tcBorders>
            <w:gridSpan w:val="6"/>
          </w:tcPr>
          <w:p>
            <w:pPr>
              <w:spacing w:after="0" w:line="169" w:lineRule="exact"/>
              <w:rPr>
                <w:sz w:val="20"/>
                <w:szCs w:val="20"/>
                <w:color w:val="auto"/>
              </w:rPr>
            </w:pPr>
            <w:r>
              <w:rPr>
                <w:rFonts w:ascii="Arial" w:cs="Arial" w:eastAsia="Arial" w:hAnsi="Arial"/>
                <w:sz w:val="16"/>
                <w:szCs w:val="16"/>
                <w:color w:val="auto"/>
              </w:rPr>
              <w:t>Certification pursuant to 18 U.S.C. 1350</w:t>
            </w:r>
          </w:p>
        </w:tc>
        <w:tc>
          <w:tcPr>
            <w:tcW w:w="14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top w:val="single" w:sz="8" w:color="auto"/>
              <w:bottom w:val="single" w:sz="8" w:color="auto"/>
            </w:tcBorders>
            <w:gridSpan w:val="4"/>
          </w:tcPr>
          <w:p>
            <w:pPr>
              <w:spacing w:after="0" w:line="169" w:lineRule="exact"/>
              <w:rPr>
                <w:sz w:val="20"/>
                <w:szCs w:val="20"/>
                <w:color w:val="auto"/>
              </w:rPr>
            </w:pPr>
            <w:r>
              <w:rPr>
                <w:rFonts w:ascii="Arial" w:cs="Arial" w:eastAsia="Arial" w:hAnsi="Arial"/>
                <w:sz w:val="16"/>
                <w:szCs w:val="16"/>
                <w:color w:val="auto"/>
              </w:rPr>
              <w:t>Certification pursuant to 18 U.S.C. 1350</w:t>
            </w:r>
          </w:p>
        </w:tc>
        <w:tc>
          <w:tcPr>
            <w:tcW w:w="48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color w:val="auto"/>
              </w:rPr>
              <w:t>101.INS*</w:t>
            </w:r>
          </w:p>
        </w:tc>
        <w:tc>
          <w:tcPr>
            <w:tcW w:w="2860" w:type="dxa"/>
            <w:vAlign w:val="bottom"/>
            <w:gridSpan w:val="4"/>
          </w:tcPr>
          <w:p>
            <w:pPr>
              <w:spacing w:after="0" w:line="182" w:lineRule="exact"/>
              <w:rPr>
                <w:sz w:val="20"/>
                <w:szCs w:val="20"/>
                <w:color w:val="auto"/>
              </w:rPr>
            </w:pPr>
            <w:r>
              <w:rPr>
                <w:rFonts w:ascii="Arial" w:cs="Arial" w:eastAsia="Arial" w:hAnsi="Arial"/>
                <w:sz w:val="16"/>
                <w:szCs w:val="16"/>
                <w:color w:val="auto"/>
              </w:rPr>
              <w:t>Inline XBRL Instance Document – the</w:t>
            </w:r>
          </w:p>
        </w:tc>
        <w:tc>
          <w:tcPr>
            <w:tcW w:w="4820" w:type="dxa"/>
            <w:vAlign w:val="bottom"/>
            <w:gridSpan w:val="9"/>
          </w:tcPr>
          <w:p>
            <w:pPr>
              <w:spacing w:after="0" w:line="182" w:lineRule="exact"/>
              <w:rPr>
                <w:sz w:val="20"/>
                <w:szCs w:val="20"/>
                <w:color w:val="auto"/>
              </w:rPr>
            </w:pPr>
            <w:r>
              <w:rPr>
                <w:rFonts w:ascii="Arial" w:cs="Arial" w:eastAsia="Arial" w:hAnsi="Arial"/>
                <w:sz w:val="16"/>
                <w:szCs w:val="16"/>
                <w:color w:val="auto"/>
              </w:rPr>
              <w:t>instance document does not appear in the Interactive Data File</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7680" w:type="dxa"/>
            <w:vAlign w:val="bottom"/>
            <w:gridSpan w:val="13"/>
          </w:tcPr>
          <w:p>
            <w:pPr>
              <w:spacing w:after="0"/>
              <w:rPr>
                <w:sz w:val="20"/>
                <w:szCs w:val="20"/>
                <w:color w:val="auto"/>
              </w:rPr>
            </w:pPr>
            <w:r>
              <w:rPr>
                <w:rFonts w:ascii="Arial" w:cs="Arial" w:eastAsia="Arial" w:hAnsi="Arial"/>
                <w:sz w:val="16"/>
                <w:szCs w:val="16"/>
                <w:color w:val="auto"/>
              </w:rPr>
              <w:t>because its XBRL tags are embedded within the Inline XBRL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13"/>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1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13"/>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13"/>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7680" w:type="dxa"/>
            <w:vAlign w:val="bottom"/>
            <w:gridSpan w:val="13"/>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446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68"/>
        </w:trPr>
        <w:tc>
          <w:tcPr>
            <w:tcW w:w="4460" w:type="dxa"/>
            <w:vAlign w:val="bottom"/>
          </w:tcPr>
          <w:p>
            <w:pPr>
              <w:spacing w:after="0"/>
              <w:rPr>
                <w:sz w:val="20"/>
                <w:szCs w:val="20"/>
                <w:color w:val="auto"/>
              </w:rPr>
            </w:pPr>
            <w:r>
              <w:rPr>
                <w:rFonts w:ascii="Arial" w:cs="Arial" w:eastAsia="Arial" w:hAnsi="Arial"/>
                <w:sz w:val="18"/>
                <w:szCs w:val="18"/>
                <w:color w:val="auto"/>
              </w:rPr>
              <w:t>Date: November 7, 2022</w:t>
            </w:r>
          </w:p>
        </w:tc>
        <w:tc>
          <w:tcPr>
            <w:tcW w:w="3440" w:type="dxa"/>
            <w:vAlign w:val="bottom"/>
            <w:gridSpan w:val="3"/>
          </w:tcPr>
          <w:p>
            <w:pPr>
              <w:spacing w:after="0"/>
              <w:rPr>
                <w:sz w:val="20"/>
                <w:szCs w:val="20"/>
                <w:color w:val="auto"/>
              </w:rPr>
            </w:pPr>
            <w:r>
              <w:rPr>
                <w:rFonts w:ascii="Arial" w:cs="Arial" w:eastAsia="Arial" w:hAnsi="Arial"/>
                <w:sz w:val="18"/>
                <w:szCs w:val="18"/>
                <w:color w:val="auto"/>
              </w:rPr>
              <w:t>/s/ Edward T. Hightower</w:t>
            </w:r>
          </w:p>
        </w:tc>
      </w:tr>
      <w:tr>
        <w:trPr>
          <w:trHeight w:val="191"/>
        </w:trPr>
        <w:tc>
          <w:tcPr>
            <w:tcW w:w="4460" w:type="dxa"/>
            <w:vAlign w:val="bottom"/>
          </w:tcPr>
          <w:p>
            <w:pPr>
              <w:spacing w:after="0"/>
              <w:rPr>
                <w:sz w:val="16"/>
                <w:szCs w:val="16"/>
                <w:color w:val="auto"/>
              </w:rPr>
            </w:pPr>
          </w:p>
        </w:tc>
        <w:tc>
          <w:tcPr>
            <w:tcW w:w="19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Edward T. Hightower</w:t>
            </w:r>
          </w:p>
        </w:tc>
        <w:tc>
          <w:tcPr>
            <w:tcW w:w="154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39"/>
        </w:trPr>
        <w:tc>
          <w:tcPr>
            <w:tcW w:w="446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0"/>
        </w:trPr>
        <w:tc>
          <w:tcPr>
            <w:tcW w:w="4460" w:type="dxa"/>
            <w:vAlign w:val="bottom"/>
          </w:tcPr>
          <w:p>
            <w:pPr>
              <w:spacing w:after="0"/>
              <w:rPr>
                <w:sz w:val="20"/>
                <w:szCs w:val="20"/>
                <w:color w:val="auto"/>
              </w:rPr>
            </w:pPr>
            <w:r>
              <w:rPr>
                <w:rFonts w:ascii="Arial" w:cs="Arial" w:eastAsia="Arial" w:hAnsi="Arial"/>
                <w:sz w:val="18"/>
                <w:szCs w:val="18"/>
                <w:color w:val="auto"/>
              </w:rPr>
              <w:t>Date: November 7, 2022</w:t>
            </w:r>
          </w:p>
        </w:tc>
        <w:tc>
          <w:tcPr>
            <w:tcW w:w="3440" w:type="dxa"/>
            <w:vAlign w:val="bottom"/>
            <w:gridSpan w:val="3"/>
          </w:tcPr>
          <w:p>
            <w:pPr>
              <w:spacing w:after="0"/>
              <w:rPr>
                <w:sz w:val="20"/>
                <w:szCs w:val="20"/>
                <w:color w:val="auto"/>
              </w:rPr>
            </w:pPr>
            <w:r>
              <w:rPr>
                <w:rFonts w:ascii="Arial" w:cs="Arial" w:eastAsia="Arial" w:hAnsi="Arial"/>
                <w:sz w:val="18"/>
                <w:szCs w:val="18"/>
                <w:color w:val="auto"/>
              </w:rPr>
              <w:t>/s/ Adam Kroll</w:t>
            </w:r>
          </w:p>
        </w:tc>
      </w:tr>
      <w:tr>
        <w:trPr>
          <w:trHeight w:val="191"/>
        </w:trPr>
        <w:tc>
          <w:tcPr>
            <w:tcW w:w="446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Adam Kroll</w:t>
            </w:r>
          </w:p>
        </w:tc>
        <w:tc>
          <w:tcPr>
            <w:tcW w:w="2320" w:type="dxa"/>
            <w:vAlign w:val="bottom"/>
            <w:gridSpan w:val="2"/>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9"/>
        </w:trPr>
        <w:tc>
          <w:tcPr>
            <w:tcW w:w="446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226060</wp:posOffset>
            </wp:positionV>
            <wp:extent cx="174879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748790" cy="205740"/>
                    </a:xfrm>
                    <a:prstGeom prst="rect">
                      <a:avLst/>
                    </a:prstGeom>
                    <a:noFill/>
                  </pic:spPr>
                </pic:pic>
              </a:graphicData>
            </a:graphic>
          </wp:anchor>
        </w:drawing>
        <w:drawing>
          <wp:anchor simplePos="0" relativeHeight="251657728" behindDoc="1" locked="0" layoutInCell="0" allowOverlap="1">
            <wp:simplePos x="0" y="0"/>
            <wp:positionH relativeFrom="page">
              <wp:posOffset>5274310</wp:posOffset>
            </wp:positionH>
            <wp:positionV relativeFrom="page">
              <wp:posOffset>843280</wp:posOffset>
            </wp:positionV>
            <wp:extent cx="1225550" cy="925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255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2300 Hallock Young Road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Lordstown, OH 44481</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ind w:left="200" w:right="239" w:firstLine="648"/>
        <w:spacing w:after="0" w:line="260" w:lineRule="auto"/>
        <w:rPr>
          <w:sz w:val="20"/>
          <w:szCs w:val="20"/>
          <w:color w:val="auto"/>
        </w:rPr>
      </w:pPr>
      <w:r>
        <w:rPr>
          <w:rFonts w:ascii="Times New Roman" w:cs="Times New Roman" w:eastAsia="Times New Roman" w:hAnsi="Times New Roman"/>
          <w:sz w:val="18"/>
          <w:szCs w:val="18"/>
          <w:color w:val="auto"/>
        </w:rPr>
        <w:t>We have acted as counsel for Lordstown Motors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August 24, 2022 and declared effective on September 2, 2022 and the Prospectus Supplement, dated November 7, 2022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The Prospectus Supplement relates to the offer and sale from time to time of shares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up to 50,200,000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an Open Market Sales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November 7, 2022, between the Company and Jefferies LLC.</w:t>
      </w:r>
    </w:p>
    <w:p>
      <w:pPr>
        <w:spacing w:after="0" w:line="59" w:lineRule="exact"/>
        <w:rPr>
          <w:sz w:val="20"/>
          <w:szCs w:val="20"/>
          <w:color w:val="auto"/>
        </w:rPr>
      </w:pPr>
    </w:p>
    <w:p>
      <w:pPr>
        <w:ind w:left="200" w:right="259" w:firstLine="648"/>
        <w:spacing w:after="0" w:line="258" w:lineRule="auto"/>
        <w:rPr>
          <w:sz w:val="20"/>
          <w:szCs w:val="20"/>
          <w:color w:val="auto"/>
        </w:rPr>
      </w:pPr>
      <w:r>
        <w:rPr>
          <w:rFonts w:ascii="Times New Roman" w:cs="Times New Roman" w:eastAsia="Times New Roman" w:hAnsi="Times New Roman"/>
          <w:sz w:val="18"/>
          <w:szCs w:val="18"/>
          <w:color w:val="auto"/>
        </w:rPr>
        <w:t>We have examined such documents and such matters of fact and law as we deem necessary to render the opinions contained herein. In our examination, we have assumed, but have not independently verified, the genuineness of all signatures, the conformity to original documents of all documents submitted to us as certified, facsimile or other copies, and the authenticity of all such documents. As to questions of fact material to this opinion, we have relied on certificates or comparable documents of public officials and of officers and representatives of the Company.</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 purposes of this opinion, we have assumed that:</w:t>
      </w:r>
    </w:p>
    <w:p>
      <w:pPr>
        <w:spacing w:after="0" w:line="225" w:lineRule="exact"/>
        <w:rPr>
          <w:sz w:val="20"/>
          <w:szCs w:val="20"/>
          <w:color w:val="auto"/>
        </w:rPr>
      </w:pPr>
    </w:p>
    <w:p>
      <w:pPr>
        <w:ind w:left="1180" w:hanging="323"/>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remain effective at the time of issuance and sale of the Shares;</w:t>
      </w:r>
    </w:p>
    <w:p>
      <w:pPr>
        <w:spacing w:after="0" w:line="225" w:lineRule="exact"/>
        <w:rPr>
          <w:rFonts w:ascii="Times New Roman" w:cs="Times New Roman" w:eastAsia="Times New Roman" w:hAnsi="Times New Roman"/>
          <w:sz w:val="18"/>
          <w:szCs w:val="18"/>
          <w:color w:val="auto"/>
        </w:rPr>
      </w:pPr>
    </w:p>
    <w:p>
      <w:pPr>
        <w:ind w:left="1180" w:right="639" w:hanging="323"/>
        <w:spacing w:after="0" w:line="282"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sold at prices and other terms authorized by the Company’s Board of Directors or another duly authorized committee thereof; and</w:t>
      </w:r>
    </w:p>
    <w:p>
      <w:pPr>
        <w:spacing w:after="0" w:line="161" w:lineRule="exact"/>
        <w:rPr>
          <w:rFonts w:ascii="Times New Roman" w:cs="Times New Roman" w:eastAsia="Times New Roman" w:hAnsi="Times New Roman"/>
          <w:sz w:val="18"/>
          <w:szCs w:val="18"/>
          <w:color w:val="auto"/>
        </w:rPr>
      </w:pPr>
    </w:p>
    <w:p>
      <w:pPr>
        <w:ind w:left="1180" w:right="359" w:hanging="323"/>
        <w:spacing w:after="0" w:line="266"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issuance and sale of the Shares, a sufficient number of shares of Common Stock will remain authorized and available for issuance pursuant to the Company’s Second Amended and Restated Certificate of Incorporation, as it then may be amended.</w:t>
      </w:r>
    </w:p>
    <w:p>
      <w:pPr>
        <w:spacing w:after="0" w:line="176" w:lineRule="exact"/>
        <w:rPr>
          <w:sz w:val="20"/>
          <w:szCs w:val="20"/>
          <w:color w:val="auto"/>
        </w:rPr>
      </w:pPr>
    </w:p>
    <w:p>
      <w:pPr>
        <w:ind w:left="200" w:right="419"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qualifications stated herein, we are of the opinion that the Shares offered pursuant to the Prospectus Supplement will be validly issued, fully paid and non-assessable.</w:t>
      </w:r>
    </w:p>
    <w:p>
      <w:pPr>
        <w:spacing w:after="0" w:line="162" w:lineRule="exact"/>
        <w:rPr>
          <w:sz w:val="20"/>
          <w:szCs w:val="20"/>
          <w:color w:val="auto"/>
        </w:rPr>
      </w:pPr>
    </w:p>
    <w:p>
      <w:pPr>
        <w:ind w:left="200" w:right="459"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General Corporation Law of the State of Delaware and we express no opinion as to the effect on the matters covered by this letter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714375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22"/>
          <w:szCs w:val="22"/>
          <w:color w:val="auto"/>
        </w:rPr>
        <w:t>November 7, 2022</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Page 2</w:t>
      </w:r>
    </w:p>
    <w:p>
      <w:pPr>
        <w:spacing w:after="0" w:line="299" w:lineRule="exact"/>
        <w:rPr>
          <w:sz w:val="20"/>
          <w:szCs w:val="20"/>
          <w:color w:val="auto"/>
        </w:rPr>
      </w:pPr>
    </w:p>
    <w:p>
      <w:pPr>
        <w:ind w:left="200" w:right="299"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5.1 to a Current Report on Form 8-K that will be filed by the Company and incorporated by reference into the Registration Statement. In giving such consent, we do not hereby admit that we are in the category of persons whose consent is required under Section 7 of the Securities Act of 1933, as amended, or the rules and regulations of the Commission.</w:t>
      </w:r>
    </w:p>
    <w:p>
      <w:pPr>
        <w:spacing w:after="0" w:line="39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 Baker &amp; Hostetler LLP</w:t>
      </w: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4884-9217-6689.3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OPEN MARKET SALE AGREEMENT</w:t>
      </w:r>
      <w:r>
        <w:rPr>
          <w:rFonts w:ascii="Times New Roman" w:cs="Times New Roman" w:eastAsia="Times New Roman" w:hAnsi="Times New Roman"/>
          <w:sz w:val="32"/>
          <w:szCs w:val="32"/>
          <w:b w:val="1"/>
          <w:bCs w:val="1"/>
          <w:u w:val="single" w:color="auto"/>
          <w:color w:val="0000EE"/>
          <w:vertAlign w:val="superscript"/>
        </w:rPr>
        <w:t>SM</w:t>
      </w:r>
    </w:p>
    <w:p>
      <w:pPr>
        <w:spacing w:after="0" w:line="10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1"/>
          <w:szCs w:val="21"/>
          <w:color w:val="auto"/>
        </w:rPr>
        <w:t>November 7, 2022</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520 Madison Avenue</w:t>
      </w:r>
    </w:p>
    <w:p>
      <w:pPr>
        <w:ind w:left="20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1"/>
          <w:szCs w:val="21"/>
          <w:color w:val="auto"/>
        </w:rPr>
        <w:t>Lordstown Motors Corp.,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shares of the Company’s Class A common stock, par value $0.0001 per share (the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in an aggregate amount of up to 50,200,000 shares of Common Stock on the terms set forth in this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1"/>
          <w:szCs w:val="21"/>
          <w:b w:val="1"/>
          <w:bCs w:val="1"/>
          <w:color w:val="auto"/>
        </w:rPr>
        <w:t>DEFINITIONS</w:t>
      </w:r>
    </w:p>
    <w:p>
      <w:pPr>
        <w:spacing w:after="0" w:line="222" w:lineRule="exact"/>
        <w:rPr>
          <w:sz w:val="20"/>
          <w:szCs w:val="20"/>
          <w:color w:val="auto"/>
        </w:rPr>
      </w:pPr>
    </w:p>
    <w:p>
      <w:pPr>
        <w:jc w:val="both"/>
        <w:ind w:left="200" w:right="239"/>
        <w:spacing w:after="0" w:line="258" w:lineRule="auto"/>
        <w:rPr>
          <w:sz w:val="20"/>
          <w:szCs w:val="20"/>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capitalized terms used herein and not otherwise defined shall have the following respective meanings:</w:t>
      </w:r>
    </w:p>
    <w:p>
      <w:pPr>
        <w:spacing w:after="0" w:line="154"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 Person means another Person that directly or indirectly, through one or more intermediaries, controls, is controlled by, or is under common control with, such first-mentioned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5"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Agency Period</w:t>
      </w:r>
      <w:r>
        <w:rPr>
          <w:rFonts w:ascii="Times New Roman" w:cs="Times New Roman" w:eastAsia="Times New Roman" w:hAnsi="Times New Roman"/>
          <w:sz w:val="22"/>
          <w:szCs w:val="22"/>
          <w:color w:val="auto"/>
        </w:rPr>
        <w:t>” means the period commencing on the date of this Agreement and expiring on the earliest to occur of (x) the date on which the Agent shall have placed the Maximum Program Amount pursuant to this Agreement and (y) the date this Agreement is terminated pursuant to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-33020</wp:posOffset>
            </wp:positionV>
            <wp:extent cx="5143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of the Commission thereunder.</w:t>
      </w:r>
    </w:p>
    <w:p>
      <w:pPr>
        <w:spacing w:after="0" w:line="150"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Floor Price Limitation</w:t>
      </w:r>
      <w:r>
        <w:rPr>
          <w:rFonts w:ascii="Times New Roman" w:cs="Times New Roman" w:eastAsia="Times New Roman" w:hAnsi="Times New Roman"/>
          <w:sz w:val="21"/>
          <w:szCs w:val="21"/>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154305</wp:posOffset>
            </wp:positionV>
            <wp:extent cx="13627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455930</wp:posOffset>
            </wp:positionV>
            <wp:extent cx="54521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83" w:right="1440" w:bottom="1440" w:gutter="0" w:footer="0" w:header="0"/>
        </w:sectPr>
      </w:pPr>
    </w:p>
    <w:bookmarkStart w:id="56" w:name="page57"/>
    <w:bookmarkEnd w:id="56"/>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shall be less than $1.00 without the prior written consent of the Agent, which may be withheld in the Agent’s sole discretion.</w:t>
      </w:r>
    </w:p>
    <w:p>
      <w:pPr>
        <w:spacing w:after="0" w:line="153"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Amount</w:t>
      </w:r>
      <w:r>
        <w:rPr>
          <w:rFonts w:ascii="Times New Roman" w:cs="Times New Roman" w:eastAsia="Times New Roman" w:hAnsi="Times New Roman"/>
          <w:sz w:val="22"/>
          <w:szCs w:val="22"/>
          <w:color w:val="auto"/>
        </w:rPr>
        <w:t>” means the aggregate number or dollar amount of the Shares to be sold by the Agent pursuant to any Issuance Notice.</w:t>
      </w:r>
    </w:p>
    <w:p>
      <w:pPr>
        <w:spacing w:after="0" w:line="150" w:lineRule="exact"/>
        <w:rPr>
          <w:sz w:val="20"/>
          <w:szCs w:val="20"/>
          <w:color w:val="auto"/>
        </w:rPr>
      </w:pPr>
    </w:p>
    <w:p>
      <w:pPr>
        <w:jc w:val="both"/>
        <w:ind w:left="200" w:right="23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w:t>
      </w:r>
      <w:r>
        <w:rPr>
          <w:rFonts w:ascii="Times New Roman" w:cs="Times New Roman" w:eastAsia="Times New Roman" w:hAnsi="Times New Roman"/>
          <w:sz w:val="22"/>
          <w:szCs w:val="22"/>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is executed by its Chief Executive Officer, President or Chief Financial Officer.</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 Date</w:t>
      </w:r>
      <w:r>
        <w:rPr>
          <w:rFonts w:ascii="Times New Roman" w:cs="Times New Roman" w:eastAsia="Times New Roman" w:hAnsi="Times New Roman"/>
          <w:sz w:val="22"/>
          <w:szCs w:val="22"/>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-46990</wp:posOffset>
            </wp:positionV>
            <wp:extent cx="8032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803275" cy="8890"/>
                    </a:xfrm>
                    <a:prstGeom prst="rect">
                      <a:avLst/>
                    </a:prstGeom>
                    <a:noFill/>
                  </pic:spPr>
                </pic:pic>
              </a:graphicData>
            </a:graphic>
          </wp:anchor>
        </w:drawing>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Price</w:t>
      </w:r>
      <w:r>
        <w:rPr>
          <w:rFonts w:ascii="Times New Roman" w:cs="Times New Roman" w:eastAsia="Times New Roman" w:hAnsi="Times New Roman"/>
          <w:sz w:val="22"/>
          <w:szCs w:val="22"/>
          <w:color w:val="auto"/>
        </w:rPr>
        <w:t>” means the Sales Price less the Selling Commission.</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Maximum Program Amount</w:t>
      </w:r>
      <w:r>
        <w:rPr>
          <w:rFonts w:ascii="Times New Roman" w:cs="Times New Roman" w:eastAsia="Times New Roman" w:hAnsi="Times New Roman"/>
          <w:sz w:val="21"/>
          <w:szCs w:val="21"/>
          <w:color w:val="auto"/>
        </w:rPr>
        <w:t>” means a number of Common Shares equal to the lesser of</w:t>
      </w:r>
    </w:p>
    <w:p>
      <w:pPr>
        <w:spacing w:after="0" w:line="30" w:lineRule="exact"/>
        <w:rPr>
          <w:sz w:val="20"/>
          <w:szCs w:val="20"/>
          <w:color w:val="auto"/>
        </w:rPr>
      </w:pPr>
    </w:p>
    <w:p>
      <w:pPr>
        <w:jc w:val="both"/>
        <w:ind w:left="200" w:right="219" w:firstLine="9"/>
        <w:spacing w:after="0" w:line="241" w:lineRule="auto"/>
        <w:tabs>
          <w:tab w:leader="none" w:pos="52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w:t>
      </w:r>
    </w:p>
    <w:p>
      <w:pPr>
        <w:spacing w:after="0" w:line="3" w:lineRule="exact"/>
        <w:rPr>
          <w:rFonts w:ascii="Times New Roman" w:cs="Times New Roman" w:eastAsia="Times New Roman" w:hAnsi="Times New Roman"/>
          <w:sz w:val="21"/>
          <w:szCs w:val="21"/>
          <w:color w:val="auto"/>
        </w:rPr>
      </w:pPr>
    </w:p>
    <w:p>
      <w:pPr>
        <w:ind w:left="200" w:right="219" w:firstLine="9"/>
        <w:spacing w:after="0" w:line="237" w:lineRule="auto"/>
        <w:tabs>
          <w:tab w:leader="none" w:pos="50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or dollar amount of Common Shares for which the Company has filed a Prospectus (as defined below).</w:t>
      </w:r>
    </w:p>
    <w:p>
      <w:pPr>
        <w:spacing w:after="0" w:line="17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67"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the Nasdaq Global Select Market or such other national securities exchange on which the Common Shares, including any Shares, are then listed.</w:t>
      </w:r>
    </w:p>
    <w:p>
      <w:pPr>
        <w:spacing w:after="0" w:line="150" w:lineRule="exact"/>
        <w:rPr>
          <w:sz w:val="20"/>
          <w:szCs w:val="20"/>
          <w:color w:val="auto"/>
        </w:rPr>
      </w:pPr>
    </w:p>
    <w:p>
      <w:pPr>
        <w:jc w:val="both"/>
        <w:ind w:left="200" w:right="239" w:firstLine="72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Price</w:t>
      </w:r>
      <w:r>
        <w:rPr>
          <w:rFonts w:ascii="Times New Roman" w:cs="Times New Roman" w:eastAsia="Times New Roman" w:hAnsi="Times New Roman"/>
          <w:sz w:val="22"/>
          <w:szCs w:val="22"/>
          <w:color w:val="auto"/>
        </w:rPr>
        <w:t>” means the actual sale execution price of each Share placed by the Agent pursuant to this Agreement.</w:t>
      </w:r>
    </w:p>
    <w:p>
      <w:pPr>
        <w:spacing w:after="0" w:line="150" w:lineRule="exact"/>
        <w:rPr>
          <w:sz w:val="20"/>
          <w:szCs w:val="20"/>
          <w:color w:val="auto"/>
        </w:rPr>
      </w:pPr>
    </w:p>
    <w:p>
      <w:pPr>
        <w:jc w:val="both"/>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of the Commission thereunder.</w:t>
      </w:r>
    </w:p>
    <w:p>
      <w:pPr>
        <w:spacing w:after="0" w:line="150"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Commission</w:t>
      </w:r>
      <w:r>
        <w:rPr>
          <w:rFonts w:ascii="Times New Roman" w:cs="Times New Roman" w:eastAsia="Times New Roman" w:hAnsi="Times New Roman"/>
          <w:sz w:val="22"/>
          <w:szCs w:val="22"/>
          <w:color w:val="auto"/>
        </w:rPr>
        <w:t>” means three percent (3%) of the gross proceeds of Shares sold pursuant to this Agreement as otherwise agreed between the Company and the Agent with respect to any Shares sold pursuant to this Agreement.</w:t>
      </w:r>
    </w:p>
    <w:p>
      <w:pPr>
        <w:spacing w:after="0" w:line="167"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ind w:left="200" w:right="219"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means the Company’s Common Shares issued or issuable pursuant to this Agreement.</w:t>
      </w:r>
    </w:p>
    <w:p>
      <w:pPr>
        <w:spacing w:after="0" w:line="150" w:lineRule="exact"/>
        <w:rPr>
          <w:sz w:val="20"/>
          <w:szCs w:val="20"/>
          <w:color w:val="auto"/>
        </w:rPr>
      </w:pPr>
    </w:p>
    <w:p>
      <w:pPr>
        <w:ind w:left="200" w:right="1079" w:firstLine="648"/>
        <w:spacing w:after="0" w:line="4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xml:space="preserve">” means any day on which the Principal Market is open for trading. </w:t>
      </w:r>
      <w:r>
        <w:rPr>
          <w:rFonts w:ascii="Times New Roman" w:cs="Times New Roman" w:eastAsia="Times New Roman" w:hAnsi="Times New Roman"/>
          <w:sz w:val="19"/>
          <w:szCs w:val="19"/>
          <w:b w:val="1"/>
          <w:bCs w:val="1"/>
          <w:color w:val="auto"/>
        </w:rPr>
        <w:t xml:space="preserve">Section 2. </w:t>
      </w:r>
      <w:r>
        <w:rPr>
          <w:rFonts w:ascii="Times New Roman" w:cs="Times New Roman" w:eastAsia="Times New Roman" w:hAnsi="Times New Roman"/>
          <w:sz w:val="21"/>
          <w:szCs w:val="21"/>
          <w:b w:val="1"/>
          <w:bCs w:val="1"/>
          <w:color w:val="auto"/>
        </w:rPr>
        <w:t>REPRESENTATIONS AND WARRANTIES OF THE COMPANY</w:t>
      </w:r>
    </w:p>
    <w:p>
      <w:pPr>
        <w:spacing w:after="0" w:line="1" w:lineRule="exact"/>
        <w:rPr>
          <w:sz w:val="20"/>
          <w:szCs w:val="20"/>
          <w:color w:val="auto"/>
        </w:rPr>
      </w:pPr>
    </w:p>
    <w:p>
      <w:pPr>
        <w:jc w:val="both"/>
        <w:ind w:left="120" w:right="219" w:firstLine="648"/>
        <w:spacing w:after="0" w:line="236" w:lineRule="auto"/>
        <w:rPr>
          <w:sz w:val="20"/>
          <w:szCs w:val="20"/>
          <w:color w:val="auto"/>
        </w:rPr>
      </w:pPr>
      <w:r>
        <w:rPr>
          <w:rFonts w:ascii="Times New Roman" w:cs="Times New Roman" w:eastAsia="Times New Roman" w:hAnsi="Times New Roman"/>
          <w:sz w:val="22"/>
          <w:szCs w:val="22"/>
          <w:color w:val="auto"/>
        </w:rPr>
        <w:t>The Company represents and warrants to, and agrees with, the Agent that as of (1) the date of this Agreement, (2) each Issuance Notice Date, (3) each Settlement Date, (4) each Triggering Event Date (as defined below) and (5) as of each Time of Sale (as defined below) (each of the times referenced above is referred to herein as a “</w:t>
      </w:r>
      <w:r>
        <w:rPr>
          <w:rFonts w:ascii="Times New Roman" w:cs="Times New Roman" w:eastAsia="Times New Roman" w:hAnsi="Times New Roman"/>
          <w:sz w:val="22"/>
          <w:szCs w:val="22"/>
          <w:b w:val="1"/>
          <w:bCs w:val="1"/>
          <w:color w:val="auto"/>
        </w:rPr>
        <w:t>Representation Date</w:t>
      </w:r>
      <w:r>
        <w:rPr>
          <w:rFonts w:ascii="Times New Roman" w:cs="Times New Roman" w:eastAsia="Times New Roman" w:hAnsi="Times New Roman"/>
          <w:sz w:val="22"/>
          <w:szCs w:val="22"/>
          <w:color w:val="auto"/>
        </w:rPr>
        <w:t>”), except as may be disclosed in the Prospectus (including any documents incorporated by reference therein and any supplements thereto) on or before a Representation Date:</w:t>
      </w:r>
    </w:p>
    <w:p>
      <w:pPr>
        <w:spacing w:after="0" w:line="181"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The Company has prepared and filed with the Commission a shelf registration statement on Form S-3 (File No. 333-267052) that contains a base prospectus relating to certain securities, including the Common Shares to be issued from time to time by the Company.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21"/>
          <w:szCs w:val="21"/>
          <w:b w:val="1"/>
          <w:bCs w:val="1"/>
          <w:color w:val="auto"/>
        </w:rPr>
        <w:t>Registration Statement</w:t>
      </w:r>
      <w:r>
        <w:rPr>
          <w:rFonts w:ascii="Times New Roman" w:cs="Times New Roman" w:eastAsia="Times New Roman" w:hAnsi="Times New Roman"/>
          <w:sz w:val="21"/>
          <w:szCs w:val="21"/>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21"/>
          <w:szCs w:val="21"/>
          <w:b w:val="1"/>
          <w:bCs w:val="1"/>
          <w:color w:val="auto"/>
        </w:rPr>
        <w:t>Original Registration Statement</w:t>
      </w:r>
      <w:r>
        <w:rPr>
          <w:rFonts w:ascii="Times New Roman" w:cs="Times New Roman" w:eastAsia="Times New Roman" w:hAnsi="Times New Roman"/>
          <w:sz w:val="21"/>
          <w:szCs w:val="21"/>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8" w:lineRule="exact"/>
        <w:rPr>
          <w:sz w:val="20"/>
          <w:szCs w:val="20"/>
          <w:color w:val="auto"/>
        </w:rPr>
      </w:pPr>
    </w:p>
    <w:p>
      <w:pPr>
        <w:jc w:val="both"/>
        <w:ind w:left="120" w:right="219" w:firstLine="648"/>
        <w:spacing w:after="0" w:line="248" w:lineRule="auto"/>
        <w:rPr>
          <w:sz w:val="20"/>
          <w:szCs w:val="20"/>
          <w:color w:val="auto"/>
        </w:rPr>
      </w:pPr>
      <w:r>
        <w:rPr>
          <w:rFonts w:ascii="Times New Roman" w:cs="Times New Roman" w:eastAsia="Times New Roman" w:hAnsi="Times New Roman"/>
          <w:sz w:val="21"/>
          <w:szCs w:val="21"/>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jc w:val="both"/>
        <w:ind w:left="120" w:right="219"/>
        <w:spacing w:after="0"/>
        <w:rPr>
          <w:sz w:val="20"/>
          <w:szCs w:val="20"/>
          <w:color w:val="auto"/>
        </w:rPr>
      </w:pPr>
      <w:r>
        <w:rPr>
          <w:rFonts w:ascii="Times New Roman" w:cs="Times New Roman" w:eastAsia="Times New Roman" w:hAnsi="Times New Roman"/>
          <w:sz w:val="22"/>
          <w:szCs w:val="22"/>
          <w:color w:val="auto"/>
        </w:rPr>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77" w:lineRule="exact"/>
        <w:rPr>
          <w:sz w:val="20"/>
          <w:szCs w:val="20"/>
          <w:color w:val="auto"/>
        </w:rPr>
      </w:pPr>
    </w:p>
    <w:p>
      <w:pPr>
        <w:jc w:val="both"/>
        <w:ind w:left="120" w:right="219" w:firstLine="648"/>
        <w:spacing w:after="0" w:line="251" w:lineRule="auto"/>
        <w:rPr>
          <w:sz w:val="20"/>
          <w:szCs w:val="20"/>
          <w:color w:val="auto"/>
        </w:rPr>
      </w:pPr>
      <w:r>
        <w:rPr>
          <w:rFonts w:ascii="Times New Roman" w:cs="Times New Roman" w:eastAsia="Times New Roman" w:hAnsi="Times New Roman"/>
          <w:sz w:val="21"/>
          <w:szCs w:val="21"/>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68"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Compliance with Registration Requirements</w:t>
      </w:r>
      <w:r>
        <w:rPr>
          <w:rFonts w:ascii="Times New Roman" w:cs="Times New Roman" w:eastAsia="Times New Roman" w:hAnsi="Times New Roman"/>
          <w:sz w:val="22"/>
          <w:szCs w:val="22"/>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if any.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3" w:lineRule="exact"/>
        <w:rPr>
          <w:sz w:val="20"/>
          <w:szCs w:val="20"/>
          <w:color w:val="auto"/>
        </w:rPr>
      </w:pPr>
    </w:p>
    <w:p>
      <w:pPr>
        <w:jc w:val="both"/>
        <w:ind w:left="200" w:right="219" w:firstLine="648"/>
        <w:spacing w:after="0" w:line="231" w:lineRule="auto"/>
        <w:rPr>
          <w:sz w:val="20"/>
          <w:szCs w:val="20"/>
          <w:color w:val="auto"/>
        </w:rPr>
      </w:pPr>
      <w:r>
        <w:rPr>
          <w:rFonts w:ascii="Times New Roman" w:cs="Times New Roman" w:eastAsia="Times New Roman" w:hAnsi="Times New Roman"/>
          <w:sz w:val="22"/>
          <w:szCs w:val="22"/>
          <w:color w:val="auto"/>
        </w:rPr>
        <w:t>The Prospectus when filed complied in all material respects with the Securities Act and, if filed with the Commission through its Electronic Data Gathering, Analysis and Retrieval system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22"/>
          <w:szCs w:val="22"/>
          <w:b w:val="1"/>
          <w:bCs w:val="1"/>
          <w:color w:val="auto"/>
        </w:rPr>
        <w:t>Time of Sale Information</w:t>
      </w:r>
      <w:r>
        <w:rPr>
          <w:rFonts w:ascii="Times New Roman" w:cs="Times New Roman" w:eastAsia="Times New Roman" w:hAnsi="Times New Roman"/>
          <w:sz w:val="22"/>
          <w:szCs w:val="22"/>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‎Section 6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-633095</wp:posOffset>
            </wp:positionV>
            <wp:extent cx="5143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Ineligible Issuer Status</w:t>
      </w:r>
      <w:r>
        <w:rPr>
          <w:rFonts w:ascii="Times New Roman" w:cs="Times New Roman" w:eastAsia="Times New Roman" w:hAnsi="Times New Roman"/>
          <w:sz w:val="22"/>
          <w:szCs w:val="22"/>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each Representation Date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78"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Incorporated Documents</w:t>
      </w:r>
      <w:r>
        <w:rPr>
          <w:rFonts w:ascii="Times New Roman" w:cs="Times New Roman" w:eastAsia="Times New Roman" w:hAnsi="Times New Roman"/>
          <w:sz w:val="22"/>
          <w:szCs w:val="22"/>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and, at each Representation Date, will not contain an untrue statement of a material fact or omit to state a material fact required to be stated therein or necessary to make the statements therein, in light of the circumstances under which they were made, not misleading.</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u w:val="single" w:color="auto"/>
          <w:color w:val="auto"/>
        </w:rPr>
        <w:t>Statistical and Market-Related Data</w:t>
      </w:r>
      <w:r>
        <w:rPr>
          <w:rFonts w:ascii="Times New Roman" w:cs="Times New Roman" w:eastAsia="Times New Roman" w:hAnsi="Times New Roman"/>
          <w:sz w:val="21"/>
          <w:szCs w:val="21"/>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6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u w:val="single" w:color="auto"/>
          <w:color w:val="auto"/>
        </w:rPr>
        <w:t>Disclosure Controls and Procedures; Deficiencies in or Changes to Internal Control Over Financial Reporting</w:t>
      </w:r>
      <w:r>
        <w:rPr>
          <w:rFonts w:ascii="Times New Roman" w:cs="Times New Roman" w:eastAsia="Times New Roman" w:hAnsi="Times New Roman"/>
          <w:sz w:val="21"/>
          <w:szCs w:val="21"/>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that are not currently being remediated as disclosed in the Company’s quarterly reports on Form 10-Q and annual reports on Form 10-K,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materially affected, or is reasonably likely to materially affect, the Company’s internal control over financial reporting.</w:t>
      </w:r>
    </w:p>
    <w:p>
      <w:pPr>
        <w:spacing w:after="0" w:line="157"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This Agreement</w:t>
      </w:r>
      <w:r>
        <w:rPr>
          <w:rFonts w:ascii="Times New Roman" w:cs="Times New Roman" w:eastAsia="Times New Roman" w:hAnsi="Times New Roman"/>
          <w:sz w:val="22"/>
          <w:szCs w:val="22"/>
          <w:color w:val="auto"/>
        </w:rPr>
        <w:t>. The execution, delivery and performance of this Agreement and consummation of the transactions contemplated hereby and, to the extent disclosed in the Registration Statement and the Prospectus, by the Registration Statement and the Prospectus (including the use of proceeds set from the sale of Shares as described in the Registration Statement and the Prospectus under the caption “Use of Proceeds”) have been duly authorized, executed and delivered by the Company.</w:t>
      </w:r>
    </w:p>
    <w:p>
      <w:pPr>
        <w:spacing w:after="0" w:line="181"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Authorization of the Shares</w:t>
      </w:r>
      <w:r>
        <w:rPr>
          <w:rFonts w:ascii="Times New Roman" w:cs="Times New Roman" w:eastAsia="Times New Roman" w:hAnsi="Times New Roman"/>
          <w:sz w:val="22"/>
          <w:szCs w:val="22"/>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77"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No Applicable Registration or Other Similar Rights</w:t>
      </w:r>
      <w:r>
        <w:rPr>
          <w:rFonts w:ascii="Times New Roman" w:cs="Times New Roman" w:eastAsia="Times New Roman" w:hAnsi="Times New Roman"/>
          <w:sz w:val="22"/>
          <w:szCs w:val="22"/>
          <w:color w:val="auto"/>
        </w:rPr>
        <w:t>. There are no persons with registration or other similar rights to have any equity or debt securities included in the offering contemplated by this Agreement, except for such rights as have been duly waived.</w:t>
      </w:r>
    </w:p>
    <w:p>
      <w:pPr>
        <w:spacing w:after="0" w:line="173"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22"/>
          <w:szCs w:val="22"/>
          <w:b w:val="1"/>
          <w:bCs w:val="1"/>
          <w:color w:val="auto"/>
        </w:rPr>
        <w:t>Material Adverse Change</w:t>
      </w:r>
      <w:r>
        <w:rPr>
          <w:rFonts w:ascii="Times New Roman" w:cs="Times New Roman" w:eastAsia="Times New Roman" w:hAnsi="Times New Roman"/>
          <w:sz w:val="22"/>
          <w:szCs w:val="22"/>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 other than, any repurchase or return of capital stock of the Company pursuant to the terms of outstanding equity awards and equity securities.</w:t>
      </w:r>
    </w:p>
    <w:p>
      <w:pPr>
        <w:spacing w:after="0" w:line="18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KPMG LLP and Clark, Schaefer, Hackett &amp; Co., which have expressed their opinions with respect to the financial statements (which term as used in this Agreement includes the related notes thereto) filed with the Commission as a part of the Registration Statement and the Prospectus, are (i) independent registered public accounting firms as required by the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Securities Act, the Exchange Act, and the rules of the Public Company Accounting Oversight Board (“</w:t>
      </w:r>
      <w:r>
        <w:rPr>
          <w:rFonts w:ascii="Times New Roman" w:cs="Times New Roman" w:eastAsia="Times New Roman" w:hAnsi="Times New Roman"/>
          <w:sz w:val="22"/>
          <w:szCs w:val="22"/>
          <w:b w:val="1"/>
          <w:bCs w:val="1"/>
          <w:color w:val="auto"/>
        </w:rPr>
        <w:t>PCAOB</w:t>
      </w:r>
      <w:r>
        <w:rPr>
          <w:rFonts w:ascii="Times New Roman" w:cs="Times New Roman" w:eastAsia="Times New Roman" w:hAnsi="Times New Roman"/>
          <w:sz w:val="22"/>
          <w:szCs w:val="22"/>
          <w:color w:val="auto"/>
        </w:rPr>
        <w:t>”), (ii) in compliance with the applicable requirements relating to the qualification of accountants under Rule 2-01 of Regulation S-X under the Securities Act and (iii) registered public accounting firms as defined by the PCAOB whose registration have not been suspended or revoked and who have not requested such registration to be withdrawn.</w:t>
      </w:r>
    </w:p>
    <w:p>
      <w:pPr>
        <w:spacing w:after="0" w:line="177"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6" w:lineRule="exact"/>
        <w:rPr>
          <w:sz w:val="20"/>
          <w:szCs w:val="20"/>
          <w:color w:val="auto"/>
        </w:rPr>
      </w:pPr>
    </w:p>
    <w:p>
      <w:pPr>
        <w:jc w:val="both"/>
        <w:ind w:left="200" w:right="219" w:firstLine="124"/>
        <w:spacing w:after="0" w:line="242" w:lineRule="auto"/>
        <w:rPr>
          <w:sz w:val="20"/>
          <w:szCs w:val="20"/>
          <w:color w:val="auto"/>
        </w:rPr>
      </w:pPr>
      <w:r>
        <w:rPr>
          <w:rFonts w:ascii="Times New Roman" w:cs="Times New Roman" w:eastAsia="Times New Roman" w:hAnsi="Times New Roman"/>
          <w:sz w:val="21"/>
          <w:szCs w:val="21"/>
          <w:color w:val="auto"/>
        </w:rPr>
        <w:t>No other financial statements or supporting schedules are required to be included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in the Registration Statement and the Prospectus. All disclosures contained in the Registration Statement and the Prospectus that constitute non-GAAP financial measures (as defined by the rules and regulations under the Securities Act and the Exchange Act) comply in all material respects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86"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u w:val="single" w:color="auto"/>
          <w:color w:val="auto"/>
        </w:rPr>
        <w:t>Company’s Accounting System</w:t>
      </w:r>
      <w:r>
        <w:rPr>
          <w:rFonts w:ascii="Times New Roman" w:cs="Times New Roman" w:eastAsia="Times New Roman" w:hAnsi="Times New Roman"/>
          <w:sz w:val="22"/>
          <w:szCs w:val="22"/>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9"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Incorporation and Good Standing of the 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jc w:val="both"/>
        <w:ind w:left="200" w:right="219"/>
        <w:spacing w:after="0"/>
        <w:rPr>
          <w:sz w:val="20"/>
          <w:szCs w:val="20"/>
          <w:color w:val="auto"/>
        </w:rPr>
      </w:pPr>
      <w:r>
        <w:rPr>
          <w:rFonts w:ascii="Times New Roman" w:cs="Times New Roman" w:eastAsia="Times New Roman" w:hAnsi="Times New Roman"/>
          <w:sz w:val="22"/>
          <w:szCs w:val="22"/>
          <w:color w:val="auto"/>
        </w:rPr>
        <w:t>foreign corporation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individually or in the aggregate, to result in a Material Adverse Change.</w:t>
      </w:r>
    </w:p>
    <w:p>
      <w:pPr>
        <w:spacing w:after="0" w:line="177"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except where failure to do so would not result in a Material Adverse Change, whether by reason of the ownership or leasing of property or the conduct of business.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MIH EV Design LLC or the subsidiaries listed in Exhibit 21 to the Company’s Annual Report on Form 10-K for the fiscal year ended December 31, 2021.</w:t>
      </w:r>
    </w:p>
    <w:p>
      <w:pPr>
        <w:spacing w:after="0" w:line="184"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Capitalization and Other Capital Stock Matters</w:t>
      </w:r>
      <w:r>
        <w:rPr>
          <w:rFonts w:ascii="Times New Roman" w:cs="Times New Roman" w:eastAsia="Times New Roman" w:hAnsi="Times New Roman"/>
          <w:sz w:val="22"/>
          <w:szCs w:val="22"/>
          <w:color w:val="auto"/>
        </w:rPr>
        <w:t>.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applicable federal and state securities laws. None of the outstanding Common Shares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 in all material respects the information required to be shown with respect to such plans, arrangements, options and rights.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Stock Exchange Listing</w:t>
      </w:r>
      <w:r>
        <w:rPr>
          <w:rFonts w:ascii="Times New Roman" w:cs="Times New Roman" w:eastAsia="Times New Roman" w:hAnsi="Times New Roman"/>
          <w:sz w:val="22"/>
          <w:szCs w:val="22"/>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4" w:lineRule="exact"/>
        <w:rPr>
          <w:sz w:val="20"/>
          <w:szCs w:val="20"/>
          <w:color w:val="auto"/>
        </w:rPr>
      </w:pPr>
    </w:p>
    <w:p>
      <w:pPr>
        <w:jc w:val="center"/>
        <w:ind w:left="200" w:right="219"/>
        <w:spacing w:after="0" w:line="231" w:lineRule="auto"/>
        <w:rPr>
          <w:sz w:val="20"/>
          <w:szCs w:val="20"/>
          <w:color w:val="auto"/>
        </w:rPr>
      </w:pPr>
      <w:r>
        <w:rPr>
          <w:rFonts w:ascii="Times New Roman" w:cs="Times New Roman" w:eastAsia="Times New Roman" w:hAnsi="Times New Roman"/>
          <w:sz w:val="22"/>
          <w:szCs w:val="22"/>
          <w:u w:val="single" w:color="auto"/>
          <w:color w:val="auto"/>
        </w:rPr>
        <w:t>Non-Contravention of Existing Instruments; No Further Authorizations or Approvals Required</w:t>
      </w:r>
      <w:r>
        <w:rPr>
          <w:rFonts w:ascii="Times New Roman" w:cs="Times New Roman" w:eastAsia="Times New Roman" w:hAnsi="Times New Roman"/>
          <w:sz w:val="22"/>
          <w:szCs w:val="22"/>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22"/>
          <w:szCs w:val="22"/>
          <w:b w:val="1"/>
          <w:bCs w:val="1"/>
          <w:color w:val="auto"/>
        </w:rPr>
        <w:t>Existing Instrument</w:t>
      </w:r>
      <w:r>
        <w:rPr>
          <w:rFonts w:ascii="Times New Roman" w:cs="Times New Roman" w:eastAsia="Times New Roman" w:hAnsi="Times New Roman"/>
          <w:sz w:val="22"/>
          <w:szCs w:val="22"/>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will not result in any violation of the provisions of the charter or by-laws, partnership agreement or operating agreement or similar organizational documents, as applicable, of the Company or any subsidiary,</w:t>
      </w:r>
    </w:p>
    <w:p>
      <w:pPr>
        <w:spacing w:after="0" w:line="16" w:lineRule="exact"/>
        <w:rPr>
          <w:sz w:val="20"/>
          <w:szCs w:val="20"/>
          <w:color w:val="auto"/>
        </w:rPr>
      </w:pPr>
    </w:p>
    <w:p>
      <w:pPr>
        <w:jc w:val="both"/>
        <w:ind w:left="200" w:right="219" w:firstLine="9"/>
        <w:spacing w:after="0" w:line="231" w:lineRule="auto"/>
        <w:tabs>
          <w:tab w:leader="none" w:pos="54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22"/>
          <w:szCs w:val="22"/>
          <w:b w:val="1"/>
          <w:bCs w:val="1"/>
          <w:color w:val="auto"/>
        </w:rPr>
        <w:t>Debt Repayment Triggering Event</w:t>
      </w:r>
      <w:r>
        <w:rPr>
          <w:rFonts w:ascii="Times New Roman" w:cs="Times New Roman" w:eastAsia="Times New Roman" w:hAnsi="Times New Roman"/>
          <w:sz w:val="22"/>
          <w:szCs w:val="22"/>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3"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u w:val="single" w:color="auto"/>
          <w:color w:val="auto"/>
        </w:rPr>
        <w:t>No Material Actions or Proceedings</w:t>
      </w:r>
      <w:r>
        <w:rPr>
          <w:rFonts w:ascii="Times New Roman" w:cs="Times New Roman" w:eastAsia="Times New Roman" w:hAnsi="Times New Roman"/>
          <w:sz w:val="22"/>
          <w:szCs w:val="22"/>
          <w:color w:val="auto"/>
        </w:rPr>
        <w:t>. There is no action, suit, proceeding, inquiry or investigation brought by or before any legal or governmental entity now pending or, to the knowledge of the Company, threatened, against or affecting the Company or any of its subsidiaries, which would reasonably be expected, individually or in the aggregate, to result in a Material Adverse Change.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4" w:name="page65"/>
    <w:bookmarkEnd w:id="64"/>
    <w:p>
      <w:pPr>
        <w:jc w:val="both"/>
        <w:ind w:left="200" w:right="219"/>
        <w:spacing w:after="0"/>
        <w:rPr>
          <w:sz w:val="20"/>
          <w:szCs w:val="20"/>
          <w:color w:val="auto"/>
        </w:rPr>
      </w:pPr>
      <w:r>
        <w:rPr>
          <w:rFonts w:ascii="Times New Roman" w:cs="Times New Roman" w:eastAsia="Times New Roman" w:hAnsi="Times New Roman"/>
          <w:sz w:val="22"/>
          <w:szCs w:val="22"/>
          <w:color w:val="auto"/>
        </w:rPr>
        <w:t>No material labor dispute with the employees of the Company or any of its subsidiaries, or with the employees of any principal supplier, manufacturer, customer or contractor of the Company, exists, or, to the knowledge of the Company, is threatened or imminent, except as would not reasonably be expected, individually or in the aggregate, to result in a Material Adverse Change.</w:t>
      </w:r>
    </w:p>
    <w:p>
      <w:pPr>
        <w:spacing w:after="0" w:line="177"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and the conduct of their respective businesses does not and will not infringe, misappropriate or otherwise conflict in any material respect with any such rights of others, except where the failure to so own, license or otherwise hold would not reasonably be expected to result in a Material Adverse Change. No material Intellectual Property of the Company has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except as would not reasonably be expected to result in a Material Adverse Change.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the Company is unaware of any facts which would form a reasonable basis for any such action, suit, proceeding or claim, except, in each case, as would not reasonably be expected to result in a Material Adverse Change. The Company and its subsidiaries have complied in all material respects with the terms of each agreement pursuant to which Intellectual Property has been licensed to and is being used by the Company or any subsidiary,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to the knowledge of the Company,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except as would not reasonably be expected, individually or in the aggregate, to result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5" w:name="page66"/>
    <w:bookmarkEnd w:id="65"/>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in a Material Adverse Change.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in all material respects.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except as would not reasonably be expected, individually or in the aggregate, to result in a Material Adverse Change.</w:t>
      </w:r>
    </w:p>
    <w:p>
      <w:pPr>
        <w:spacing w:after="0" w:line="171"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u w:val="single" w:color="auto"/>
          <w:color w:val="auto"/>
        </w:rPr>
        <w:t>All Necessary Permits, etc</w:t>
      </w:r>
      <w:r>
        <w:rPr>
          <w:rFonts w:ascii="Times New Roman" w:cs="Times New Roman" w:eastAsia="Times New Roman" w:hAnsi="Times New Roman"/>
          <w:sz w:val="22"/>
          <w:szCs w:val="22"/>
          <w:color w:val="auto"/>
        </w:rPr>
        <w:t>.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except whether the failure to possess such Permits would not reasonably be expected, individually or in the aggregate, to result in a Material Adverse Change. Neither the Company nor any of its subsidiaries is in violation of, or in default under, any of the Permits or has received any notice of proceedings relating to the revocation or modification of, or non-compliance with, any such certificate, authorization or permit, except where such violation or default or such proceedings would not reasonably be expected, individually or in the aggregate, to result in a Material Adverse Change.</w:t>
      </w:r>
    </w:p>
    <w:p>
      <w:pPr>
        <w:spacing w:after="0" w:line="179"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u w:val="single" w:color="auto"/>
          <w:color w:val="auto"/>
        </w:rPr>
        <w:t>Title to Properties</w:t>
      </w:r>
      <w:r>
        <w:rPr>
          <w:rFonts w:ascii="Times New Roman" w:cs="Times New Roman" w:eastAsia="Times New Roman" w:hAnsi="Times New Roman"/>
          <w:sz w:val="22"/>
          <w:szCs w:val="22"/>
          <w:color w:val="auto"/>
        </w:rPr>
        <w:t>. The Company, or one of its subsidiaries, as applicable, has good and marketable title to all of the real and personal property and other assets reflected as owned in the financial statements referred to in ‎Section 2(m) above (or elsewhere in the Registration Statement or the Prospectus, in each case free and clear of any security interests, mortgages, liens, encumbrances, equities, adverse claims and other defects, except as would not reasonably be expected, individually or in the aggregate, to result in a Material Adverse Change. The real property, improvements, equipment and personal property held under lease by the Company or of its subsidiary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-1111250</wp:posOffset>
            </wp:positionV>
            <wp:extent cx="712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59"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1"/>
          <w:szCs w:val="21"/>
          <w:u w:val="single" w:color="auto"/>
          <w:color w:val="auto"/>
        </w:rPr>
        <w:t>Tax Law Compliance</w:t>
      </w:r>
      <w:r>
        <w:rPr>
          <w:rFonts w:ascii="Times New Roman" w:cs="Times New Roman" w:eastAsia="Times New Roman" w:hAnsi="Times New Roman"/>
          <w:sz w:val="21"/>
          <w:szCs w:val="21"/>
          <w:color w:val="auto"/>
        </w:rPr>
        <w:t>. The Company and its subsidiaries have filed all necessary federal, state and foreign income and franchise tax returns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2(m) above in respect of all material federal, state and foreign income and franchise taxes for all periods as to which the tax liability of the Company or any of its subsidiaries has not been finally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-344170</wp:posOffset>
            </wp:positionV>
            <wp:extent cx="720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5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Company Not an “Investment Company.”</w:t>
      </w:r>
      <w:r>
        <w:rPr>
          <w:rFonts w:ascii="Times New Roman" w:cs="Times New Roman" w:eastAsia="Times New Roman" w:hAnsi="Times New Roman"/>
          <w:sz w:val="22"/>
          <w:szCs w:val="22"/>
          <w:color w:val="auto"/>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Company Act”)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85"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No Price Stabilization or Manipulation; Compliance with Regulation M</w:t>
      </w:r>
      <w:r>
        <w:rPr>
          <w:rFonts w:ascii="Times New Roman" w:cs="Times New Roman" w:eastAsia="Times New Roman" w:hAnsi="Times New Roman"/>
          <w:sz w:val="22"/>
          <w:szCs w:val="22"/>
          <w:color w:val="auto"/>
        </w:rPr>
        <w:t>. Neither the Company nor any of its subsidiaries has taken, directly or indirectly, without giving effect to activities by the Agent, any action designed to or that might reasonably be expected to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with respect to the Common Shares, whether to facilitate the sale or resale of the Shares or otherwise, and has taken no action which would directly or indirectly violate Regulation M.</w:t>
      </w:r>
    </w:p>
    <w:p>
      <w:pPr>
        <w:spacing w:after="0" w:line="18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73"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in all material respects with Financial Industry Regulatory Authority, Inc.’s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rules and any letters, filings or other supplemental information provided to FINRA pursuant to FINRA Rules or NASD Conduct Rules is true, complete and correct. The Company meets the requirements for use of Form S-3 under the Securities Act specified in FINRA Rule 5110(h)(1)(c).</w:t>
      </w:r>
    </w:p>
    <w:p>
      <w:pPr>
        <w:spacing w:after="0" w:line="17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No Unlawful Contributions or Other Payments</w:t>
      </w:r>
      <w:r>
        <w:rPr>
          <w:rFonts w:ascii="Times New Roman" w:cs="Times New Roman" w:eastAsia="Times New Roman" w:hAnsi="Times New Roman"/>
          <w:sz w:val="22"/>
          <w:szCs w:val="22"/>
          <w:color w:val="auto"/>
        </w:rPr>
        <w:t>. Neither the Company nor any of its subsidiaries nor, to the Company’s knowledge, any employee or agent of the Company or any subsidiary, has made any contribution or other payment to any official of, or candidate for, any applicable federal, state or foreign office in violation of any law or of the character required to be disclosed in the Registration Statement and the Prospectus.</w:t>
      </w:r>
    </w:p>
    <w:p>
      <w:pPr>
        <w:spacing w:after="0" w:line="177"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22"/>
          <w:szCs w:val="22"/>
          <w:color w:val="auto"/>
        </w:rPr>
        <w:t>.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7" w:name="page68"/>
    <w:bookmarkEnd w:id="67"/>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limitation, laws and 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or to the manufacture, processing, distribution, use, treatment, storage, disposal, transport or handling of Hazardous Materials (collectively,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(ii) the Company and its subsidiaries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0"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ERISA Compliance</w:t>
      </w:r>
      <w:r>
        <w:rPr>
          <w:rFonts w:ascii="Times New Roman" w:cs="Times New Roman" w:eastAsia="Times New Roman" w:hAnsi="Times New Roman"/>
          <w:sz w:val="22"/>
          <w:szCs w:val="22"/>
          <w:color w:val="auto"/>
        </w:rPr>
        <w:t>.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established or maintained by the Company, its subsidiaries or their “ERISA Affiliates” (as defined below) are in compliance in all material respects with ERISA. “</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of which the Company or such subsidiary is a member. Except as would not reasonably be expected, individually or in the aggregate, to have a Material Adverse Change, no “reportable event” (as defined under ERISA) has occurred or is reasonably expected to occur with respect to any “employee benefit plan” established or maintained by the Company, its subsidiaries or any of their ERISA Affiliates. Except as would not reasonably be expected, individually or in the aggregate, to have a Material Adverse Change, no “employee benefit plan” established or maintained by the Company, its subsidiaries or any of their ERISA Affiliates, if such “employee benefit plan” were terminated, would have any “amount of unfunded benefit liabilities” (as defined under ERISA). Except as would not reasonably be expected, individually or in the aggregate, to have a Material Adverse Change,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knowledge of the Company, nothing has occurred, whether by action or failure to act, which would cause the loss of such qualification.</w:t>
      </w:r>
    </w:p>
    <w:p>
      <w:pPr>
        <w:spacing w:after="0" w:line="179"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There is no broker, finder or other party that is entitled to receive from the Company any brokerage or finder’s fee or other fee or commission as a result of any transactions contemplated by this Agreement.</w:t>
      </w:r>
    </w:p>
    <w:p>
      <w:pPr>
        <w:spacing w:after="0" w:line="173"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auto"/>
        </w:rPr>
        <w:t>No Outstanding Loans or Other Extensions of Credit</w:t>
      </w:r>
      <w:r>
        <w:rPr>
          <w:rFonts w:ascii="Times New Roman" w:cs="Times New Roman" w:eastAsia="Times New Roman" w:hAnsi="Times New Roman"/>
          <w:sz w:val="22"/>
          <w:szCs w:val="22"/>
          <w:color w:val="auto"/>
        </w:rPr>
        <w:t>. The Company does not have any outstanding extension of credit, in the form of a personal loan, to or for any director or executive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8" w:name="page69"/>
    <w:bookmarkEnd w:id="68"/>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officer (or equivalent thereof) of the Company except for such extensions of credit as are expressly permitted by Section 13(k) of the Exchange Act.</w:t>
      </w:r>
    </w:p>
    <w:p>
      <w:pPr>
        <w:spacing w:after="0" w:line="157"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and its subsidiaries have been and are in compliance with all applicable laws, rules and regulations, except where failure to be so in compliance would not reasonably be expected, individually or in the aggregate, to result in a Material Adverse Change.</w:t>
      </w:r>
    </w:p>
    <w:p>
      <w:pPr>
        <w:spacing w:after="0" w:line="173"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Dividend Restrictions</w:t>
      </w:r>
      <w:r>
        <w:rPr>
          <w:rFonts w:ascii="Times New Roman" w:cs="Times New Roman" w:eastAsia="Times New Roman" w:hAnsi="Times New Roman"/>
          <w:sz w:val="22"/>
          <w:szCs w:val="22"/>
          <w:color w:val="auto"/>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1"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u w:val="single" w:color="auto"/>
          <w:color w:val="auto"/>
        </w:rPr>
        <w:t>Anti-Corruption and Anti-Bribery Laws</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Neither the Company nor any of its subsidiaries nor any director or officer or, to the knowledge of the Company, any employee of the Company or any of its subsidiaries or agent, Affiliate controlled by the Company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21"/>
          <w:szCs w:val="21"/>
          <w:b w:val="1"/>
          <w:bCs w:val="1"/>
          <w:color w:val="auto"/>
        </w:rPr>
        <w:t>FCPA</w:t>
      </w:r>
      <w:r>
        <w:rPr>
          <w:rFonts w:ascii="Times New Roman" w:cs="Times New Roman" w:eastAsia="Times New Roman" w:hAnsi="Times New Roman"/>
          <w:sz w:val="21"/>
          <w:szCs w:val="21"/>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controlled by it have conducted their respective businesses in compliance with the FCPA and have instituted or are in the process of instituting and maintain or will maintain policies and procedures designed to ensure, and which are reasonably expected to continue to ensure, continued compliance therewith.</w:t>
      </w:r>
    </w:p>
    <w:p>
      <w:pPr>
        <w:spacing w:after="0" w:line="189"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1"/>
          <w:szCs w:val="21"/>
          <w:u w:val="single" w:color="auto"/>
          <w:color w:val="auto"/>
        </w:rPr>
        <w:t>Money Laundering Laws</w:t>
      </w:r>
      <w:r>
        <w:rPr>
          <w:rFonts w:ascii="Times New Roman" w:cs="Times New Roman" w:eastAsia="Times New Roman" w:hAnsi="Times New Roman"/>
          <w:sz w:val="21"/>
          <w:szCs w:val="21"/>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21"/>
          <w:szCs w:val="21"/>
          <w:b w:val="1"/>
          <w:bCs w:val="1"/>
          <w:color w:val="auto"/>
        </w:rPr>
        <w:t>Money Laundering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and no action, suit or proceeding by or before any court or governmental agency,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body or any arbitrator involving the Company or any of its subsidiaries with respect to the Money Laundering Laws is pending or, to the best knowledge of the Company, threatened.</w:t>
      </w:r>
    </w:p>
    <w:p>
      <w:pPr>
        <w:spacing w:after="0" w:line="175"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Neither the Company nor any of its subsidiaries, directors or officers, nor, to the knowledge of the Company, after due inquiry, any of its employees, agents, Affiliates controlled by the Company or other persons acting on behalf of the Company or any of its subsidiaries is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9" w:name="page70"/>
    <w:bookmarkEnd w:id="69"/>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currently the subject or the target of any U.S. sanctions administered by the Office of Foreign Assets Control of the U.S. Department of the Treasury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three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9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Sarbanes-Oxley</w:t>
      </w:r>
      <w:r>
        <w:rPr>
          <w:rFonts w:ascii="Times New Roman" w:cs="Times New Roman" w:eastAsia="Times New Roman" w:hAnsi="Times New Roman"/>
          <w:sz w:val="22"/>
          <w:szCs w:val="22"/>
          <w:color w:val="auto"/>
        </w:rPr>
        <w:t>. The Company is in compliance, in all material respects, with all applicable provisions of the Sarbanes-Oxley Act of 2002 and the rules and regulations promulgated thereunder.</w:t>
      </w:r>
    </w:p>
    <w:p>
      <w:pPr>
        <w:spacing w:after="0" w:line="173"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Duties, Transfer Taxes, Etc</w:t>
      </w:r>
      <w:r>
        <w:rPr>
          <w:rFonts w:ascii="Times New Roman" w:cs="Times New Roman" w:eastAsia="Times New Roman" w:hAnsi="Times New Roman"/>
          <w:sz w:val="22"/>
          <w:szCs w:val="22"/>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77"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u w:val="single" w:color="auto"/>
          <w:color w:val="auto"/>
        </w:rPr>
        <w:t>Cybersecurity</w:t>
      </w:r>
      <w:r>
        <w:rPr>
          <w:rFonts w:ascii="Times New Roman" w:cs="Times New Roman" w:eastAsia="Times New Roman" w:hAnsi="Times New Roman"/>
          <w:sz w:val="21"/>
          <w:szCs w:val="21"/>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except as would not reasonably be expected, individually or in the aggregate, to result in a Material Adverse Change.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21"/>
          <w:szCs w:val="21"/>
          <w:b w:val="1"/>
          <w:bCs w:val="1"/>
          <w:color w:val="auto"/>
        </w:rPr>
        <w:t>Personal Data</w:t>
      </w:r>
      <w:r>
        <w:rPr>
          <w:rFonts w:ascii="Times New Roman" w:cs="Times New Roman" w:eastAsia="Times New Roman" w:hAnsi="Times New Roman"/>
          <w:sz w:val="21"/>
          <w:szCs w:val="21"/>
          <w:color w:val="auto"/>
        </w:rPr>
        <w:t>” means</w:t>
      </w:r>
    </w:p>
    <w:p>
      <w:pPr>
        <w:spacing w:after="0" w:line="8" w:lineRule="exact"/>
        <w:rPr>
          <w:sz w:val="20"/>
          <w:szCs w:val="20"/>
          <w:color w:val="auto"/>
        </w:rPr>
      </w:pPr>
    </w:p>
    <w:p>
      <w:pPr>
        <w:jc w:val="both"/>
        <w:ind w:left="200" w:right="219" w:firstLine="9"/>
        <w:spacing w:after="0" w:line="243" w:lineRule="auto"/>
        <w:tabs>
          <w:tab w:leader="none" w:pos="48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1"/>
          <w:szCs w:val="21"/>
          <w:b w:val="1"/>
          <w:bCs w:val="1"/>
          <w:color w:val="auto"/>
        </w:rPr>
        <w:t>HIPAA”</w:t>
      </w:r>
      <w:r>
        <w:rPr>
          <w:rFonts w:ascii="Times New Roman" w:cs="Times New Roman" w:eastAsia="Times New Roman" w:hAnsi="Times New Roman"/>
          <w:sz w:val="21"/>
          <w:szCs w:val="21"/>
          <w:color w:val="auto"/>
        </w:rPr>
        <w:t>); and (v) any other piece of information that allows the identification of such natural person, or his or her family, or permits the collection or analysis of any data related</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0" w:name="page71"/>
    <w:bookmarkEnd w:id="70"/>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to an identified person’s health or sexual orientation. To the Company’s knowledge, there have been no material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as would not reasonably be expected, individually or in the aggregate, to result in a Material Adverse Change.</w:t>
      </w:r>
    </w:p>
    <w:p>
      <w:pPr>
        <w:spacing w:after="0" w:line="180"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Compliance with Data Privacy Laws</w:t>
      </w:r>
      <w:r>
        <w:rPr>
          <w:rFonts w:ascii="Times New Roman" w:cs="Times New Roman" w:eastAsia="Times New Roman" w:hAnsi="Times New Roman"/>
          <w:sz w:val="22"/>
          <w:szCs w:val="22"/>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to the extent applicable, since May 25, 2018, have been and currently are in material compliance with, the European Union General Data Protection Regulation (“</w:t>
      </w:r>
      <w:r>
        <w:rPr>
          <w:rFonts w:ascii="Times New Roman" w:cs="Times New Roman" w:eastAsia="Times New Roman" w:hAnsi="Times New Roman"/>
          <w:sz w:val="22"/>
          <w:szCs w:val="22"/>
          <w:b w:val="1"/>
          <w:bCs w:val="1"/>
          <w:color w:val="auto"/>
        </w:rPr>
        <w:t>GDPR</w:t>
      </w:r>
      <w:r>
        <w:rPr>
          <w:rFonts w:ascii="Times New Roman" w:cs="Times New Roman" w:eastAsia="Times New Roman" w:hAnsi="Times New Roman"/>
          <w:sz w:val="22"/>
          <w:szCs w:val="22"/>
          <w:color w:val="auto"/>
        </w:rPr>
        <w:t>”) (EU 2016/679) (collectively, the “</w:t>
      </w:r>
      <w:r>
        <w:rPr>
          <w:rFonts w:ascii="Times New Roman" w:cs="Times New Roman" w:eastAsia="Times New Roman" w:hAnsi="Times New Roman"/>
          <w:sz w:val="22"/>
          <w:szCs w:val="22"/>
          <w:b w:val="1"/>
          <w:bCs w:val="1"/>
          <w:color w:val="auto"/>
        </w:rPr>
        <w:t>Privacy Laws</w:t>
      </w:r>
      <w:r>
        <w:rPr>
          <w:rFonts w:ascii="Times New Roman" w:cs="Times New Roman" w:eastAsia="Times New Roman" w:hAnsi="Times New Roman"/>
          <w:sz w:val="22"/>
          <w:szCs w:val="22"/>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22"/>
          <w:szCs w:val="22"/>
          <w:b w:val="1"/>
          <w:bCs w:val="1"/>
          <w:color w:val="auto"/>
        </w:rPr>
        <w:t>Policies</w:t>
      </w:r>
      <w:r>
        <w:rPr>
          <w:rFonts w:ascii="Times New Roman" w:cs="Times New Roman" w:eastAsia="Times New Roman" w:hAnsi="Times New Roman"/>
          <w:sz w:val="22"/>
          <w:szCs w:val="22"/>
          <w:color w:val="auto"/>
        </w:rPr>
        <w:t>”). The Company and its subsidiaries in all material respects have made all disclosures to users or customers required by applicable Privacy Laws, and none of such disclosures made or contained in any Policy have, to the knowledge of the Company, been inaccurate or in violation of any applicable Privacy Laws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5"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auto"/>
        </w:rPr>
        <w:t>Other Underwriting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0"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The Company acknowledges that the Agent and, for purposes of the opinions to be delivered pursuant to ‎Section 4(o) hereof, counsel to the Company and counsel to the Agent, will rely upon the accuracy and truthfulness of the foregoing representations and hereby consents to such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-339090</wp:posOffset>
            </wp:positionV>
            <wp:extent cx="6826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8262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1" w:name="page72"/>
    <w:bookmarkEnd w:id="71"/>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1"/>
          <w:szCs w:val="21"/>
          <w:b w:val="1"/>
          <w:bCs w:val="1"/>
          <w:color w:val="auto"/>
        </w:rPr>
        <w:t>ISSUANCE AND SALE OF COMMON SHARES</w:t>
      </w:r>
    </w:p>
    <w:p>
      <w:pPr>
        <w:spacing w:after="0" w:line="222"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Sale of Securities</w:t>
      </w:r>
      <w:r>
        <w:rPr>
          <w:rFonts w:ascii="Times New Roman" w:cs="Times New Roman" w:eastAsia="Times New Roman" w:hAnsi="Times New Roman"/>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up to the Maximum Program Amount, based on and in accordance with Issuance Notices as the Company may deliver, during the Agency Period.</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Mechanics of Issuances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hanging="323"/>
        <w:spacing w:after="0"/>
        <w:tabs>
          <w:tab w:leader="none" w:pos="11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Notice</w:t>
      </w:r>
      <w:r>
        <w:rPr>
          <w:rFonts w:ascii="Times New Roman" w:cs="Times New Roman" w:eastAsia="Times New Roman" w:hAnsi="Times New Roman"/>
          <w:sz w:val="22"/>
          <w:szCs w:val="22"/>
          <w:color w:val="auto"/>
        </w:rPr>
        <w:t>. Upon the terms and subject to the conditions set forth herein, on any</w:t>
      </w:r>
    </w:p>
    <w:p>
      <w:pPr>
        <w:spacing w:after="0" w:line="14" w:lineRule="exact"/>
        <w:rPr>
          <w:rFonts w:ascii="Times New Roman" w:cs="Times New Roman" w:eastAsia="Times New Roman" w:hAnsi="Times New Roman"/>
          <w:sz w:val="22"/>
          <w:szCs w:val="22"/>
          <w:color w:val="auto"/>
        </w:rPr>
      </w:pPr>
    </w:p>
    <w:p>
      <w:pPr>
        <w:ind w:left="2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during the Agency Period on which the conditions set forth in Section‎ 5(a) and</w:t>
      </w:r>
    </w:p>
    <w:p>
      <w:pPr>
        <w:jc w:val="both"/>
        <w:ind w:left="200" w:right="219"/>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5(b) shall have been satisfied, the Company may exercise its right to request an issuance of Shares by delivering to the Agent an Issuance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in no event may the Company deliver an Issuance Notice to the extent that the sum of (x) the number of Shares in the requested Issuance Amount, plus (y) the aggregate number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6"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49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Efforts</w:t>
      </w:r>
      <w:r>
        <w:rPr>
          <w:rFonts w:ascii="Times New Roman" w:cs="Times New Roman" w:eastAsia="Times New Roman" w:hAnsi="Times New Roman"/>
          <w:sz w:val="22"/>
          <w:szCs w:val="22"/>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78" w:lineRule="exact"/>
        <w:rPr>
          <w:rFonts w:ascii="Times New Roman" w:cs="Times New Roman" w:eastAsia="Times New Roman" w:hAnsi="Times New Roman"/>
          <w:sz w:val="22"/>
          <w:szCs w:val="22"/>
          <w:color w:val="auto"/>
        </w:rPr>
      </w:pPr>
    </w:p>
    <w:p>
      <w:pPr>
        <w:jc w:val="both"/>
        <w:ind w:left="200" w:right="219" w:firstLine="657"/>
        <w:spacing w:after="0" w:line="249" w:lineRule="auto"/>
        <w:tabs>
          <w:tab w:leader="none" w:pos="149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Offer and Sale</w:t>
      </w:r>
      <w:r>
        <w:rPr>
          <w:rFonts w:ascii="Times New Roman" w:cs="Times New Roman" w:eastAsia="Times New Roman" w:hAnsi="Times New Roman"/>
          <w:sz w:val="21"/>
          <w:szCs w:val="21"/>
          <w:color w:val="auto"/>
        </w:rPr>
        <w:t>. The Shares may be offered and sold (A) in privately negotiated transactions with the consent of the Company; (B) as block transactions; or (C) by any other method permitted by law deemed to be an “at the market offering” as defined in Rule 415(a)</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3" w:lineRule="auto"/>
        <w:tabs>
          <w:tab w:leader="none" w:pos="5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to the Company</w:t>
      </w:r>
      <w:r>
        <w:rPr>
          <w:rFonts w:ascii="Times New Roman" w:cs="Times New Roman" w:eastAsia="Times New Roman" w:hAnsi="Times New Roman"/>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4626610</wp:posOffset>
            </wp:positionH>
            <wp:positionV relativeFrom="paragraph">
              <wp:posOffset>-5075555</wp:posOffset>
            </wp:positionV>
            <wp:extent cx="6921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9215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-4921250</wp:posOffset>
            </wp:positionV>
            <wp:extent cx="6743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2" w:name="page73"/>
    <w:bookmarkEnd w:id="72"/>
    <w:p>
      <w:pPr>
        <w:ind w:left="200" w:right="219"/>
        <w:spacing w:after="0" w:line="259" w:lineRule="auto"/>
        <w:rPr>
          <w:sz w:val="20"/>
          <w:szCs w:val="20"/>
          <w:color w:val="auto"/>
        </w:rPr>
      </w:pPr>
      <w:r>
        <w:rPr>
          <w:rFonts w:ascii="Times New Roman" w:cs="Times New Roman" w:eastAsia="Times New Roman" w:hAnsi="Times New Roman"/>
          <w:sz w:val="22"/>
          <w:szCs w:val="22"/>
          <w:color w:val="auto"/>
        </w:rPr>
        <w:t>Shares sold on such Trading Day, the corresponding Sales Price and the Issuance Price payable to the Company in respect thereof.</w:t>
      </w:r>
    </w:p>
    <w:p>
      <w:pPr>
        <w:spacing w:after="0" w:line="157" w:lineRule="exact"/>
        <w:rPr>
          <w:sz w:val="20"/>
          <w:szCs w:val="20"/>
          <w:color w:val="auto"/>
        </w:rPr>
      </w:pPr>
    </w:p>
    <w:p>
      <w:pPr>
        <w:ind w:left="1500" w:hanging="643"/>
        <w:spacing w:after="0"/>
        <w:tabs>
          <w:tab w:leader="none" w:pos="15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Each issuance of Shares will be settled on the applicable Settlement</w:t>
      </w:r>
    </w:p>
    <w:p>
      <w:pPr>
        <w:spacing w:after="0" w:line="14" w:lineRule="exact"/>
        <w:rPr>
          <w:rFonts w:ascii="Times New Roman" w:cs="Times New Roman" w:eastAsia="Times New Roman" w:hAnsi="Times New Roman"/>
          <w:sz w:val="22"/>
          <w:szCs w:val="22"/>
          <w:color w:val="auto"/>
        </w:rPr>
      </w:pPr>
    </w:p>
    <w:p>
      <w:pPr>
        <w:jc w:val="both"/>
        <w:ind w:left="200" w:right="21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Date for such issuance of Shares and, subject to the provisions of Section‎ 5,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21"/>
          <w:szCs w:val="21"/>
          <w:b w:val="1"/>
          <w:bCs w:val="1"/>
          <w:color w:val="auto"/>
        </w:rPr>
        <w:t>Time of Sale</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or Termination of Sales</w:t>
      </w:r>
      <w:r>
        <w:rPr>
          <w:rFonts w:ascii="Times New Roman" w:cs="Times New Roman" w:eastAsia="Times New Roman" w:hAnsi="Times New Roman"/>
          <w:sz w:val="21"/>
          <w:szCs w:val="21"/>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w:t>
      </w:r>
    </w:p>
    <w:p>
      <w:pPr>
        <w:spacing w:after="0" w:line="6" w:lineRule="exact"/>
        <w:rPr>
          <w:rFonts w:ascii="Times New Roman" w:cs="Times New Roman" w:eastAsia="Times New Roman" w:hAnsi="Times New Roman"/>
          <w:sz w:val="21"/>
          <w:szCs w:val="21"/>
          <w:color w:val="auto"/>
        </w:rPr>
      </w:pPr>
    </w:p>
    <w:p>
      <w:pPr>
        <w:jc w:val="both"/>
        <w:ind w:left="200" w:right="219"/>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still be obligated to comply with Section‎ 3(b)(v)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w:t>
      </w:r>
    </w:p>
    <w:p>
      <w:pPr>
        <w:spacing w:after="0" w:line="4"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persons identified in writing by the Agent pursuant to Section‎ 3(b)(i).</w:t>
      </w:r>
    </w:p>
    <w:p>
      <w:pPr>
        <w:spacing w:after="0" w:line="182" w:lineRule="exact"/>
        <w:rPr>
          <w:rFonts w:ascii="Times New Roman" w:cs="Times New Roman" w:eastAsia="Times New Roman" w:hAnsi="Times New Roman"/>
          <w:sz w:val="21"/>
          <w:szCs w:val="21"/>
          <w:color w:val="auto"/>
        </w:rPr>
      </w:pPr>
    </w:p>
    <w:p>
      <w:pPr>
        <w:jc w:val="both"/>
        <w:ind w:left="200" w:right="219" w:firstLine="657"/>
        <w:spacing w:after="0" w:line="238" w:lineRule="auto"/>
        <w:tabs>
          <w:tab w:leader="none" w:pos="14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Placement, Etc.</w:t>
      </w:r>
      <w:r>
        <w:rPr>
          <w:rFonts w:ascii="Times New Roman" w:cs="Times New Roman" w:eastAsia="Times New Roman" w:hAnsi="Times New Roman"/>
          <w:sz w:val="22"/>
          <w:szCs w:val="22"/>
          <w:color w:val="auto"/>
        </w:rPr>
        <w:t xml:space="preserve"> The Company acknowledges and agrees that (A) there can be no assurance that the Agent will be successful in placing Shares; (B) the Agent will incur no liability or obligation to the Company or any other Person if it does not sell Shares; and</w:t>
      </w:r>
    </w:p>
    <w:p>
      <w:pPr>
        <w:ind w:left="200" w:right="219" w:firstLine="9"/>
        <w:spacing w:after="0" w:line="237" w:lineRule="auto"/>
        <w:tabs>
          <w:tab w:leader="none" w:pos="55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be under no obligation to purchase Shares on a principal basis pursuant to this Agreement, except as otherwise specifically agreed by the Agent and the Company.</w:t>
      </w:r>
    </w:p>
    <w:p>
      <w:pPr>
        <w:spacing w:after="0" w:line="178"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-5842635</wp:posOffset>
            </wp:positionV>
            <wp:extent cx="531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-3082290</wp:posOffset>
            </wp:positionV>
            <wp:extent cx="8426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842645"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-1693545</wp:posOffset>
            </wp:positionV>
            <wp:extent cx="8032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160"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As compensation for services rendered, the Company shall pay to the Agent, on the applicable Settlement Date, the Selling Commission for the applicable Issuance Amount actually sold by the Agent deducting the Selling Commission from the applicable Issuance Amount.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3" w:name="page74"/>
    <w:bookmarkEnd w:id="73"/>
    <w:p>
      <w:pPr>
        <w:jc w:val="both"/>
        <w:ind w:left="200" w:right="219"/>
        <w:spacing w:after="0" w:line="242" w:lineRule="auto"/>
        <w:rPr>
          <w:sz w:val="20"/>
          <w:szCs w:val="20"/>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agrees to pay all reasonable costs, fees and expenses incurred in connection with the performance of its obligations hereunder and in connection with the transactions contemplated hereby, including without limitation (i) all expenses incident to the issuance and delivery of the Shares;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necessary and out-of-pocket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21"/>
          <w:szCs w:val="21"/>
          <w:b w:val="1"/>
          <w:bCs w:val="1"/>
          <w:color w:val="auto"/>
        </w:rPr>
        <w:t>Blue Sky Survey</w:t>
      </w:r>
      <w:r>
        <w:rPr>
          <w:rFonts w:ascii="Times New Roman" w:cs="Times New Roman" w:eastAsia="Times New Roman" w:hAnsi="Times New Roman"/>
          <w:sz w:val="21"/>
          <w:szCs w:val="21"/>
          <w:color w:val="auto"/>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reasonable travel and lodging expenses of the representatives, employees and officers of the Company and of the Agent and any such consultants, and the cost of any aircraft chartered by the Company in connection with the road show; and (x) the fees and expenses associated with listing the Shares on the Principal Market. The fees and disbursements of the Agent’s counsel pursuant to subsections (vi) and (vii) above shall not exceed (A) an aggregate of $100,000 in connection with the execution of this Agreement and (B) an aggregate of $15,000 in connection with each Triggering Event Date (as defined below) on which the Company is required to provide a certificate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1"/>
          <w:szCs w:val="21"/>
          <w:b w:val="1"/>
          <w:bCs w:val="1"/>
          <w:color w:val="auto"/>
        </w:rPr>
        <w:t>ADDITIONAL COVENANTS</w:t>
      </w:r>
    </w:p>
    <w:p>
      <w:pPr>
        <w:spacing w:after="0" w:line="22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Company covenants and agrees with the Agent as follows, in addition to any other covenants and agreements made elsewhere in this Agreement:</w:t>
      </w:r>
    </w:p>
    <w:p>
      <w:pPr>
        <w:spacing w:after="0" w:line="15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21"/>
          <w:szCs w:val="21"/>
          <w:u w:val="single" w:color="auto"/>
          <w:color w:val="auto"/>
        </w:rPr>
        <w:t>Exchange Act Compliance</w:t>
      </w:r>
      <w:r>
        <w:rPr>
          <w:rFonts w:ascii="Times New Roman" w:cs="Times New Roman" w:eastAsia="Times New Roman" w:hAnsi="Times New Roman"/>
          <w:sz w:val="21"/>
          <w:szCs w:val="21"/>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4" w:name="page75"/>
    <w:bookmarkEnd w:id="74"/>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by the Securities Act or Exchange Act (each an “</w:t>
      </w:r>
      <w:r>
        <w:rPr>
          <w:rFonts w:ascii="Times New Roman" w:cs="Times New Roman" w:eastAsia="Times New Roman" w:hAnsi="Times New Roman"/>
          <w:sz w:val="22"/>
          <w:szCs w:val="22"/>
          <w:b w:val="1"/>
          <w:bCs w:val="1"/>
          <w:color w:val="auto"/>
        </w:rPr>
        <w:t>Interim Prospectus Supplement”)</w:t>
      </w:r>
      <w:r>
        <w:rPr>
          <w:rFonts w:ascii="Times New Roman" w:cs="Times New Roman" w:eastAsia="Times New Roman" w:hAnsi="Times New Roman"/>
          <w:sz w:val="22"/>
          <w:szCs w:val="22"/>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76"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Securities Act Compliance</w:t>
      </w:r>
      <w:r>
        <w:rPr>
          <w:rFonts w:ascii="Times New Roman" w:cs="Times New Roman" w:eastAsia="Times New Roman" w:hAnsi="Times New Roman"/>
          <w:sz w:val="22"/>
          <w:szCs w:val="22"/>
          <w:color w:val="auto"/>
        </w:rPr>
        <w:t>. After the date of this Agreement, the Company shall promptly advise the Agent in writing (i) of the receipt of any comments of, or requests for additional or supplemental information from, the Commission relating to the Registration Statement, the Prospectus or sale of the Shares hereunder;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5"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Amendments and Supplements to the Prospectus and Other Securities Act Matters</w:t>
      </w:r>
      <w:r>
        <w:rPr>
          <w:rFonts w:ascii="Times New Roman" w:cs="Times New Roman" w:eastAsia="Times New Roman" w:hAnsi="Times New Roman"/>
          <w:sz w:val="22"/>
          <w:szCs w:val="22"/>
          <w:color w:val="auto"/>
        </w:rPr>
        <w:t>. If any event shall occur or condition exist as a result of which the Company believes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be misleading or so that the Prospectus, as amended or supplemented, will comply with applicable law including the Securities Act (it being acknowledged that the Company may delay the filing of any amendment or supplement if, in the Company’s judgment, it is in the best interest of the Company). Neither the Agent’s consent to, or delivery of, any such amendment or supplement shall constitute a waiver of any of the Company’s obligations under Sections 4(d) and 4(f).</w:t>
      </w:r>
    </w:p>
    <w:p>
      <w:pPr>
        <w:spacing w:after="0" w:line="190"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1"/>
          <w:szCs w:val="21"/>
          <w:u w:val="single" w:color="auto"/>
          <w:color w:val="auto"/>
        </w:rPr>
        <w:t>Agent’s Review of Proposed Amendments and Supplements</w:t>
      </w:r>
      <w:r>
        <w:rPr>
          <w:rFonts w:ascii="Times New Roman" w:cs="Times New Roman" w:eastAsia="Times New Roman" w:hAnsi="Times New Roman"/>
          <w:sz w:val="21"/>
          <w:szCs w:val="21"/>
          <w:color w:val="auto"/>
        </w:rPr>
        <w:t>. Prior to amending or supplementing the Registration Statement (including any registration statement filed under Rule 462(b) under the Securities Act) or the Prospectus (excluding any amendment or supplement through incorporation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5" w:name="page76"/>
    <w:bookmarkEnd w:id="75"/>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which will not be unreasonably withheld, conditioned or delayed, and to file with the Commission within the applicable period specified in Rule 424(b) under the Securities Act any prospectus required to be filed pursuant to such Rule.</w:t>
      </w:r>
    </w:p>
    <w:p>
      <w:pPr>
        <w:spacing w:after="0" w:line="184"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Use of Free Writing Prospectus</w:t>
      </w:r>
      <w:r>
        <w:rPr>
          <w:rFonts w:ascii="Times New Roman" w:cs="Times New Roman" w:eastAsia="Times New Roman" w:hAnsi="Times New Roman"/>
          <w:sz w:val="22"/>
          <w:szCs w:val="22"/>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22"/>
          <w:szCs w:val="22"/>
          <w:b w:val="1"/>
          <w:bCs w:val="1"/>
          <w:color w:val="auto"/>
        </w:rPr>
        <w:t>Free Writing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200" w:right="219"/>
        <w:spacing w:after="0" w:line="231" w:lineRule="auto"/>
        <w:rPr>
          <w:sz w:val="20"/>
          <w:szCs w:val="20"/>
          <w:color w:val="auto"/>
        </w:rPr>
      </w:pPr>
      <w:r>
        <w:rPr>
          <w:rFonts w:ascii="Times New Roman" w:cs="Times New Roman" w:eastAsia="Times New Roman" w:hAnsi="Times New Roman"/>
          <w:sz w:val="22"/>
          <w:szCs w:val="22"/>
          <w:u w:val="single" w:color="auto"/>
          <w:color w:val="auto"/>
        </w:rPr>
        <w:t>Free Writing Prospectuses</w:t>
      </w:r>
      <w:r>
        <w:rPr>
          <w:rFonts w:ascii="Times New Roman" w:cs="Times New Roman" w:eastAsia="Times New Roman" w:hAnsi="Times New Roman"/>
          <w:sz w:val="22"/>
          <w:szCs w:val="22"/>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203"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u w:val="single" w:color="auto"/>
          <w:color w:val="auto"/>
        </w:rPr>
        <w:t>Filing of Agent Free Writing Prospectuses</w:t>
      </w:r>
      <w:r>
        <w:rPr>
          <w:rFonts w:ascii="Times New Roman" w:cs="Times New Roman" w:eastAsia="Times New Roman" w:hAnsi="Times New Roman"/>
          <w:sz w:val="22"/>
          <w:szCs w:val="22"/>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6" w:name="page77"/>
    <w:bookmarkEnd w:id="76"/>
    <w:p>
      <w:pPr>
        <w:jc w:val="both"/>
        <w:ind w:left="200" w:right="219"/>
        <w:spacing w:after="0" w:line="231" w:lineRule="auto"/>
        <w:rPr>
          <w:sz w:val="20"/>
          <w:szCs w:val="20"/>
          <w:color w:val="auto"/>
        </w:rPr>
      </w:pPr>
      <w:r>
        <w:rPr>
          <w:rFonts w:ascii="Times New Roman" w:cs="Times New Roman" w:eastAsia="Times New Roman" w:hAnsi="Times New Roman"/>
          <w:sz w:val="22"/>
          <w:szCs w:val="22"/>
          <w:u w:val="single" w:color="auto"/>
          <w:color w:val="auto"/>
        </w:rPr>
        <w:t>Copies of Registration Statement and Prospectus</w:t>
      </w:r>
      <w:r>
        <w:rPr>
          <w:rFonts w:ascii="Times New Roman" w:cs="Times New Roman" w:eastAsia="Times New Roman" w:hAnsi="Times New Roman"/>
          <w:sz w:val="22"/>
          <w:szCs w:val="22"/>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204"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Blue Sky Compliance</w:t>
      </w:r>
      <w:r>
        <w:rPr>
          <w:rFonts w:ascii="Times New Roman" w:cs="Times New Roman" w:eastAsia="Times New Roman" w:hAnsi="Times New Roman"/>
          <w:sz w:val="22"/>
          <w:szCs w:val="22"/>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82"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21"/>
          <w:szCs w:val="21"/>
          <w:u w:val="single" w:color="auto"/>
          <w:color w:val="auto"/>
        </w:rPr>
        <w:t>Earnings Statement</w:t>
      </w:r>
      <w:r>
        <w:rPr>
          <w:rFonts w:ascii="Times New Roman" w:cs="Times New Roman" w:eastAsia="Times New Roman" w:hAnsi="Times New Roman"/>
          <w:sz w:val="21"/>
          <w:szCs w:val="21"/>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shall be satisfied by publicly filing</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7" w:name="page78"/>
    <w:bookmarkEnd w:id="77"/>
    <w:p>
      <w:pPr>
        <w:jc w:val="both"/>
        <w:ind w:left="200" w:right="219"/>
        <w:spacing w:after="0" w:line="259" w:lineRule="auto"/>
        <w:rPr>
          <w:sz w:val="20"/>
          <w:szCs w:val="20"/>
          <w:color w:val="auto"/>
        </w:rPr>
      </w:pPr>
      <w:r>
        <w:rPr>
          <w:rFonts w:ascii="Times New Roman" w:cs="Times New Roman" w:eastAsia="Times New Roman" w:hAnsi="Times New Roman"/>
          <w:sz w:val="22"/>
          <w:szCs w:val="22"/>
          <w:color w:val="auto"/>
        </w:rPr>
        <w:t>the required information on the Commission’s Electronic Data Gathering, Analysis and Retrieval system.</w:t>
      </w:r>
    </w:p>
    <w:p>
      <w:pPr>
        <w:spacing w:after="0" w:line="157"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u w:val="single" w:color="auto"/>
          <w:color w:val="auto"/>
        </w:rPr>
        <w:t>Listing; Reservation of Shares</w:t>
      </w:r>
      <w:r>
        <w:rPr>
          <w:rFonts w:ascii="Times New Roman" w:cs="Times New Roman" w:eastAsia="Times New Roman" w:hAnsi="Times New Roman"/>
          <w:sz w:val="22"/>
          <w:szCs w:val="22"/>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8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The Company shall engage and maintain, at its expense, a registrar and transfer agent for the Shares.</w:t>
      </w:r>
    </w:p>
    <w:p>
      <w:pPr>
        <w:spacing w:after="0" w:line="15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77"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87" w:lineRule="exact"/>
        <w:rPr>
          <w:sz w:val="20"/>
          <w:szCs w:val="20"/>
          <w:color w:val="auto"/>
        </w:rPr>
      </w:pPr>
    </w:p>
    <w:p>
      <w:pPr>
        <w:jc w:val="both"/>
        <w:ind w:left="200" w:right="239"/>
        <w:spacing w:after="0" w:line="244" w:lineRule="auto"/>
        <w:rPr>
          <w:sz w:val="20"/>
          <w:szCs w:val="20"/>
          <w:color w:val="auto"/>
        </w:rPr>
      </w:pPr>
      <w:r>
        <w:rPr>
          <w:rFonts w:ascii="Times New Roman" w:cs="Times New Roman" w:eastAsia="Times New Roman" w:hAnsi="Times New Roman"/>
          <w:sz w:val="22"/>
          <w:szCs w:val="22"/>
          <w:u w:val="single" w:color="auto"/>
          <w:color w:val="auto"/>
        </w:rPr>
        <w:t>Deliverables at Triggering Event Dates; Certificates</w:t>
      </w:r>
      <w:r>
        <w:rPr>
          <w:rFonts w:ascii="Times New Roman" w:cs="Times New Roman" w:eastAsia="Times New Roman" w:hAnsi="Times New Roman"/>
          <w:sz w:val="22"/>
          <w:szCs w:val="22"/>
          <w:color w:val="auto"/>
        </w:rPr>
        <w:t>. The Company agrees that on or prior to the date of the first Issuance Notice and, during the term of this Agreement after the date of the first Issuance Notice, upon:</w:t>
      </w:r>
    </w:p>
    <w:p>
      <w:pPr>
        <w:spacing w:after="0" w:line="173" w:lineRule="exact"/>
        <w:rPr>
          <w:sz w:val="20"/>
          <w:szCs w:val="20"/>
          <w:color w:val="auto"/>
        </w:rPr>
      </w:pPr>
    </w:p>
    <w:p>
      <w:pPr>
        <w:jc w:val="both"/>
        <w:ind w:left="200" w:right="219" w:firstLine="1305"/>
        <w:spacing w:after="0" w:line="238" w:lineRule="auto"/>
        <w:tabs>
          <w:tab w:leader="none" w:pos="21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20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207"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with the Commission of a current report on Form 8-K of the Company containing amended financial information (other than information “furnished” pursuant to Item 2.02 or 7.01 of Form 8-K or to provide disclosure pursuant to Item 8.01 of Form 8-K</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8" w:name="page79"/>
    <w:bookmarkEnd w:id="78"/>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70"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(any such event, a “</w:t>
      </w:r>
      <w:r>
        <w:rPr>
          <w:rFonts w:ascii="Times New Roman" w:cs="Times New Roman" w:eastAsia="Times New Roman" w:hAnsi="Times New Roman"/>
          <w:sz w:val="21"/>
          <w:szCs w:val="21"/>
          <w:b w:val="1"/>
          <w:bCs w:val="1"/>
          <w:color w:val="auto"/>
        </w:rPr>
        <w:t>Triggering Event Date</w:t>
      </w:r>
      <w:r>
        <w:rPr>
          <w:rFonts w:ascii="Times New Roman" w:cs="Times New Roman" w:eastAsia="Times New Roman" w:hAnsi="Times New Roman"/>
          <w:sz w:val="21"/>
          <w:szCs w:val="21"/>
          <w:color w:val="auto"/>
        </w:rPr>
        <w:t>”),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reasonably satisfactory to the Agent and its counsel, substantially similar to the form previously provided to the Agent and its counsel, modified, as necessary, to relate to the Registration Statement and the Prospectus as amended or supplemented,</w:t>
      </w:r>
    </w:p>
    <w:p>
      <w:pPr>
        <w:spacing w:after="0" w:line="1" w:lineRule="exact"/>
        <w:rPr>
          <w:sz w:val="20"/>
          <w:szCs w:val="20"/>
          <w:color w:val="auto"/>
        </w:rPr>
      </w:pPr>
    </w:p>
    <w:p>
      <w:pPr>
        <w:jc w:val="both"/>
        <w:ind w:left="200" w:right="219" w:firstLine="9"/>
        <w:spacing w:after="0" w:line="230" w:lineRule="auto"/>
        <w:tabs>
          <w:tab w:leader="none" w:pos="63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confirming that the representations and warranties of the Company contained in this Agreement are true and correct, (B) confirming that the Company has performed all of its obligations hereunder to be performed on or prior to the date of such certificate and as to the</w:t>
      </w:r>
    </w:p>
    <w:p>
      <w:pPr>
        <w:spacing w:after="0" w:line="1" w:lineRule="exact"/>
        <w:rPr>
          <w:rFonts w:ascii="Times New Roman" w:cs="Times New Roman" w:eastAsia="Times New Roman" w:hAnsi="Times New Roman"/>
          <w:sz w:val="22"/>
          <w:szCs w:val="22"/>
          <w:color w:val="auto"/>
        </w:rPr>
      </w:pPr>
    </w:p>
    <w:p>
      <w:pPr>
        <w:jc w:val="both"/>
        <w:ind w:left="200" w:right="219"/>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matters set forth in Section‎ 5(a)(iii) hereof, and (C) containing any other certification that the Agent shall reasonably request. The requirement to provide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shall be waived for any Triggering Event Date occurring at a time when no Issuance Notice is pending or a suspension is in effect, which waiver shall continue until the earlier to occur of the date the Company delivers an Issuance Notice hereunder (which for such calendar quarter shall be considered a Triggering Event Date) and the next occurring Triggering Event Date; provided, that the requirement to provide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shall continue to be waived for such next occurring Triggering Event Date if no Issuance Notice is pending or a suspension is in effect. Notwithstanding the foregoing, if the Company subsequently decides to sell Shares following a Triggering Event Date when a suspension was in effect and did not provide the Agent with a certificate under this Section 4(o), then before the Company delivers the Issuance Notice or the Agent sells any Shares pursuant to such instructions, the Company shall provide the Agent with a certificate in conformity with this Section 4(o) dated as of the date that the instructions for the sale of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-2033270</wp:posOffset>
            </wp:positionV>
            <wp:extent cx="8890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165"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for which no waiver is applicable or suspension is in effect and excluding the date of this Agreement, the Company shall cause Baker &amp; Hostetler LLP, counsel to the Company, to deliver a negative assurances letter and the written legal opinion,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0"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u w:val="single" w:color="auto"/>
          <w:color w:val="auto"/>
        </w:rPr>
        <w:t>Comfort Letters</w:t>
      </w:r>
      <w:r>
        <w:rPr>
          <w:rFonts w:ascii="Times New Roman" w:cs="Times New Roman" w:eastAsia="Times New Roman" w:hAnsi="Times New Roman"/>
          <w:sz w:val="21"/>
          <w:szCs w:val="21"/>
          <w:color w:val="auto"/>
        </w:rPr>
        <w:t xml:space="preserve">. On or prior to the date of the first Issuance Notice and on or prior to each Triggering Event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for which no waiver is applicable or suspension is in effect and excluding the date of this Agreement, the Company shall cause (i) KPMG LLP, the independent registered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public accounting firm who has audited the financial statements included or incorporated by reference in the Registration Statement, and (ii) Clark, Schaefer, Hackett &amp; Co., the independent registered public accounting firm who has audited the 2019 financial statements included or incorporated by reference in the Registration Statement, to each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provided further, that Clark, Schaefer Hackett &amp; Co. shall deliver a comfort letter until such time that the 2019 financial statements are no longer included or incorporated by reference in the Registration Statement.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90" w:lineRule="exact"/>
        <w:rPr>
          <w:sz w:val="20"/>
          <w:szCs w:val="20"/>
          <w:color w:val="auto"/>
        </w:rPr>
      </w:pPr>
    </w:p>
    <w:p>
      <w:pPr>
        <w:jc w:val="both"/>
        <w:ind w:left="200" w:right="219" w:firstLine="657"/>
        <w:spacing w:after="0" w:line="245" w:lineRule="auto"/>
        <w:tabs>
          <w:tab w:leader="none" w:pos="133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Secretary’s Certificate</w:t>
      </w:r>
      <w:r>
        <w:rPr>
          <w:rFonts w:ascii="Times New Roman" w:cs="Times New Roman" w:eastAsia="Times New Roman" w:hAnsi="Times New Roman"/>
          <w:sz w:val="21"/>
          <w:szCs w:val="21"/>
          <w:color w:val="auto"/>
        </w:rPr>
        <w:t>. On or prior to the date of the first Issuance Notice and on or prior to each Triggering Event Date with respect to which the Company is obligated to deliver a certificate pursuant to Section 4(o) for which no waiver is applicable or suspension is in effect and excluding the date of this Agreement,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3" w:lineRule="exact"/>
        <w:rPr>
          <w:rFonts w:ascii="Times New Roman" w:cs="Times New Roman" w:eastAsia="Times New Roman" w:hAnsi="Times New Roman"/>
          <w:sz w:val="21"/>
          <w:szCs w:val="21"/>
          <w:color w:val="auto"/>
        </w:rPr>
      </w:pPr>
    </w:p>
    <w:p>
      <w:pPr>
        <w:jc w:val="both"/>
        <w:ind w:left="200" w:right="219" w:firstLine="657"/>
        <w:spacing w:after="0" w:line="239" w:lineRule="auto"/>
        <w:tabs>
          <w:tab w:leader="none" w:pos="14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Agent’s Own Account; Clients’ Account</w:t>
      </w:r>
      <w:r>
        <w:rPr>
          <w:rFonts w:ascii="Times New Roman" w:cs="Times New Roman" w:eastAsia="Times New Roman" w:hAnsi="Times New Roman"/>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80"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Investment Limitation</w:t>
      </w:r>
      <w:r>
        <w:rPr>
          <w:rFonts w:ascii="Times New Roman" w:cs="Times New Roman" w:eastAsia="Times New Roman" w:hAnsi="Times New Roman"/>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73"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22"/>
          <w:szCs w:val="22"/>
          <w:b w:val="1"/>
          <w:bCs w:val="1"/>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102</w:t>
      </w:r>
      <w:r>
        <w:rPr>
          <w:rFonts w:ascii="Times New Roman" w:cs="Times New Roman" w:eastAsia="Times New Roman" w:hAnsi="Times New Roman"/>
          <w:sz w:val="22"/>
          <w:szCs w:val="22"/>
          <w:color w:val="auto"/>
        </w:rPr>
        <w:t>”) do not apply with respect to the Shares or any other reference security pursuant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exception set forth in Section (d) of Rule 102, then promptly upon notice from the Agent (or, if later, at the time stated in the notice), the Company will, and shall cause each of its Affiliates to,</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0" w:name="page81"/>
    <w:bookmarkEnd w:id="8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74"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u w:val="single" w:color="auto"/>
          <w:color w:val="auto"/>
        </w:rPr>
        <w:t>Notice of Other Sale</w:t>
      </w:r>
      <w:r>
        <w:rPr>
          <w:rFonts w:ascii="Times New Roman" w:cs="Times New Roman" w:eastAsia="Times New Roman" w:hAnsi="Times New Roman"/>
          <w:sz w:val="21"/>
          <w:szCs w:val="21"/>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including any sales pursuant to the YA ELOC (defined below),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except pursuant to the Equity Purchase Agreement, dated July 23, 2021, between the Company and YA II PN, LTD. (the “</w:t>
      </w:r>
      <w:r>
        <w:rPr>
          <w:rFonts w:ascii="Times New Roman" w:cs="Times New Roman" w:eastAsia="Times New Roman" w:hAnsi="Times New Roman"/>
          <w:sz w:val="21"/>
          <w:szCs w:val="21"/>
          <w:b w:val="1"/>
          <w:bCs w:val="1"/>
          <w:color w:val="auto"/>
        </w:rPr>
        <w:t>YA ELOC</w:t>
      </w:r>
      <w:r>
        <w:rPr>
          <w:rFonts w:ascii="Times New Roman" w:cs="Times New Roman" w:eastAsia="Times New Roman" w:hAnsi="Times New Roman"/>
          <w:sz w:val="21"/>
          <w:szCs w:val="21"/>
          <w:color w:val="auto"/>
        </w:rPr>
        <w:t>”), which the Company shall terminate within 30 days of the date hereof;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(ii) issuance or sale of Common Shares issuable upon exchange, conversion or redemption of securities or the exercise or vesting of warrants, options or other equity awards outstanding, or issuance or sale subject to an agreement providing for such issuance in existence, at the date of this Agreement and included in the Registration Statement and the Prospectus, (iii) issuance or sale of Common Shares or securities convertible into or exchangeable for Common Shares in connection with strategic transactions, mergers, acquisitions, other business combinations, joint ventures, strategic alliances or other strategic arrangements, including, without limitation, manufacturing, marketing, sponsored research, collaboration, license or distribution arrangements, provided that the aggregate number of Common Shares or securities convertible into or exchangeable for Common Shares issued or sold under this subsection (iii) shall not exceed 5% of the number of Common Shares outstanding immediately prior to giving effect to such sale of issuance, and (iv) modification of any outstanding options, warrants of any rights to purchase or acquire Common Shares.</w:t>
      </w:r>
    </w:p>
    <w:p>
      <w:pPr>
        <w:spacing w:after="0" w:line="200" w:lineRule="exact"/>
        <w:rPr>
          <w:sz w:val="20"/>
          <w:szCs w:val="20"/>
          <w:color w:val="auto"/>
        </w:rPr>
      </w:pPr>
    </w:p>
    <w:p>
      <w:pPr>
        <w:spacing w:after="0" w:line="240" w:lineRule="exact"/>
        <w:rPr>
          <w:sz w:val="20"/>
          <w:szCs w:val="20"/>
          <w:color w:val="auto"/>
        </w:rPr>
      </w:pPr>
    </w:p>
    <w:p>
      <w:pPr>
        <w:ind w:left="200" w:right="1539"/>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1"/>
          <w:szCs w:val="21"/>
          <w:b w:val="1"/>
          <w:bCs w:val="1"/>
          <w:color w:val="auto"/>
        </w:rPr>
        <w:t>CONDITIONS TO DELIVERY OF ISSUANCE NOTICES AND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b w:val="1"/>
          <w:bCs w:val="1"/>
          <w:color w:val="auto"/>
        </w:rPr>
        <w:t>SETTLEMENT</w:t>
      </w:r>
    </w:p>
    <w:p>
      <w:pPr>
        <w:spacing w:after="0" w:line="130"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1"/>
          <w:szCs w:val="21"/>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1" w:name="page82"/>
    <w:bookmarkEnd w:id="81"/>
    <w:p>
      <w:pPr>
        <w:ind w:left="1500" w:hanging="643"/>
        <w:spacing w:after="0"/>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the Company’s Representations and Warranties; Performance by the</w:t>
      </w:r>
    </w:p>
    <w:p>
      <w:pPr>
        <w:spacing w:after="0" w:line="14" w:lineRule="exact"/>
        <w:rPr>
          <w:rFonts w:ascii="Times New Roman" w:cs="Times New Roman" w:eastAsia="Times New Roman" w:hAnsi="Times New Roman"/>
          <w:sz w:val="22"/>
          <w:szCs w:val="22"/>
          <w:color w:val="auto"/>
        </w:rPr>
      </w:pPr>
    </w:p>
    <w:p>
      <w:pPr>
        <w:jc w:val="both"/>
        <w:ind w:left="1500" w:right="219"/>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The Company shall have delivered the certificate required to be delivered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4(q)</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78" w:lineRule="exact"/>
        <w:rPr>
          <w:rFonts w:ascii="Times New Roman" w:cs="Times New Roman" w:eastAsia="Times New Roman" w:hAnsi="Times New Roman"/>
          <w:sz w:val="22"/>
          <w:szCs w:val="22"/>
          <w:color w:val="auto"/>
        </w:rPr>
      </w:pPr>
    </w:p>
    <w:p>
      <w:pPr>
        <w:jc w:val="both"/>
        <w:ind w:left="1500" w:right="219" w:hanging="643"/>
        <w:spacing w:after="0" w:line="235" w:lineRule="auto"/>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Changes</w:t>
      </w:r>
      <w:r>
        <w:rPr>
          <w:rFonts w:ascii="Times New Roman" w:cs="Times New Roman" w:eastAsia="Times New Roman" w:hAnsi="Times New Roman"/>
          <w:sz w:val="22"/>
          <w:szCs w:val="22"/>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in the rating accorded any securities of the Company or any of its subsidiaries by any “nationally recognized statistical rating organization” as such term is defined for purposes of Section 3(a)(62) of the Exchange Act.</w:t>
      </w:r>
    </w:p>
    <w:p>
      <w:pPr>
        <w:spacing w:after="0" w:line="183" w:lineRule="exact"/>
        <w:rPr>
          <w:rFonts w:ascii="Times New Roman" w:cs="Times New Roman" w:eastAsia="Times New Roman" w:hAnsi="Times New Roman"/>
          <w:sz w:val="22"/>
          <w:szCs w:val="22"/>
          <w:color w:val="auto"/>
        </w:rPr>
      </w:pPr>
    </w:p>
    <w:p>
      <w:pPr>
        <w:jc w:val="both"/>
        <w:ind w:left="1500" w:right="219" w:hanging="643"/>
        <w:spacing w:after="0" w:line="232" w:lineRule="auto"/>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 of Trading in or Delisting of Common Shares; Other Events</w:t>
      </w:r>
      <w:r>
        <w:rPr>
          <w:rFonts w:ascii="Times New Roman" w:cs="Times New Roman" w:eastAsia="Times New Roman" w:hAnsi="Times New Roman"/>
          <w:sz w:val="22"/>
          <w:szCs w:val="22"/>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of federal or New York, authorities; or (iii)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jc w:val="both"/>
        <w:ind w:left="200" w:right="219"/>
        <w:spacing w:after="0" w:line="248" w:lineRule="auto"/>
        <w:rPr>
          <w:sz w:val="20"/>
          <w:szCs w:val="20"/>
          <w:color w:val="auto"/>
        </w:rPr>
      </w:pPr>
      <w:r>
        <w:rPr>
          <w:rFonts w:ascii="Times New Roman" w:cs="Times New Roman" w:eastAsia="Times New Roman" w:hAnsi="Times New Roman"/>
          <w:sz w:val="21"/>
          <w:szCs w:val="21"/>
          <w:u w:val="single" w:color="auto"/>
          <w:color w:val="auto"/>
        </w:rPr>
        <w:t>Documents Required to be Delivered on each Issuance Notice Date</w:t>
      </w:r>
      <w:r>
        <w:rPr>
          <w:rFonts w:ascii="Times New Roman" w:cs="Times New Roman" w:eastAsia="Times New Roman" w:hAnsi="Times New Roman"/>
          <w:sz w:val="21"/>
          <w:szCs w:val="21"/>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71"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The Agent shall not have advised the Company that the Registration Statement, the Prospectus or the Time of Sale Information, or any amendment or supplement thereto, contains an untrue statement of fact that in the Agent’s reasonable opinion, in consultation with counsel, is material, or omits to state a fact that in the Agent’s reasonable opinion, in consultation with counsel, is material and is required to be stated therein or is necessary to make the statements therein not misleading.</w:t>
      </w: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1"/>
          <w:szCs w:val="21"/>
          <w:b w:val="1"/>
          <w:bCs w:val="1"/>
          <w:color w:val="auto"/>
        </w:rPr>
        <w:t>INDEMNIFICATION AND CONTRIBUTION</w:t>
      </w:r>
    </w:p>
    <w:p>
      <w:pPr>
        <w:spacing w:after="0" w:line="222"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u w:val="single" w:color="auto"/>
          <w:color w:val="auto"/>
        </w:rPr>
        <w:t>Indemnification of the Agent</w:t>
      </w:r>
      <w:r>
        <w:rPr>
          <w:rFonts w:ascii="Times New Roman" w:cs="Times New Roman" w:eastAsia="Times New Roman" w:hAnsi="Times New Roman"/>
          <w:sz w:val="21"/>
          <w:szCs w:val="21"/>
          <w:color w:val="auto"/>
        </w:rPr>
        <w:t>. The Company agrees to indemnify and hold harmless the Agent, its officers and employees, and each person, if any, who controls the Agent within the meaning of the Securities Act or the Exchange Act against any loss, claim, damage, liability or reasonable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reasonable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information set forth in the first sentence of the ninth paragraph under the caption “</w:t>
      </w:r>
      <w:r>
        <w:rPr>
          <w:rFonts w:ascii="Times New Roman" w:cs="Times New Roman" w:eastAsia="Times New Roman" w:hAnsi="Times New Roman"/>
          <w:sz w:val="21"/>
          <w:szCs w:val="21"/>
          <w:b w:val="1"/>
          <w:bCs w:val="1"/>
          <w:color w:val="auto"/>
        </w:rPr>
        <w:t>Plan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21"/>
          <w:szCs w:val="21"/>
          <w:b w:val="1"/>
          <w:bCs w:val="1"/>
          <w:color w:val="auto"/>
        </w:rPr>
        <w:t>of Distribution</w:t>
      </w:r>
      <w:r>
        <w:rPr>
          <w:rFonts w:ascii="Times New Roman" w:cs="Times New Roman" w:eastAsia="Times New Roman" w:hAnsi="Times New Roman"/>
          <w:sz w:val="21"/>
          <w:szCs w:val="21"/>
          <w:color w:val="auto"/>
        </w:rPr>
        <w:t>” in the Prospectus (the “</w:t>
      </w:r>
      <w:r>
        <w:rPr>
          <w:rFonts w:ascii="Times New Roman" w:cs="Times New Roman" w:eastAsia="Times New Roman" w:hAnsi="Times New Roman"/>
          <w:sz w:val="21"/>
          <w:szCs w:val="21"/>
          <w:b w:val="1"/>
          <w:bCs w:val="1"/>
          <w:color w:val="auto"/>
        </w:rPr>
        <w:t>Agent Information</w:t>
      </w:r>
      <w:r>
        <w:rPr>
          <w:rFonts w:ascii="Times New Roman" w:cs="Times New Roman" w:eastAsia="Times New Roman" w:hAnsi="Times New Roman"/>
          <w:sz w:val="21"/>
          <w:szCs w:val="21"/>
          <w:color w:val="auto"/>
        </w:rPr>
        <w:t>”). The indemnity agreement set forth</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 this Section‎ 6(a) shall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-29210</wp:posOffset>
            </wp:positionV>
            <wp:extent cx="6667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62"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u w:val="single" w:color="auto"/>
          <w:color w:val="auto"/>
        </w:rPr>
        <w:t>Indemnification of the Company, its Directors and Officers</w:t>
      </w:r>
      <w:r>
        <w:rPr>
          <w:rFonts w:ascii="Times New Roman" w:cs="Times New Roman" w:eastAsia="Times New Roman" w:hAnsi="Times New Roman"/>
          <w:sz w:val="21"/>
          <w:szCs w:val="21"/>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Agent Information, and to reimburse the Company and each such director, officer and controlling person for any and all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6(b)</w:t>
      </w:r>
      <w:r>
        <w:rPr>
          <w:rFonts w:ascii="Times New Roman" w:cs="Times New Roman" w:eastAsia="Times New Roman" w:hAnsi="Times New Roman"/>
          <w:sz w:val="21"/>
          <w:szCs w:val="21"/>
          <w:color w:val="auto"/>
        </w:rPr>
        <w:t xml:space="preserve"> shall be in addition to any liabilities that the Agent may otherwise have.</w:t>
      </w:r>
    </w:p>
    <w:p>
      <w:pPr>
        <w:spacing w:after="0" w:line="202"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22"/>
          <w:szCs w:val="22"/>
          <w:u w:val="single" w:color="auto"/>
          <w:color w:val="auto"/>
        </w:rPr>
        <w:t>Notifications and Other Indemnification Procedures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Promptly after receipt by an indemnified</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party under this Section‎ 6 of notice of the commencement of any action, such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-22860</wp:posOffset>
            </wp:positionV>
            <wp:extent cx="5226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will, if a claim in respect thereof is to be made against an indemnifying party under this ‎Section 6,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-1878330</wp:posOffset>
            </wp:positionV>
            <wp:extent cx="5226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-1261110</wp:posOffset>
            </wp:positionV>
            <wp:extent cx="5143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4" w:name="page85"/>
    <w:bookmarkEnd w:id="84"/>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w:t>
      </w:r>
    </w:p>
    <w:p>
      <w:pPr>
        <w:spacing w:after="0" w:line="4" w:lineRule="exact"/>
        <w:rPr>
          <w:sz w:val="20"/>
          <w:szCs w:val="20"/>
          <w:color w:val="auto"/>
        </w:rPr>
      </w:pPr>
    </w:p>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 xml:space="preserve">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‎Section 6(a) and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reasonable fees and reasonable out-of-pocket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-2033270</wp:posOffset>
            </wp:positionV>
            <wp:extent cx="5397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-953135</wp:posOffset>
            </wp:positionV>
            <wp:extent cx="6667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66750" cy="8890"/>
                    </a:xfrm>
                    <a:prstGeom prst="rect">
                      <a:avLst/>
                    </a:prstGeom>
                    <a:noFill/>
                  </pic:spPr>
                </pic:pic>
              </a:graphicData>
            </a:graphic>
          </wp:anchor>
        </w:drawing>
      </w:r>
    </w:p>
    <w:p>
      <w:pPr>
        <w:spacing w:after="0" w:line="165"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u w:val="single" w:color="auto"/>
          <w:color w:val="auto"/>
        </w:rPr>
        <w:t>Settlements</w:t>
      </w:r>
      <w:r>
        <w:rPr>
          <w:rFonts w:ascii="Times New Roman" w:cs="Times New Roman" w:eastAsia="Times New Roman" w:hAnsi="Times New Roman"/>
          <w:sz w:val="21"/>
          <w:szCs w:val="21"/>
          <w:color w:val="auto"/>
        </w:rPr>
        <w:t xml:space="preserve">.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hereof,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-2647950</wp:posOffset>
            </wp:positionV>
            <wp:extent cx="5143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9"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-649605</wp:posOffset>
            </wp:positionV>
            <wp:extent cx="5314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5" w:name="page86"/>
    <w:bookmarkEnd w:id="85"/>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9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The amount paid or payable by a party as a result of the losses, claims, damages, liabilities and expenses referred to above shall be deemed to include, subject to the limitations set forth in ‎Section 6(c), any legal or other fees or expenses reasonably incurred by such party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-22225</wp:posOffset>
            </wp:positionV>
            <wp:extent cx="6750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 xml:space="preserve">with investigating or defending any action or claim. The provisions set forth in ‎Section 6(c) with respect to notice of commencement of any action shall apply if a claim for contribution is to be made under this ‎Section 6(e);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additional notice shall be required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-330200</wp:posOffset>
            </wp:positionV>
            <wp:extent cx="6750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75005"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-21590</wp:posOffset>
            </wp:positionV>
            <wp:extent cx="6750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jc w:val="both"/>
        <w:ind w:left="200" w:right="219"/>
        <w:spacing w:after="0" w:line="237" w:lineRule="auto"/>
        <w:rPr>
          <w:sz w:val="20"/>
          <w:szCs w:val="20"/>
          <w:color w:val="auto"/>
        </w:rPr>
      </w:pPr>
      <w:r>
        <w:rPr>
          <w:rFonts w:ascii="Times New Roman" w:cs="Times New Roman" w:eastAsia="Times New Roman" w:hAnsi="Times New Roman"/>
          <w:sz w:val="22"/>
          <w:szCs w:val="22"/>
          <w:color w:val="auto"/>
        </w:rPr>
        <w:t>respect to any action for which notice has been given under Section‎ 6(c) for purposes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-186055</wp:posOffset>
            </wp:positionV>
            <wp:extent cx="7092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09295" cy="8255"/>
                    </a:xfrm>
                    <a:prstGeom prst="rect">
                      <a:avLst/>
                    </a:prstGeom>
                    <a:noFill/>
                  </pic:spPr>
                </pic:pic>
              </a:graphicData>
            </a:graphic>
          </wp:anchor>
        </w:drawing>
      </w:r>
    </w:p>
    <w:p>
      <w:pPr>
        <w:spacing w:after="0" w:line="158" w:lineRule="exact"/>
        <w:rPr>
          <w:sz w:val="20"/>
          <w:szCs w:val="20"/>
          <w:color w:val="auto"/>
        </w:rPr>
      </w:pPr>
    </w:p>
    <w:p>
      <w:pPr>
        <w:ind w:left="200" w:right="499" w:firstLine="648"/>
        <w:spacing w:after="0" w:line="239" w:lineRule="auto"/>
        <w:rPr>
          <w:sz w:val="20"/>
          <w:szCs w:val="20"/>
          <w:color w:val="auto"/>
        </w:rPr>
      </w:pPr>
      <w:r>
        <w:rPr>
          <w:rFonts w:ascii="Times New Roman" w:cs="Times New Roman" w:eastAsia="Times New Roman" w:hAnsi="Times New Roman"/>
          <w:sz w:val="22"/>
          <w:szCs w:val="22"/>
          <w:color w:val="auto"/>
        </w:rPr>
        <w:t>The Company and the Agent agree that it would not be just and equitable if contribution pursuant to this ‎Section 6(e) were determined by pro rata allocation or by any other method of allocation which does not take account of the equitable considerations referred to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-339090</wp:posOffset>
            </wp:positionV>
            <wp:extent cx="6667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66750" cy="8890"/>
                    </a:xfrm>
                    <a:prstGeom prst="rect">
                      <a:avLst/>
                    </a:prstGeom>
                    <a:noFill/>
                  </pic:spPr>
                </pic:pic>
              </a:graphicData>
            </a:graphic>
          </wp:anchor>
        </w:drawing>
      </w:r>
    </w:p>
    <w:p>
      <w:pPr>
        <w:spacing w:after="0" w:line="160"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Notwithstanding the provisions of this ‎Section 6(e),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‎Section 6(e),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-1569085</wp:posOffset>
            </wp:positionV>
            <wp:extent cx="692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92150" cy="825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-951865</wp:posOffset>
            </wp:positionV>
            <wp:extent cx="6750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1"/>
          <w:szCs w:val="21"/>
          <w:b w:val="1"/>
          <w:bCs w:val="1"/>
          <w:color w:val="auto"/>
        </w:rPr>
        <w:t>TERMINATION &amp; SURVIVAL</w:t>
      </w:r>
    </w:p>
    <w:p>
      <w:pPr>
        <w:spacing w:after="0" w:line="22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the provisions of this ‎Section 7, the term of this Agreement shall continue from the date of this Agreement until the end of the Agency Period, unless earlier terminated by the parties to this Agreement pursuant to this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-343535</wp:posOffset>
            </wp:positionV>
            <wp:extent cx="5143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-34925</wp:posOffset>
            </wp:positionV>
            <wp:extent cx="5143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6" w:name="page87"/>
    <w:bookmarkEnd w:id="86"/>
    <w:p>
      <w:pPr>
        <w:ind w:left="200"/>
        <w:spacing w:after="0"/>
        <w:rPr>
          <w:sz w:val="20"/>
          <w:szCs w:val="20"/>
          <w:color w:val="auto"/>
        </w:rPr>
      </w:pPr>
      <w:r>
        <w:rPr>
          <w:rFonts w:ascii="Times New Roman" w:cs="Times New Roman" w:eastAsia="Times New Roman" w:hAnsi="Times New Roman"/>
          <w:sz w:val="22"/>
          <w:szCs w:val="22"/>
          <w:u w:val="single" w:color="auto"/>
          <w:color w:val="auto"/>
        </w:rPr>
        <w:t>Termination; Survival Following Termination</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left="1500" w:right="219" w:hanging="319"/>
        <w:spacing w:after="0" w:line="236" w:lineRule="auto"/>
        <w:tabs>
          <w:tab w:leader="none" w:pos="1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w:t>
      </w:r>
    </w:p>
    <w:p>
      <w:pPr>
        <w:ind w:left="15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remain obligated to comply with Section‎ 3(b)(v) with respect to</w:t>
      </w:r>
    </w:p>
    <w:p>
      <w:pPr>
        <w:jc w:val="both"/>
        <w:ind w:left="1500" w:right="21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and (B) Section‎ 2, Section‎ 6, Section‎ 7 and Section‎ 8 shall survive termination of this Agreement. If termination shall occur prior to the Settlement Date for any sale of Shares, such sale shall nevertheless settle in accordance with the terms of this Agreement.</w:t>
      </w:r>
    </w:p>
    <w:p>
      <w:pPr>
        <w:spacing w:after="0" w:line="177" w:lineRule="exact"/>
        <w:rPr>
          <w:rFonts w:ascii="Times New Roman" w:cs="Times New Roman" w:eastAsia="Times New Roman" w:hAnsi="Times New Roman"/>
          <w:sz w:val="22"/>
          <w:szCs w:val="22"/>
          <w:color w:val="auto"/>
        </w:rPr>
      </w:pPr>
    </w:p>
    <w:p>
      <w:pPr>
        <w:jc w:val="both"/>
        <w:ind w:left="1500" w:right="219" w:hanging="319"/>
        <w:spacing w:after="0" w:line="235" w:lineRule="auto"/>
        <w:tabs>
          <w:tab w:leader="none" w:pos="150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survival provision of Section‎ 7(b)(i),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-2020570</wp:posOffset>
            </wp:positionV>
            <wp:extent cx="8597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859790" cy="8890"/>
                    </a:xfrm>
                    <a:prstGeom prst="rect">
                      <a:avLst/>
                    </a:prstGeom>
                    <a:noFill/>
                  </pic:spPr>
                </pic:pic>
              </a:graphicData>
            </a:graphic>
          </wp:anchor>
        </w:drawing>
        <w:drawing>
          <wp:anchor simplePos="0" relativeHeight="251657728" behindDoc="1" locked="0" layoutInCell="0" allowOverlap="1">
            <wp:simplePos x="0" y="0"/>
            <wp:positionH relativeFrom="column">
              <wp:posOffset>2167890</wp:posOffset>
            </wp:positionH>
            <wp:positionV relativeFrom="paragraph">
              <wp:posOffset>-1866265</wp:posOffset>
            </wp:positionV>
            <wp:extent cx="2632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632075" cy="8890"/>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-1111885</wp:posOffset>
            </wp:positionV>
            <wp:extent cx="8121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812165" cy="8890"/>
                    </a:xfrm>
                    <a:prstGeom prst="rect">
                      <a:avLst/>
                    </a:prstGeom>
                    <a:noFill/>
                  </pic:spPr>
                </pic:pic>
              </a:graphicData>
            </a:graphic>
          </wp:anchor>
        </w:drawing>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1"/>
          <w:szCs w:val="21"/>
          <w:b w:val="1"/>
          <w:bCs w:val="1"/>
          <w:color w:val="auto"/>
        </w:rPr>
        <w:t>MISCELLANEOUS</w:t>
      </w:r>
    </w:p>
    <w:p>
      <w:pPr>
        <w:spacing w:after="0" w:line="222"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u w:val="single" w:color="auto"/>
          <w:color w:val="auto"/>
        </w:rPr>
        <w:t>Press Releases and Disclosure</w:t>
      </w:r>
      <w:r>
        <w:rPr>
          <w:rFonts w:ascii="Times New Roman" w:cs="Times New Roman" w:eastAsia="Times New Roman" w:hAnsi="Times New Roman"/>
          <w:sz w:val="21"/>
          <w:szCs w:val="21"/>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 Notwithstanding the foregoing, in no event shall the Company be required to consult with or seek prior consent of the Agent to make (i) any public statements made by the Company (including, without limitation, any statement included in reports filed with the Commission) that are consistent with the statements set forth in the press release and Current Report on Form 8-K described above,</w:t>
      </w:r>
    </w:p>
    <w:p>
      <w:pPr>
        <w:spacing w:after="0" w:line="14" w:lineRule="exact"/>
        <w:rPr>
          <w:sz w:val="20"/>
          <w:szCs w:val="20"/>
          <w:color w:val="auto"/>
        </w:rPr>
      </w:pPr>
    </w:p>
    <w:p>
      <w:pPr>
        <w:jc w:val="both"/>
        <w:ind w:left="200" w:right="219" w:firstLine="9"/>
        <w:spacing w:after="0" w:line="235" w:lineRule="auto"/>
        <w:tabs>
          <w:tab w:leader="none" w:pos="5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public statements that are consistent with statements previously discussed with or consented to by the Agent, or (iii) the public disclosure by the Company of the number of Shares sold pursuant to this Agreement.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7" w:name="page88"/>
    <w:bookmarkEnd w:id="87"/>
    <w:p>
      <w:pPr>
        <w:jc w:val="both"/>
        <w:ind w:left="200" w:right="219"/>
        <w:spacing w:after="0" w:line="245" w:lineRule="auto"/>
        <w:rPr>
          <w:sz w:val="20"/>
          <w:szCs w:val="20"/>
          <w:color w:val="auto"/>
        </w:rPr>
      </w:pPr>
      <w:r>
        <w:rPr>
          <w:rFonts w:ascii="Times New Roman" w:cs="Times New Roman" w:eastAsia="Times New Roman" w:hAnsi="Times New Roman"/>
          <w:sz w:val="21"/>
          <w:szCs w:val="21"/>
          <w:u w:val="single" w:color="auto"/>
          <w:color w:val="auto"/>
        </w:rPr>
        <w:t>No Advisory or Fiduciary Relationship</w:t>
      </w:r>
      <w:r>
        <w:rPr>
          <w:rFonts w:ascii="Times New Roman" w:cs="Times New Roman" w:eastAsia="Times New Roman" w:hAnsi="Times New Roman"/>
          <w:sz w:val="21"/>
          <w:szCs w:val="21"/>
          <w:color w:val="auto"/>
        </w:rPr>
        <w:t>. The Company acknowledges and agrees that (i) the transactions contemplated by this Agreement, including the determination of any fees, are arm’s-length commercial transactions between the Company and the Agent, and do not constitute a recommendation, investment advice, or solicitation of any action by the Agent, (ii) when acting as a principal under this Agreement, the Agent is and has been acting solely as a principal and is not the agent or fiduciary of the Company, or its stockholders, creditors, employees or any other party,</w:t>
      </w:r>
    </w:p>
    <w:p>
      <w:pPr>
        <w:spacing w:after="0" w:line="3" w:lineRule="exact"/>
        <w:rPr>
          <w:sz w:val="20"/>
          <w:szCs w:val="20"/>
          <w:color w:val="auto"/>
        </w:rPr>
      </w:pPr>
    </w:p>
    <w:p>
      <w:pPr>
        <w:jc w:val="both"/>
        <w:ind w:left="200" w:right="219" w:firstLine="9"/>
        <w:spacing w:after="0" w:line="231" w:lineRule="auto"/>
        <w:tabs>
          <w:tab w:leader="none" w:pos="58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(v) the Agent has not provided any legal, accounting, regulatory, financial, investment or tax advice with respect to the transactions contemplated hereby and the Company has consulted its own legal, accounting, regulatory and tax advisors to the extent it deemed appropriate and (vi) none of the activities of the Agent in connection with the transactions contemplated herein constitutes a recommendation, investment advice or solicitation of any action with respect to any entity or natural person.</w:t>
      </w:r>
    </w:p>
    <w:p>
      <w:pPr>
        <w:spacing w:after="0" w:line="186"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u w:val="single" w:color="auto"/>
          <w:color w:val="auto"/>
        </w:rPr>
        <w:t>Research Analyst Independence</w:t>
      </w:r>
      <w:r>
        <w:rPr>
          <w:rFonts w:ascii="Times New Roman" w:cs="Times New Roman" w:eastAsia="Times New Roman" w:hAnsi="Times New Roman"/>
          <w:sz w:val="22"/>
          <w:szCs w:val="22"/>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hereunder shall be in writing and shall be mailed, hand delivered or telecopied and confirmed to the parties hereto as follows: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If to the Agent:</w:t>
      </w:r>
    </w:p>
    <w:p>
      <w:pPr>
        <w:spacing w:after="0" w:line="2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520 Madison Avenue</w:t>
      </w:r>
    </w:p>
    <w:p>
      <w:pPr>
        <w:ind w:left="118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650 Town Center Drive, 20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w:t>
      </w:r>
    </w:p>
    <w:p>
      <w:pPr>
        <w:ind w:left="1180"/>
        <w:spacing w:after="0" w:line="230" w:lineRule="auto"/>
        <w:rPr>
          <w:sz w:val="20"/>
          <w:szCs w:val="20"/>
          <w:color w:val="auto"/>
        </w:rPr>
      </w:pPr>
      <w:r>
        <w:rPr>
          <w:rFonts w:ascii="Times New Roman" w:cs="Times New Roman" w:eastAsia="Times New Roman" w:hAnsi="Times New Roman"/>
          <w:sz w:val="22"/>
          <w:szCs w:val="22"/>
          <w:color w:val="auto"/>
        </w:rPr>
        <w:t>Costa Mesa, California</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Attention: B. Shayne Kennedy.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8" w:name="page89"/>
    <w:bookmarkEnd w:id="88"/>
    <w:p>
      <w:pPr>
        <w:ind w:left="54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Lordstown Motors Corp.</w:t>
      </w:r>
    </w:p>
    <w:p>
      <w:pPr>
        <w:spacing w:after="0" w:line="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2300 Hallock Young Road</w:t>
      </w:r>
    </w:p>
    <w:p>
      <w:pPr>
        <w:ind w:left="1180"/>
        <w:spacing w:after="0" w:line="230" w:lineRule="auto"/>
        <w:rPr>
          <w:sz w:val="20"/>
          <w:szCs w:val="20"/>
          <w:color w:val="auto"/>
        </w:rPr>
      </w:pPr>
      <w:r>
        <w:rPr>
          <w:rFonts w:ascii="Times New Roman" w:cs="Times New Roman" w:eastAsia="Times New Roman" w:hAnsi="Times New Roman"/>
          <w:sz w:val="22"/>
          <w:szCs w:val="22"/>
          <w:color w:val="auto"/>
        </w:rPr>
        <w:t>Lordstown, Ohio 44481</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Attention: Melissa Leonard, EVP and General Counsel.</w:t>
      </w:r>
    </w:p>
    <w:p>
      <w:pPr>
        <w:spacing w:after="0" w:line="2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Baker &amp; Hostetler LLP</w:t>
      </w:r>
    </w:p>
    <w:p>
      <w:pPr>
        <w:spacing w:after="0" w:line="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127 Public Square, Suite 2000</w:t>
      </w:r>
    </w:p>
    <w:p>
      <w:pPr>
        <w:ind w:left="1180"/>
        <w:spacing w:after="0" w:line="230" w:lineRule="auto"/>
        <w:rPr>
          <w:sz w:val="20"/>
          <w:szCs w:val="20"/>
          <w:color w:val="auto"/>
        </w:rPr>
      </w:pPr>
      <w:r>
        <w:rPr>
          <w:rFonts w:ascii="Times New Roman" w:cs="Times New Roman" w:eastAsia="Times New Roman" w:hAnsi="Times New Roman"/>
          <w:sz w:val="22"/>
          <w:szCs w:val="22"/>
          <w:color w:val="auto"/>
        </w:rPr>
        <w:t>Cleveland, Ohio 44114</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Attention: Janet A. Spreen.</w:t>
      </w:r>
    </w:p>
    <w:p>
      <w:pPr>
        <w:spacing w:after="0" w:line="20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Any party hereto may change the address for receipt of communications by giving written notice to the others in accordance with this ‎Section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2006600</wp:posOffset>
            </wp:positionH>
            <wp:positionV relativeFrom="paragraph">
              <wp:posOffset>-44450</wp:posOffset>
            </wp:positionV>
            <wp:extent cx="6743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38"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inure to the benefit of and be binding upon the parties hereto, and to the benefit of the employees, officers and directors and controlling persons referred to in ‎Section 6, and in each case their respective successors, and no other person will have any right or obligation hereunder. The term “successors” shall not include any purchaser of the Shares as such from the Agent merely by reason of such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-340995</wp:posOffset>
            </wp:positionV>
            <wp:extent cx="5143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57"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Partial Unenforceability</w:t>
      </w:r>
      <w:r>
        <w:rPr>
          <w:rFonts w:ascii="Times New Roman" w:cs="Times New Roman" w:eastAsia="Times New Roman" w:hAnsi="Times New Roman"/>
          <w:sz w:val="22"/>
          <w:szCs w:val="22"/>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1"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u w:val="single" w:color="auto"/>
          <w:color w:val="auto"/>
        </w:rPr>
        <w:t>Governing Law Provisions</w:t>
      </w:r>
      <w:r>
        <w:rPr>
          <w:rFonts w:ascii="Times New Roman" w:cs="Times New Roman" w:eastAsia="Times New Roman" w:hAnsi="Times New Roman"/>
          <w:sz w:val="22"/>
          <w:szCs w:val="22"/>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9" w:name="page90"/>
    <w:bookmarkEnd w:id="89"/>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mail (including any electronic signature covered by the U.S. federal ESIGN Act of 2000, Uniform Electronic Transactions Act, the Electronic Signatures and Records Act or other applicable law, e.g., www.docusign.com) or other transmission method.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Immediately Follows]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0" w:name="page91"/>
    <w:bookmarkEnd w:id="90"/>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LORDSTOWN MOTORS CORP.</w:t>
      </w:r>
    </w:p>
    <w:p>
      <w:pPr>
        <w:spacing w:after="0" w:line="200" w:lineRule="exact"/>
        <w:rPr>
          <w:sz w:val="20"/>
          <w:szCs w:val="20"/>
          <w:color w:val="auto"/>
        </w:rPr>
      </w:pPr>
    </w:p>
    <w:p>
      <w:pPr>
        <w:spacing w:after="0" w:line="28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 /s/ 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-13970</wp:posOffset>
            </wp:positionV>
            <wp:extent cx="22117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22"/>
          <w:szCs w:val="22"/>
          <w:color w:val="auto"/>
        </w:rPr>
        <w:t>Name: Adam Kroll</w:t>
      </w:r>
    </w:p>
    <w:p>
      <w:pPr>
        <w:ind w:left="5140"/>
        <w:spacing w:after="0"/>
        <w:tabs>
          <w:tab w:leader="none" w:pos="60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right="579" w:firstLine="648"/>
        <w:spacing w:after="0" w:line="258" w:lineRule="auto"/>
        <w:rPr>
          <w:sz w:val="20"/>
          <w:szCs w:val="20"/>
          <w:color w:val="auto"/>
        </w:rPr>
      </w:pPr>
      <w:r>
        <w:rPr>
          <w:rFonts w:ascii="Times New Roman" w:cs="Times New Roman" w:eastAsia="Times New Roman" w:hAnsi="Times New Roman"/>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JEFFERIES LLC</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Sean Costello​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-13335</wp:posOffset>
            </wp:positionV>
            <wp:extent cx="458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458470" cy="8255"/>
                    </a:xfrm>
                    <a:prstGeom prst="rect">
                      <a:avLst/>
                    </a:prstGeom>
                    <a:noFill/>
                  </pic:spPr>
                </pic:pic>
              </a:graphicData>
            </a:graphic>
          </wp:anchor>
        </w:drawing>
      </w:r>
    </w:p>
    <w:p>
      <w:pPr>
        <w:ind w:left="700"/>
        <w:spacing w:after="0"/>
        <w:tabs>
          <w:tab w:leader="none" w:pos="14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Sean Costello</w:t>
      </w:r>
    </w:p>
    <w:p>
      <w:pPr>
        <w:ind w:left="700"/>
        <w:spacing w:after="0"/>
        <w:tabs>
          <w:tab w:leader="none" w:pos="1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ISSUANCE NOTICE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520 Madison Avenue</w:t>
      </w:r>
    </w:p>
    <w:p>
      <w:pPr>
        <w:ind w:left="20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Attn: [__________]</w:t>
      </w:r>
    </w:p>
    <w:p>
      <w:pPr>
        <w:spacing w:after="0" w:line="233"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Reference is made to the Open Market Sale Agreement between Lordstown Motors Corp.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Jefferies LLC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dated as of November 7, 2022. The Company confirms that all conditions to the delivery of this Issuance Notice are satisfied as of the date hereof.</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Date of Delivery of Issuance Notice (determined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-13970</wp:posOffset>
            </wp:positionV>
            <wp:extent cx="8032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03275" cy="889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Issuance Amount (equal to the total amount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276860</wp:posOffset>
            </wp:positionV>
            <wp:extent cx="16446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-13970</wp:posOffset>
            </wp:positionV>
            <wp:extent cx="16440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1644015" cy="8890"/>
                    </a:xfrm>
                    <a:prstGeom prst="rect">
                      <a:avLst/>
                    </a:prstGeom>
                    <a:noFill/>
                  </pic:spPr>
                </pic:pic>
              </a:graphicData>
            </a:graphic>
          </wp:anchor>
        </w:drawing>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-13970</wp:posOffset>
            </wp:positionV>
            <wp:extent cx="1644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-13970</wp:posOffset>
            </wp:positionV>
            <wp:extent cx="1644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1644015" cy="8890"/>
                    </a:xfrm>
                    <a:prstGeom prst="rect">
                      <a:avLst/>
                    </a:prstGeom>
                    <a:noFill/>
                  </pic:spPr>
                </pic:pic>
              </a:graphicData>
            </a:graphic>
          </wp:anchor>
        </w:drawing>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276860</wp:posOffset>
            </wp:positionV>
            <wp:extent cx="16446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1644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Floor Price Limitation (in no event less than $1.00 without the prior written consent of the Agent, which consent may be withheld in the Agent’s sole discretion): $ ____ per share</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wp:posOffset>
            </wp:positionV>
            <wp:extent cx="46786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4678680" cy="8255"/>
                    </a:xfrm>
                    <a:prstGeom prst="rect">
                      <a:avLst/>
                    </a:prstGeom>
                    <a:noFill/>
                  </pic:spPr>
                </pic:pic>
              </a:graphicData>
            </a:graphic>
          </wp:anchor>
        </w:drawing>
      </w:r>
    </w:p>
    <w:p>
      <w:pPr>
        <w:spacing w:after="0" w:line="18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00" w:lineRule="exact"/>
        <w:rPr>
          <w:sz w:val="20"/>
          <w:szCs w:val="20"/>
          <w:color w:val="auto"/>
        </w:rPr>
      </w:pPr>
    </w:p>
    <w:p>
      <w:pPr>
        <w:spacing w:after="0" w:line="27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-13970</wp:posOffset>
            </wp:positionV>
            <wp:extent cx="22098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209800" cy="825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22"/>
          <w:szCs w:val="22"/>
          <w:color w:val="auto"/>
        </w:rPr>
        <w:t>Name:</w:t>
      </w:r>
    </w:p>
    <w:p>
      <w:pPr>
        <w:ind w:left="51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Parties</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The Company</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Adam Kroll, adam.kroll@lordstownmotors.com</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Melissa Leonard, melissa.leonard@lordstownmotors.com</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The Agent</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Sean Costello, scostello@jefferies.com</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Donald Lynaugh, dlynaugh@jefferies.com</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Justin Smolkin, jsmolkin@jefferies.com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588010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93" w:name="page94"/>
    <w:bookmarkEnd w:id="9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Edward Hightower, certify that:</w:t>
      </w:r>
    </w:p>
    <w:p>
      <w:pPr>
        <w:spacing w:after="0" w:line="117" w:lineRule="exact"/>
        <w:rPr>
          <w:sz w:val="20"/>
          <w:szCs w:val="20"/>
          <w:color w:val="auto"/>
        </w:rPr>
      </w:pPr>
    </w:p>
    <w:p>
      <w:pPr>
        <w:ind w:left="700" w:hanging="65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58" w:lineRule="auto"/>
        <w:tabs>
          <w:tab w:leader="none" w:pos="6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13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68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40"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u w:val="single" w:color="auto"/>
          <w:color w:val="auto"/>
        </w:rPr>
        <w:t>/s/ Edward T. Hightower</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Edward T. Hightower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4" w:name="page95"/>
    <w:bookmarkEnd w:id="9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Adam Kroll, certify that:</w:t>
      </w:r>
    </w:p>
    <w:p>
      <w:pPr>
        <w:spacing w:after="0" w:line="117" w:lineRule="exact"/>
        <w:rPr>
          <w:sz w:val="20"/>
          <w:szCs w:val="20"/>
          <w:color w:val="auto"/>
        </w:rPr>
      </w:pPr>
    </w:p>
    <w:p>
      <w:pPr>
        <w:ind w:left="700" w:hanging="656"/>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58" w:lineRule="auto"/>
        <w:tabs>
          <w:tab w:leader="none" w:pos="6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13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68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117" w:lineRule="exact"/>
        <w:rPr>
          <w:sz w:val="20"/>
          <w:szCs w:val="20"/>
          <w:color w:val="auto"/>
        </w:rPr>
      </w:pPr>
    </w:p>
    <w:p>
      <w:pPr>
        <w:ind w:left="4580"/>
        <w:spacing w:after="0"/>
        <w:tabs>
          <w:tab w:leader="none" w:pos="5860" w:val="left"/>
        </w:tabs>
        <w:rPr>
          <w:sz w:val="20"/>
          <w:szCs w:val="20"/>
          <w:color w:val="auto"/>
        </w:rPr>
      </w:pPr>
      <w:r>
        <w:rPr>
          <w:rFonts w:ascii="Times New Roman" w:cs="Times New Roman" w:eastAsia="Times New Roman" w:hAnsi="Times New Roman"/>
          <w:sz w:val="18"/>
          <w:szCs w:val="18"/>
          <w:color w:val="auto"/>
        </w:rPr>
        <w:t>/s/ Adam Kroll</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-7620</wp:posOffset>
            </wp:positionV>
            <wp:extent cx="4076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407670" cy="8890"/>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Adam Kroll</w:t>
      </w: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Lordstown Motors Corp. (the “Company”) on Form 10-Q for the period ended September 30, 2022, as filed with the Securities and Exchange Commission on the date hereof (the “Report”), I, Edward Hightower, Chief Executive Officer and President of the Company, certify,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2022</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-7620</wp:posOffset>
            </wp:positionV>
            <wp:extent cx="7213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2136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Edward T. Hightower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Lordstown Motors Corp. (the “Company”) on Form 10-Q for the period ended September 30, 2022, as filed with the Securities and Exchange Commission on the date hereof (the “Report”), I, Adam Kroll, Chief Financial Officer of the Company, certify,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2022</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-7620</wp:posOffset>
            </wp:positionV>
            <wp:extent cx="9791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97917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Adam Kroll</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bullet"/>
      <w:start w:val="1"/>
    </w:lvl>
  </w:abstractNum>
  <w:abstractNum w:abstractNumId="5">
    <w:nsid w:val="62BBD95A"/>
    <w:multiLevelType w:val="hybridMultilevel"/>
    <w:lvl w:ilvl="0">
      <w:lvlJc w:val="left"/>
      <w:lvlText w:val="(%1)"/>
      <w:numFmt w:val="lowerRoman"/>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4"/>
    </w:lvl>
  </w:abstractNum>
  <w:abstractNum w:abstractNumId="17">
    <w:nsid w:val="B03E0C6"/>
    <w:multiLevelType w:val="hybridMultilevel"/>
    <w:lvl w:ilvl="0">
      <w:lvlJc w:val="left"/>
      <w:lvlText w:val="(%1)"/>
      <w:numFmt w:val="lowerRoman"/>
      <w:start w:val="2"/>
    </w:lvl>
  </w:abstractNum>
  <w:abstractNum w:abstractNumId="18">
    <w:nsid w:val="189A769B"/>
    <w:multiLevelType w:val="hybridMultilevel"/>
    <w:lvl w:ilvl="0">
      <w:lvlJc w:val="left"/>
      <w:lvlText w:val="(%1)"/>
      <w:numFmt w:val="lowerRoman"/>
      <w:start w:val="1"/>
    </w:lvl>
  </w:abstractNum>
  <w:abstractNum w:abstractNumId="19">
    <w:nsid w:val="54E49EB4"/>
    <w:multiLevelType w:val="hybridMultilevel"/>
    <w:lvl w:ilvl="0">
      <w:lvlJc w:val="left"/>
      <w:lvlText w:val="%1"/>
      <w:numFmt w:val="decimal"/>
      <w:start w:val="1"/>
    </w:lvl>
    <w:lvl w:ilvl="1">
      <w:lvlJc w:val="left"/>
      <w:lvlText w:val="(%2)"/>
      <w:numFmt w:val="lowerRoman"/>
      <w:start w:val="1"/>
    </w:lvl>
  </w:abstractNum>
  <w:abstractNum w:abstractNumId="20">
    <w:nsid w:val="71F32454"/>
    <w:multiLevelType w:val="hybridMultilevel"/>
    <w:lvl w:ilvl="0">
      <w:lvlJc w:val="left"/>
      <w:lvlText w:val="(%1)"/>
      <w:numFmt w:val="decimal"/>
      <w:start w:val="4"/>
    </w:lvl>
    <w:lvl w:ilvl="1">
      <w:lvlJc w:val="left"/>
      <w:lvlText w:val="(%2)"/>
      <w:numFmt w:val="lowerRoman"/>
      <w:start w:val="4"/>
    </w:lvl>
  </w:abstractNum>
  <w:abstractNum w:abstractNumId="21">
    <w:nsid w:val="2CA88611"/>
    <w:multiLevelType w:val="hybridMultilevel"/>
    <w:lvl w:ilvl="0">
      <w:lvlJc w:val="left"/>
      <w:lvlText w:val="%1"/>
      <w:numFmt w:val="upperLetter"/>
      <w:start w:val="1"/>
    </w:lvl>
    <w:lvl w:ilvl="1">
      <w:lvlJc w:val="left"/>
      <w:lvlText w:val="(%2)"/>
      <w:numFmt w:val="lowerRoman"/>
      <w:start w:val="5"/>
    </w:lvl>
  </w:abstractNum>
  <w:abstractNum w:abstractNumId="22">
    <w:nsid w:val="836C40E"/>
    <w:multiLevelType w:val="hybridMultilevel"/>
    <w:lvl w:ilvl="0">
      <w:lvlJc w:val="left"/>
      <w:lvlText w:val="(%1)"/>
      <w:numFmt w:val="upperLetter"/>
      <w:start w:val="3"/>
    </w:lvl>
    <w:lvl w:ilvl="1">
      <w:lvlJc w:val="left"/>
      <w:lvlText w:val="(%2)"/>
      <w:numFmt w:val="lowerRoman"/>
      <w:start w:val="8"/>
    </w:lvl>
  </w:abstractNum>
  <w:abstractNum w:abstractNumId="23">
    <w:nsid w:val="2901D82"/>
    <w:multiLevelType w:val="hybridMultilevel"/>
    <w:lvl w:ilvl="0">
      <w:lvlJc w:val="left"/>
      <w:lvlText w:val="(%1)"/>
      <w:numFmt w:val="upperLetter"/>
      <w:start w:val="1"/>
    </w:lvl>
  </w:abstractNum>
  <w:abstractNum w:abstractNumId="24">
    <w:nsid w:val="3A95F874"/>
    <w:multiLevelType w:val="hybridMultilevel"/>
    <w:lvl w:ilvl="0">
      <w:lvlJc w:val="left"/>
      <w:lvlText w:val="(%1)"/>
      <w:numFmt w:val="upperLetter"/>
      <w:start w:val="1"/>
    </w:lvl>
  </w:abstractNum>
  <w:abstractNum w:abstractNumId="25">
    <w:nsid w:val="8138641"/>
    <w:multiLevelType w:val="hybridMultilevel"/>
    <w:lvl w:ilvl="0">
      <w:lvlJc w:val="left"/>
      <w:lvlText w:val="(%1)"/>
      <w:numFmt w:val="lowerLetter"/>
      <w:start w:val="18"/>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lowerRoman"/>
      <w:start w:val="2"/>
    </w:lvl>
  </w:abstractNum>
  <w:abstractNum w:abstractNumId="29">
    <w:nsid w:val="6CEAF087"/>
    <w:multiLevelType w:val="hybridMultilevel"/>
    <w:lvl w:ilvl="0">
      <w:lvlJc w:val="left"/>
      <w:lvlText w:val="(%1)"/>
      <w:numFmt w:val="lowerRoman"/>
      <w:start w:val="3"/>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jpeg"/><Relationship Id="rId69" Type="http://schemas.openxmlformats.org/officeDocument/2006/relationships/image" Target="media/image59.jpe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63" Type="http://schemas.openxmlformats.org/officeDocument/2006/relationships/hyperlink" Target="https://www.sec.gov/Archives/edgar/data/1759546/000110465922115456/tm2229871d1_ex3-1.htm" TargetMode="External"/><Relationship Id="rId64" Type="http://schemas.openxmlformats.org/officeDocument/2006/relationships/hyperlink" Target="https://www.sec.gov/Archives/edgar/data/1759546/000110465922115456/tm2229871d1_ex10-1.htm" TargetMode="External"/><Relationship Id="rId65" Type="http://schemas.openxmlformats.org/officeDocument/2006/relationships/hyperlink" Target="https://www.sec.gov/Archives/edgar/data/1759546/000110465922115456/tm2229871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2022-11-07T17:14:49Z</dcterms:created>
  <dcterms:modified xsi:type="dcterms:W3CDTF">2022-11-07T17:14:49Z</dcterms:modified>
</cp:coreProperties>
</file>