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10-q.htm"/>
      <w:bookmarkStart w:id="1" w:name="ksform10q"/>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50101__20"/>
      <w:bookmarkEnd w:id="2"/>
      <w:r>
        <w:rPr>
          <w:rFonts w:ascii="Times New Roman;Times;Serif" w:hAnsi="Times New Roman;Times;Serif"/>
          <w:b/>
          <w:i w:val="false"/>
          <w:caps w:val="false"/>
          <w:smallCaps w:val="false"/>
          <w:sz w:val="36"/>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283"/>
              <w:jc w:val="left"/>
              <w:rPr>
                <w:caps w:val="false"/>
                <w:smallCaps w:val="false"/>
              </w:rPr>
            </w:pPr>
            <w:bookmarkStart w:id="3" w:name="xdx_90C_edei--DocumentQuarterlyReport_c2"/>
            <w:bookmarkEnd w:id="3"/>
            <w:r>
              <w:rPr>
                <w:caps w:val="false"/>
                <w:smallCaps w:val="false"/>
              </w:rPr>
              <w:t>☒</w:t>
            </w:r>
          </w:p>
        </w:tc>
        <w:tc>
          <w:tcPr>
            <w:tcW w:w="98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QUARTERLY REPORT PURSUANT TO SECTION 13 OR 15(d) OF THE SECURITIES EXCHANGE ACT OF 1934</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89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quarterly period ended </w:t>
            </w:r>
            <w:bookmarkStart w:id="4" w:name="xdx_901_edei--DocumentPeriodEndDate_c202"/>
            <w:bookmarkEnd w:id="4"/>
            <w:r>
              <w:rPr>
                <w:rFonts w:ascii="Times New Roman;Times;Serif" w:hAnsi="Times New Roman;Times;Serif"/>
                <w:b/>
                <w:i w:val="false"/>
                <w:caps w:val="false"/>
                <w:smallCaps w:val="false"/>
                <w:sz w:val="20"/>
              </w:rPr>
              <w:t xml:space="preserve">March 31, </w:t>
            </w:r>
            <w:bookmarkStart w:id="5" w:name="xdx_903_edei--DocumentFiscalYearFocus_c2"/>
            <w:bookmarkEnd w:id="5"/>
            <w:r>
              <w:rPr>
                <w:rFonts w:ascii="Times New Roman;Times;Serif" w:hAnsi="Times New Roman;Times;Serif"/>
                <w:b/>
                <w:i w:val="false"/>
                <w:caps w:val="false"/>
                <w:smallCaps w:val="false"/>
                <w:sz w:val="20"/>
              </w:rPr>
              <w:t>2025</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jc w:val="center"/>
        <w:rPr>
          <w:caps w:val="false"/>
          <w:smallCaps w:val="false"/>
        </w:rPr>
      </w:pPr>
      <w:r>
        <w:rPr>
          <w:caps w:val="false"/>
          <w:smallCaps w:val="false"/>
        </w:rPr>
        <w:t> </w:t>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283"/>
              <w:jc w:val="left"/>
              <w:rPr/>
            </w:pPr>
            <w:bookmarkStart w:id="6" w:name="xdx_908_edei--DocumentTransitionReport_c"/>
            <w:bookmarkEnd w:id="6"/>
            <w:r>
              <w:rPr/>
              <w:t>☐</w:t>
            </w:r>
          </w:p>
        </w:tc>
        <w:tc>
          <w:tcPr>
            <w:tcW w:w="9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245"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For the transition period from to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7" w:name="xdx_90C_edei--EntityFileNumber_c20250101"/>
      <w:bookmarkEnd w:id="7"/>
      <w:r>
        <w:rPr>
          <w:rFonts w:ascii="Times New Roman;Times;Serif" w:hAnsi="Times New Roman;Times;Serif"/>
          <w:b/>
          <w:i w:val="false"/>
          <w:caps w:val="false"/>
          <w:smallCaps w:val="false"/>
          <w:sz w:val="20"/>
        </w:rPr>
        <w:t>001-38821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8" w:name="xdx_90F_edei--EntityRegistrantName_c2025"/>
      <w:bookmarkEnd w:id="8"/>
      <w:r>
        <w:rPr>
          <w:rFonts w:ascii="Times New Roman;Times;Serif" w:hAnsi="Times New Roman;Times;Serif"/>
          <w:b/>
          <w:i w:val="false"/>
          <w:caps w:val="false"/>
          <w:smallCaps w:val="false"/>
          <w:sz w:val="36"/>
        </w:rPr>
        <w:t>NU RIDE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2720"/>
        <w:gridCol w:w="60"/>
        <w:gridCol w:w="1565"/>
      </w:tblGrid>
      <w:tr>
        <w:trPr/>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D_edei--EntityIncorporationStateCo"/>
            <w:bookmarkEnd w:id="9"/>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B_edei--EntityTaxIdentificationNum"/>
            <w:bookmarkEnd w:id="10"/>
            <w:r>
              <w:rPr>
                <w:rFonts w:ascii="Times New Roman;Times;Serif" w:hAnsi="Times New Roman;Times;Serif"/>
                <w:b/>
                <w:i w:val="false"/>
                <w:caps w:val="false"/>
                <w:smallCaps w:val="false"/>
                <w:sz w:val="20"/>
              </w:rPr>
              <w:t>83-2533239</w:t>
            </w:r>
          </w:p>
        </w:tc>
      </w:tr>
      <w:tr>
        <w:trPr/>
        <w:tc>
          <w:tcPr>
            <w:tcW w:w="272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9_edei--EntityAddressAddressLine1_"/>
      <w:bookmarkEnd w:id="11"/>
      <w:r>
        <w:rPr>
          <w:rFonts w:ascii="Times New Roman;Times;Serif" w:hAnsi="Times New Roman;Times;Serif"/>
          <w:b/>
          <w:i w:val="false"/>
          <w:caps w:val="false"/>
          <w:smallCaps w:val="false"/>
          <w:sz w:val="20"/>
        </w:rPr>
        <w:t>1700 Broadway, 19th Floor</w:t>
        <w:br/>
      </w:r>
      <w:bookmarkStart w:id="12" w:name="xdx_90D_edei--EntityAddressCityOrTown_c2"/>
      <w:bookmarkEnd w:id="12"/>
      <w:r>
        <w:rPr>
          <w:rFonts w:ascii="Times New Roman;Times;Serif" w:hAnsi="Times New Roman;Times;Serif"/>
          <w:b/>
          <w:i w:val="false"/>
          <w:caps w:val="false"/>
          <w:smallCaps w:val="false"/>
          <w:sz w:val="20"/>
        </w:rPr>
        <w:t xml:space="preserve">New York, </w:t>
      </w:r>
      <w:bookmarkStart w:id="13" w:name="xdx_90A_edei--EntityAddressStateOrProvin"/>
      <w:bookmarkEnd w:id="13"/>
      <w:r>
        <w:rPr>
          <w:rFonts w:ascii="Times New Roman;Times;Serif" w:hAnsi="Times New Roman;Times;Serif"/>
          <w:b/>
          <w:i w:val="false"/>
          <w:caps w:val="false"/>
          <w:smallCaps w:val="false"/>
          <w:sz w:val="20"/>
        </w:rPr>
        <w:t xml:space="preserve">New York </w:t>
      </w:r>
      <w:bookmarkStart w:id="14" w:name="xdx_906_edei--EntityAddressPostalZipCode"/>
      <w:bookmarkEnd w:id="14"/>
      <w:r>
        <w:rPr>
          <w:rFonts w:ascii="Times New Roman;Times;Serif" w:hAnsi="Times New Roman;Times;Serif"/>
          <w:b/>
          <w:i w:val="false"/>
          <w:caps w:val="false"/>
          <w:smallCaps w:val="false"/>
          <w:sz w:val="20"/>
        </w:rPr>
        <w:t>10019</w:t>
        <w:b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5" w:name="xdx_905_edei--CityAreaCode_c20250101__20"/>
      <w:bookmarkEnd w:id="15"/>
      <w:r>
        <w:rPr>
          <w:rFonts w:ascii="Times New Roman;Times;Serif" w:hAnsi="Times New Roman;Times;Serif"/>
          <w:b/>
          <w:i w:val="false"/>
          <w:caps w:val="false"/>
          <w:smallCaps w:val="false"/>
          <w:sz w:val="20"/>
        </w:rPr>
        <w:t xml:space="preserve">(212) </w:t>
      </w:r>
      <w:bookmarkStart w:id="16" w:name="xdx_900_edei--LocalPhoneNumber_c20250101"/>
      <w:bookmarkEnd w:id="16"/>
      <w:r>
        <w:rPr>
          <w:rFonts w:ascii="Times New Roman;Times;Serif" w:hAnsi="Times New Roman;Times;Serif"/>
          <w:b/>
          <w:i w:val="false"/>
          <w:caps w:val="false"/>
          <w:smallCaps w:val="false"/>
          <w:sz w:val="20"/>
        </w:rPr>
        <w:t>202-2200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12(g) of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Common Stock, par value $0.0001 per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17" w:name="xdx_901_edei--EntityCurrentReportingStat"/>
      <w:bookmarkEnd w:id="17"/>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bookmarkStart w:id="18" w:name="xdx_904_edei--EntityInteractiveDataCurre"/>
      <w:bookmarkEnd w:id="18"/>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6870" w:type="dxa"/>
        <w:jc w:val="left"/>
        <w:tblInd w:w="0" w:type="dxa"/>
        <w:tblLayout w:type="fixed"/>
        <w:tblCellMar>
          <w:top w:w="0" w:type="dxa"/>
          <w:left w:w="0" w:type="dxa"/>
          <w:bottom w:w="0" w:type="dxa"/>
          <w:right w:w="0" w:type="dxa"/>
        </w:tblCellMar>
      </w:tblPr>
      <w:tblGrid>
        <w:gridCol w:w="2465"/>
        <w:gridCol w:w="2450"/>
        <w:gridCol w:w="1955"/>
      </w:tblGrid>
      <w:tr>
        <w:trPr/>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19" w:name="xdx_90F_edei--EntityFilerCategory_c20250"/>
            <w:bookmarkEnd w:id="19"/>
            <w:r>
              <w:rPr>
                <w:rFonts w:ascii="Times New Roman;Times;Serif" w:hAnsi="Times New Roman;Times;Serif"/>
                <w:b w:val="false"/>
                <w:i w:val="false"/>
                <w:caps w:val="false"/>
                <w:smallCaps w:val="false"/>
                <w:sz w:val="20"/>
              </w:rPr>
              <w:t>Non-accelerated filer ☒</w:t>
            </w:r>
          </w:p>
        </w:tc>
      </w:tr>
      <w:tr>
        <w:trPr/>
        <w:tc>
          <w:tcPr>
            <w:tcW w:w="24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Smaller reporting company </w:t>
            </w:r>
            <w:bookmarkStart w:id="20" w:name="xdx_908_edei--EntitySmallBusiness_c20250"/>
            <w:bookmarkEnd w:id="20"/>
            <w:r>
              <w:rPr>
                <w:rFonts w:ascii="Times New Roman;Times;Serif" w:hAnsi="Times New Roman;Times;Serif"/>
                <w:b w:val="false"/>
                <w:i w:val="false"/>
                <w:caps w:val="false"/>
                <w:smallCaps w:val="false"/>
                <w:sz w:val="20"/>
              </w:rPr>
              <w:t>☒</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9_edei--EntityEmergingGrowthCompan"/>
            <w:bookmarkEnd w:id="21"/>
            <w:r>
              <w:rPr>
                <w:rFonts w:ascii="Times New Roman;Times;Serif" w:hAnsi="Times New Roman;Times;Serif"/>
                <w:b w:val="false"/>
                <w:i w:val="false"/>
                <w:caps w:val="false"/>
                <w:smallCaps w:val="false"/>
                <w:sz w:val="20"/>
              </w:rPr>
              <w:t>☐</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Exchange Act). Yes </w:t>
      </w:r>
      <w:bookmarkStart w:id="22" w:name="xdx_901_edei--EntityShellCompany_dbT_c20"/>
      <w:bookmarkEnd w:id="22"/>
      <w:r>
        <w:rPr>
          <w:rFonts w:ascii="Times New Roman;Times;Serif" w:hAnsi="Times New Roman;Times;Serif"/>
          <w:b w:val="false"/>
          <w:i w:val="false"/>
          <w:caps w:val="false"/>
          <w:smallCaps w:val="false"/>
          <w:sz w:val="20"/>
        </w:rPr>
        <w:t>☒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all documents and reports required to be filed by Section 12, 13 or 15(d) of the Securities Exchange Act of 1934 subsequent to the distribution of securities under a plan confirmed by a court. </w:t>
      </w:r>
      <w:bookmarkStart w:id="23" w:name="xdx_900_edei--EntityBankruptcyProceeding"/>
      <w:bookmarkEnd w:id="23"/>
      <w:r>
        <w:rPr>
          <w:rFonts w:ascii="Times New Roman;Times;Serif" w:hAnsi="Times New Roman;Times;Serif"/>
          <w:b w:val="false"/>
          <w:i w:val="false"/>
          <w:caps w:val="false"/>
          <w:smallCaps w:val="false"/>
          <w:sz w:val="20"/>
        </w:rPr>
        <w:t>Yes ☒ No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May 7, 2025, there were </w:t>
      </w:r>
      <w:bookmarkStart w:id="24" w:name="xdx_908_edei--EntityCommonStockSharesOut"/>
      <w:bookmarkEnd w:id="24"/>
      <w:r>
        <w:rPr>
          <w:rFonts w:ascii="Times New Roman;Times;Serif" w:hAnsi="Times New Roman;Times;Serif"/>
          <w:b w:val="false"/>
          <w:i w:val="false"/>
          <w:caps w:val="false"/>
          <w:smallCaps w:val="false"/>
          <w:sz w:val="20"/>
        </w:rPr>
        <w:t>16,096,296 shares of the registrant’s Class A common stock were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Class A common stock began trading exclusively on the over-the-counter market on July 7, 2023 under the symbol “RIDEQ”. On March 14, 2024, upon the Registrant’s emergence from Chapter 11 bankruptcy proceedings, the ticker symbol changed to “NRDE”.</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2"/>
        <w:gridCol w:w="9057"/>
        <w:gridCol w:w="456"/>
      </w:tblGrid>
      <w:tr>
        <w:trPr/>
        <w:tc>
          <w:tcPr>
            <w:tcW w:w="692" w:type="dxa"/>
            <w:tcBorders/>
            <w:vAlign w:val="center"/>
          </w:tcPr>
          <w:p>
            <w:pPr>
              <w:pStyle w:val="TableContents"/>
              <w:bidi w:val="0"/>
              <w:spacing w:before="0" w:after="283"/>
              <w:jc w:val="left"/>
              <w:rPr>
                <w:caps w:val="false"/>
                <w:smallCaps w:val="false"/>
              </w:rPr>
            </w:pPr>
            <w:r>
              <w:rPr>
                <w:caps w:val="false"/>
                <w:smallCaps w:val="false"/>
              </w:rPr>
              <w:t> </w:t>
            </w:r>
          </w:p>
        </w:tc>
        <w:tc>
          <w:tcPr>
            <w:tcW w:w="9057"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6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w:t>
            </w:r>
          </w:p>
        </w:tc>
        <w:tc>
          <w:tcPr>
            <w:tcW w:w="9057"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b w:val="false"/>
                  <w:i w:val="false"/>
                  <w:caps w:val="false"/>
                  <w:smallCaps w:val="false"/>
                  <w:sz w:val="20"/>
                </w:rPr>
                <w:t>FINANCIAL INFORMATION</w:t>
              </w:r>
            </w:hyperlink>
          </w:p>
        </w:tc>
        <w:tc>
          <w:tcPr>
            <w:tcW w:w="4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057"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b w:val="false"/>
                  <w:i w:val="false"/>
                  <w:caps w:val="false"/>
                  <w:smallCaps w:val="false"/>
                  <w:sz w:val="20"/>
                </w:rPr>
                <w:t>Financial Statements (Unaudited)</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7" w:type="dxa"/>
            <w:tcBorders/>
            <w:shd w:fill="FFFFFF" w:val="clear"/>
            <w:vAlign w:val="center"/>
          </w:tcPr>
          <w:p>
            <w:pPr>
              <w:pStyle w:val="TableContents"/>
              <w:bidi w:val="0"/>
              <w:spacing w:before="0" w:after="283"/>
              <w:jc w:val="left"/>
              <w:rPr/>
            </w:pPr>
            <w:hyperlink w:anchor="a_003">
              <w:r>
                <w:rPr>
                  <w:rStyle w:val="InternetLink"/>
                  <w:rFonts w:ascii="Times New Roman;Times;Serif" w:hAnsi="Times New Roman;Times;Serif"/>
                  <w:b w:val="false"/>
                  <w:i w:val="false"/>
                  <w:caps w:val="false"/>
                  <w:smallCaps w:val="false"/>
                  <w:sz w:val="20"/>
                </w:rPr>
                <w:t>Condensed Consolidated Balance Sheets as of March 31, 2025 and December 31, 2024</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7"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b w:val="false"/>
                  <w:i w:val="false"/>
                  <w:caps w:val="false"/>
                  <w:smallCaps w:val="false"/>
                  <w:sz w:val="20"/>
                </w:rPr>
                <w:t>Condensed Consolidated Statements of Operations and Comprehensive Loss for the three months ended March 31, 2025 and 2024</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6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7" w:type="dxa"/>
            <w:tcBorders/>
            <w:shd w:fill="FFFFFF" w:val="clear"/>
            <w:vAlign w:val="center"/>
          </w:tcPr>
          <w:p>
            <w:pPr>
              <w:pStyle w:val="TableContents"/>
              <w:bidi w:val="0"/>
              <w:spacing w:before="0" w:after="283"/>
              <w:jc w:val="left"/>
              <w:rPr/>
            </w:pPr>
            <w:hyperlink w:anchor="a_005">
              <w:r>
                <w:rPr>
                  <w:rStyle w:val="InternetLink"/>
                  <w:rFonts w:ascii="Times New Roman;Times;Serif" w:hAnsi="Times New Roman;Times;Serif"/>
                  <w:b w:val="false"/>
                  <w:i w:val="false"/>
                  <w:caps w:val="false"/>
                  <w:smallCaps w:val="false"/>
                  <w:sz w:val="20"/>
                </w:rPr>
                <w:t>Condensed Consolidated Statements of Changes in Stockholders’ Equity for the three months ended March 31, 2025 and 2024</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9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057"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b w:val="false"/>
                  <w:i w:val="false"/>
                  <w:caps w:val="false"/>
                  <w:smallCaps w:val="false"/>
                  <w:sz w:val="20"/>
                </w:rPr>
                <w:t>Condensed Consolidated Statements of Cash Flows for the three months ended March 31, 2025 and 2024</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r>
      <w:tr>
        <w:trPr/>
        <w:tc>
          <w:tcPr>
            <w:tcW w:w="6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7" w:type="dxa"/>
            <w:tcBorders/>
            <w:shd w:fill="FFFFFF" w:val="clear"/>
            <w:vAlign w:val="center"/>
          </w:tcPr>
          <w:p>
            <w:pPr>
              <w:pStyle w:val="TableContents"/>
              <w:bidi w:val="0"/>
              <w:spacing w:before="0" w:after="283"/>
              <w:jc w:val="left"/>
              <w:rPr/>
            </w:pPr>
            <w:hyperlink w:anchor="a_007">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057" w:type="dxa"/>
            <w:tcBorders/>
            <w:shd w:fill="CCEEFF" w:val="clear"/>
            <w:vAlign w:val="center"/>
          </w:tcPr>
          <w:p>
            <w:pPr>
              <w:pStyle w:val="TableContents"/>
              <w:bidi w:val="0"/>
              <w:spacing w:before="0" w:after="283"/>
              <w:jc w:val="left"/>
              <w:rPr/>
            </w:pPr>
            <w:hyperlink w:anchor="Y-00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6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057" w:type="dxa"/>
            <w:tcBorders/>
            <w:shd w:fill="FFFFFF" w:val="clear"/>
            <w:vAlign w:val="center"/>
          </w:tcPr>
          <w:p>
            <w:pPr>
              <w:pStyle w:val="TableContents"/>
              <w:bidi w:val="0"/>
              <w:spacing w:before="0" w:after="283"/>
              <w:jc w:val="left"/>
              <w:rPr/>
            </w:pPr>
            <w:hyperlink w:anchor="Y-002">
              <w:r>
                <w:rPr>
                  <w:rStyle w:val="InternetLink"/>
                  <w:rFonts w:ascii="Times New Roman;Times;Serif" w:hAnsi="Times New Roman;Times;Serif"/>
                  <w:b w:val="false"/>
                  <w:i w:val="false"/>
                  <w:caps w:val="false"/>
                  <w:smallCaps w:val="false"/>
                  <w:sz w:val="20"/>
                </w:rPr>
                <w:t>Quantitative and Qualitative Disclosures About Risk</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057" w:type="dxa"/>
            <w:tcBorders/>
            <w:shd w:fill="CCEEFF" w:val="clear"/>
            <w:vAlign w:val="center"/>
          </w:tcPr>
          <w:p>
            <w:pPr>
              <w:pStyle w:val="TableContents"/>
              <w:bidi w:val="0"/>
              <w:spacing w:before="0" w:after="283"/>
              <w:jc w:val="left"/>
              <w:rPr/>
            </w:pPr>
            <w:hyperlink w:anchor="Y-003">
              <w:r>
                <w:rPr>
                  <w:rStyle w:val="InternetLink"/>
                  <w:rFonts w:ascii="Times New Roman;Times;Serif" w:hAnsi="Times New Roman;Times;Serif"/>
                  <w:b w:val="false"/>
                  <w:i w:val="false"/>
                  <w:caps w:val="false"/>
                  <w:smallCaps w:val="false"/>
                  <w:sz w:val="20"/>
                </w:rPr>
                <w:t>Controls and Procedures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II</w:t>
            </w:r>
          </w:p>
        </w:tc>
        <w:tc>
          <w:tcPr>
            <w:tcW w:w="9057" w:type="dxa"/>
            <w:tcBorders/>
            <w:shd w:fill="CCEEFF" w:val="clear"/>
            <w:vAlign w:val="center"/>
          </w:tcPr>
          <w:p>
            <w:pPr>
              <w:pStyle w:val="TableContents"/>
              <w:bidi w:val="0"/>
              <w:spacing w:before="0" w:after="283"/>
              <w:jc w:val="left"/>
              <w:rPr/>
            </w:pPr>
            <w:hyperlink w:anchor="Y-004">
              <w:r>
                <w:rPr>
                  <w:rStyle w:val="InternetLink"/>
                  <w:rFonts w:ascii="Times New Roman;Times;Serif" w:hAnsi="Times New Roman;Times;Serif"/>
                  <w:b w:val="false"/>
                  <w:i w:val="false"/>
                  <w:caps w:val="false"/>
                  <w:smallCaps w:val="false"/>
                  <w:sz w:val="20"/>
                </w:rPr>
                <w:t>OTHER INFORMATION</w:t>
              </w:r>
            </w:hyperlink>
          </w:p>
        </w:tc>
        <w:tc>
          <w:tcPr>
            <w:tcW w:w="45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69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05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6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9057" w:type="dxa"/>
            <w:tcBorders/>
            <w:shd w:fill="CCEEFF" w:val="clear"/>
            <w:vAlign w:val="center"/>
          </w:tcPr>
          <w:p>
            <w:pPr>
              <w:pStyle w:val="TableContents"/>
              <w:bidi w:val="0"/>
              <w:spacing w:before="0" w:after="283"/>
              <w:jc w:val="left"/>
              <w:rPr/>
            </w:pPr>
            <w:hyperlink w:anchor="Y-005">
              <w:r>
                <w:rPr>
                  <w:rStyle w:val="InternetLink"/>
                  <w:rFonts w:ascii="Times New Roman;Times;Serif" w:hAnsi="Times New Roman;Times;Serif"/>
                  <w:b w:val="false"/>
                  <w:i w:val="false"/>
                  <w:caps w:val="false"/>
                  <w:smallCaps w:val="false"/>
                  <w:sz w:val="20"/>
                </w:rPr>
                <w:t>Legal Proceedings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9057" w:type="dxa"/>
            <w:tcBorders/>
            <w:shd w:fill="FFFFFF" w:val="clear"/>
            <w:vAlign w:val="center"/>
          </w:tcPr>
          <w:p>
            <w:pPr>
              <w:pStyle w:val="TableContents"/>
              <w:bidi w:val="0"/>
              <w:spacing w:before="0" w:after="283"/>
              <w:jc w:val="left"/>
              <w:rPr/>
            </w:pPr>
            <w:hyperlink w:anchor="Y-006">
              <w:r>
                <w:rPr>
                  <w:rStyle w:val="InternetLink"/>
                  <w:rFonts w:ascii="Times New Roman;Times;Serif" w:hAnsi="Times New Roman;Times;Serif"/>
                  <w:b w:val="false"/>
                  <w:i w:val="false"/>
                  <w:caps w:val="false"/>
                  <w:smallCaps w:val="false"/>
                  <w:sz w:val="20"/>
                </w:rPr>
                <w:t>Risk Factors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9057" w:type="dxa"/>
            <w:tcBorders/>
            <w:shd w:fill="CCEEFF" w:val="clear"/>
            <w:vAlign w:val="center"/>
          </w:tcPr>
          <w:p>
            <w:pPr>
              <w:pStyle w:val="TableContents"/>
              <w:bidi w:val="0"/>
              <w:spacing w:before="0" w:after="283"/>
              <w:jc w:val="left"/>
              <w:rPr/>
            </w:pPr>
            <w:hyperlink w:anchor="Y-007">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9057" w:type="dxa"/>
            <w:tcBorders/>
            <w:shd w:fill="FFFFFF" w:val="clear"/>
            <w:vAlign w:val="center"/>
          </w:tcPr>
          <w:p>
            <w:pPr>
              <w:pStyle w:val="TableContents"/>
              <w:bidi w:val="0"/>
              <w:spacing w:before="0" w:after="283"/>
              <w:jc w:val="left"/>
              <w:rPr/>
            </w:pPr>
            <w:hyperlink w:anchor="Y-008">
              <w:r>
                <w:rPr>
                  <w:rStyle w:val="InternetLink"/>
                  <w:rFonts w:ascii="Times New Roman;Times;Serif" w:hAnsi="Times New Roman;Times;Serif"/>
                  <w:b w:val="false"/>
                  <w:i w:val="false"/>
                  <w:caps w:val="false"/>
                  <w:smallCaps w:val="false"/>
                  <w:sz w:val="20"/>
                </w:rPr>
                <w:t>Defaults upon Senior Securities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9057" w:type="dxa"/>
            <w:tcBorders/>
            <w:shd w:fill="CCEEFF" w:val="clear"/>
            <w:vAlign w:val="center"/>
          </w:tcPr>
          <w:p>
            <w:pPr>
              <w:pStyle w:val="TableContents"/>
              <w:bidi w:val="0"/>
              <w:spacing w:before="0" w:after="283"/>
              <w:jc w:val="left"/>
              <w:rPr/>
            </w:pPr>
            <w:hyperlink w:anchor="Y-009">
              <w:r>
                <w:rPr>
                  <w:rStyle w:val="InternetLink"/>
                  <w:rFonts w:ascii="Times New Roman;Times;Serif" w:hAnsi="Times New Roman;Times;Serif"/>
                  <w:b w:val="false"/>
                  <w:i w:val="false"/>
                  <w:caps w:val="false"/>
                  <w:smallCaps w:val="false"/>
                  <w:sz w:val="20"/>
                </w:rPr>
                <w:t>Mine Safety Disclosures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9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9057" w:type="dxa"/>
            <w:tcBorders/>
            <w:shd w:fill="FFFFFF" w:val="clear"/>
            <w:vAlign w:val="center"/>
          </w:tcPr>
          <w:p>
            <w:pPr>
              <w:pStyle w:val="TableContents"/>
              <w:bidi w:val="0"/>
              <w:spacing w:before="0" w:after="283"/>
              <w:jc w:val="left"/>
              <w:rPr/>
            </w:pPr>
            <w:hyperlink w:anchor="Y-010">
              <w:r>
                <w:rPr>
                  <w:rStyle w:val="InternetLink"/>
                  <w:rFonts w:ascii="Times New Roman;Times;Serif" w:hAnsi="Times New Roman;Times;Serif"/>
                  <w:b w:val="false"/>
                  <w:i w:val="false"/>
                  <w:caps w:val="false"/>
                  <w:smallCaps w:val="false"/>
                  <w:sz w:val="20"/>
                </w:rPr>
                <w:t>Other Information</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9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9057" w:type="dxa"/>
            <w:tcBorders/>
            <w:shd w:fill="CCEEFF" w:val="clear"/>
            <w:vAlign w:val="center"/>
          </w:tcPr>
          <w:p>
            <w:pPr>
              <w:pStyle w:val="TableContents"/>
              <w:bidi w:val="0"/>
              <w:spacing w:before="0" w:after="283"/>
              <w:jc w:val="left"/>
              <w:rPr/>
            </w:pPr>
            <w:hyperlink w:anchor="Y-011">
              <w:r>
                <w:rPr>
                  <w:rStyle w:val="InternetLink"/>
                  <w:rFonts w:ascii="Times New Roman;Times;Serif" w:hAnsi="Times New Roman;Times;Serif"/>
                  <w:b w:val="false"/>
                  <w:i w:val="false"/>
                  <w:caps w:val="false"/>
                  <w:smallCaps w:val="false"/>
                  <w:sz w:val="20"/>
                </w:rPr>
                <w:t>Exhibits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CAUTIONARY NOTE REGARDING FORWARD-LOOKING STATEMENTS</w:t>
      </w:r>
    </w:p>
    <w:p>
      <w:pPr>
        <w:pStyle w:val="TextBody"/>
        <w:bidi w:val="0"/>
        <w:spacing w:before="0" w:after="0"/>
        <w:ind w:left="0" w:right="0" w:firstLine="36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including, without limitation, statements under the heading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“could”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financial or operational prospects, growth, strategies, and possible business combinations and the financing thereof, and related matters, and any other statements that are not statements of current or historical facts.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their nature, forward-looking statements involve risks and uncertainties because they relate to events and depend on circumstances that may or may not occur in the future. Forward-looking statements are based upon assumptions and are not guarantees of future performance. Actual results may differ materially from those contained in forward-looking statements due to various factors, including, but not limited to: limited management, labor, and financial resources; our reliance upon third parties for key aspects of our business; our ability to maintain adequate internal controls; our ability to maintain a market in our securities; our ability to continue as a going concern; and our ability obtain financing, if and when needed, on terms that are acceptable, as well as those risks and factors described in the “Risk Factors” section of our Annual Report on Form 10-K for the year ended December 31, 2024. You are cautioned not to place undue reliance on these forward-looking statements, which speak only as of the date of this report, and we undertake no obligation to update or revise any forward-looking statements, whether as a result of new information, future events or otherwise, except as may be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are cautioned not to place undue reliance on these forward-looking statements, which speak only as of the date of this report, and we undertake no obligation to update or revise any forward-looking statements, whether as a result of new information, future events or otherwise, except as may be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references in this report to the “Company,” “Lordstown,” “Debtors,” “we,” “us,” “our” and similar terms refer to Nu Ride Inc. (f/k/a Lordstown Motors Corp.; f/k/a DiamondPeak Holdings Corp.) and its consolidated subsidiaries (including Legacy Lordstown (as defined below)).</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01"/>
      <w:bookmarkEnd w:id="25"/>
      <w:r>
        <w:rPr>
          <w:rFonts w:ascii="Times New Roman;Times;Serif" w:hAnsi="Times New Roman;Times;Serif"/>
          <w:b/>
          <w:i w:val="false"/>
          <w:caps w:val="false"/>
          <w:smallCaps w:val="false"/>
          <w:sz w:val="20"/>
        </w:rPr>
        <w:t>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6" w:name="a_002"/>
      <w:bookmarkEnd w:id="26"/>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b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03"/>
      <w:bookmarkEnd w:id="27"/>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per share data)</w:t>
        <w:br/>
        <w:t>(Unaudited)</w:t>
      </w:r>
    </w:p>
    <w:p>
      <w:pPr>
        <w:pStyle w:val="Normal"/>
        <w:bidi w:val="0"/>
        <w:spacing w:before="0" w:after="0"/>
        <w:jc w:val="left"/>
        <w:rPr>
          <w:sz w:val="4"/>
          <w:szCs w:val="4"/>
        </w:rPr>
      </w:pPr>
      <w:r>
        <w:rPr>
          <w:sz w:val="4"/>
          <w:szCs w:val="4"/>
        </w:rPr>
      </w:r>
      <w:bookmarkStart w:id="28" w:name="xdx_308_111_pn3n3_zmlhZu8jChd3"/>
      <w:bookmarkStart w:id="29" w:name="xdx_308_111_pn3n3_zmlhZu8jChd3"/>
      <w:bookmarkEnd w:id="29"/>
    </w:p>
    <w:tbl>
      <w:tblPr>
        <w:tblW w:w="10205" w:type="dxa"/>
        <w:jc w:val="left"/>
        <w:tblInd w:w="0" w:type="dxa"/>
        <w:tblLayout w:type="fixed"/>
        <w:tblCellMar>
          <w:top w:w="0" w:type="dxa"/>
          <w:left w:w="0" w:type="dxa"/>
          <w:bottom w:w="0" w:type="dxa"/>
          <w:right w:w="0" w:type="dxa"/>
        </w:tblCellMar>
      </w:tblPr>
      <w:tblGrid>
        <w:gridCol w:w="7083"/>
        <w:gridCol w:w="60"/>
        <w:gridCol w:w="156"/>
        <w:gridCol w:w="1181"/>
        <w:gridCol w:w="95"/>
        <w:gridCol w:w="60"/>
        <w:gridCol w:w="170"/>
        <w:gridCol w:w="1287"/>
        <w:gridCol w:w="113"/>
      </w:tblGrid>
      <w:tr>
        <w:trPr/>
        <w:tc>
          <w:tcPr>
            <w:tcW w:w="70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0" w:name="xdx_497_20250331_zSIHsTbF779c"/>
            <w:bookmarkEnd w:id="30"/>
          </w:p>
        </w:tc>
        <w:tc>
          <w:tcPr>
            <w:tcW w:w="133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1" w:name="xdx_49C_20241231_zv3cDQdsMFXd"/>
            <w:bookmarkEnd w:id="31"/>
          </w:p>
        </w:tc>
        <w:tc>
          <w:tcPr>
            <w:tcW w:w="14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113" w:type="dxa"/>
            <w:tcBorders/>
            <w:vAlign w:val="center"/>
          </w:tcPr>
          <w:p>
            <w:pPr>
              <w:pStyle w:val="TableContents"/>
              <w:bidi w:val="0"/>
              <w:spacing w:before="0" w:after="283"/>
              <w:jc w:val="left"/>
              <w:rPr/>
            </w:pPr>
            <w:r>
              <w:rPr/>
              <w:t> </w:t>
            </w:r>
            <w:bookmarkStart w:id="32" w:name="xdx_409_eus-gaap--AssetsAbstract_iB_z3OL"/>
            <w:bookmarkEnd w:id="32"/>
          </w:p>
        </w:tc>
      </w:tr>
      <w:tr>
        <w:trPr/>
        <w:tc>
          <w:tcPr>
            <w:tcW w:w="7083"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33" w:name="xdx_40A_eus-gaap--AssetsCurrentAbstract_"/>
            <w:bookmarkEnd w:id="33"/>
          </w:p>
        </w:tc>
      </w:tr>
      <w:tr>
        <w:trPr/>
        <w:tc>
          <w:tcPr>
            <w:tcW w:w="7083"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34" w:name="xdx_402_eus-gaap--CashAndCashEquivalents"/>
            <w:bookmarkEnd w:id="34"/>
          </w:p>
        </w:tc>
      </w:tr>
      <w:tr>
        <w:trPr/>
        <w:tc>
          <w:tcPr>
            <w:tcW w:w="7083"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181" w:type="dxa"/>
            <w:tcBorders/>
            <w:shd w:fill="CCEEFF" w:val="clear"/>
            <w:vAlign w:val="center"/>
          </w:tcPr>
          <w:p>
            <w:pPr>
              <w:pStyle w:val="TableContents"/>
              <w:bidi w:val="0"/>
              <w:spacing w:before="0" w:after="283"/>
              <w:jc w:val="right"/>
              <w:rPr/>
            </w:pPr>
            <w:r>
              <w:rPr/>
              <w:t>28,040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87" w:type="dxa"/>
            <w:tcBorders/>
            <w:shd w:fill="CCEEFF" w:val="clear"/>
            <w:vAlign w:val="center"/>
          </w:tcPr>
          <w:p>
            <w:pPr>
              <w:pStyle w:val="TableContents"/>
              <w:bidi w:val="0"/>
              <w:spacing w:before="0" w:after="283"/>
              <w:jc w:val="right"/>
              <w:rPr/>
            </w:pPr>
            <w:r>
              <w:rPr/>
              <w:t>23,095</w:t>
            </w:r>
          </w:p>
        </w:tc>
        <w:tc>
          <w:tcPr>
            <w:tcW w:w="113" w:type="dxa"/>
            <w:tcBorders/>
            <w:shd w:fill="CCEEFF" w:val="clear"/>
            <w:vAlign w:val="center"/>
          </w:tcPr>
          <w:p>
            <w:pPr>
              <w:pStyle w:val="TableContents"/>
              <w:bidi w:val="0"/>
              <w:spacing w:before="0" w:after="283"/>
              <w:jc w:val="left"/>
              <w:rPr/>
            </w:pPr>
            <w:r>
              <w:rPr/>
              <w:t> </w:t>
            </w:r>
            <w:bookmarkStart w:id="35" w:name="xdx_402_eus-gaap--RestrictedCash_i02I_ma"/>
            <w:bookmarkEnd w:id="35"/>
          </w:p>
        </w:tc>
      </w:tr>
      <w:tr>
        <w:trPr/>
        <w:tc>
          <w:tcPr>
            <w:tcW w:w="7083"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3,215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36" w:name="xdx_402_eus-gaap--ShortTermInvestments_i"/>
            <w:bookmarkEnd w:id="36"/>
          </w:p>
        </w:tc>
      </w:tr>
      <w:tr>
        <w:trPr/>
        <w:tc>
          <w:tcPr>
            <w:tcW w:w="7083" w:type="dxa"/>
            <w:tcBorders/>
            <w:shd w:fill="CCEEFF" w:val="clear"/>
            <w:vAlign w:val="center"/>
          </w:tcPr>
          <w:p>
            <w:pPr>
              <w:pStyle w:val="TableContents"/>
              <w:bidi w:val="0"/>
              <w:spacing w:before="0" w:after="283"/>
              <w:jc w:val="left"/>
              <w:rPr/>
            </w:pPr>
            <w:r>
              <w:rPr/>
              <w:t>Short-term investments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6,371</w:t>
            </w:r>
          </w:p>
        </w:tc>
        <w:tc>
          <w:tcPr>
            <w:tcW w:w="113" w:type="dxa"/>
            <w:tcBorders/>
            <w:shd w:fill="CCEEFF" w:val="clear"/>
            <w:vAlign w:val="center"/>
          </w:tcPr>
          <w:p>
            <w:pPr>
              <w:pStyle w:val="TableContents"/>
              <w:bidi w:val="0"/>
              <w:spacing w:before="0" w:after="283"/>
              <w:jc w:val="left"/>
              <w:rPr/>
            </w:pPr>
            <w:r>
              <w:rPr/>
              <w:t> </w:t>
            </w:r>
            <w:bookmarkStart w:id="37" w:name="xdx_40C_eus-gaap--RestrictedCashAndInves"/>
            <w:bookmarkEnd w:id="37"/>
          </w:p>
        </w:tc>
      </w:tr>
      <w:tr>
        <w:trPr/>
        <w:tc>
          <w:tcPr>
            <w:tcW w:w="7083" w:type="dxa"/>
            <w:tcBorders/>
            <w:shd w:fill="FFFFFF" w:val="clear"/>
            <w:vAlign w:val="center"/>
          </w:tcPr>
          <w:p>
            <w:pPr>
              <w:pStyle w:val="TableContents"/>
              <w:bidi w:val="0"/>
              <w:spacing w:before="0" w:after="283"/>
              <w:jc w:val="left"/>
              <w:rPr/>
            </w:pPr>
            <w:r>
              <w:rPr/>
              <w:t>Short-term investments, restricted</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19,896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pPr>
            <w:r>
              <w:rPr/>
              <w:t>23,370</w:t>
            </w:r>
          </w:p>
        </w:tc>
        <w:tc>
          <w:tcPr>
            <w:tcW w:w="113" w:type="dxa"/>
            <w:tcBorders/>
            <w:shd w:fill="FFFFFF" w:val="clear"/>
            <w:vAlign w:val="center"/>
          </w:tcPr>
          <w:p>
            <w:pPr>
              <w:pStyle w:val="TableContents"/>
              <w:bidi w:val="0"/>
              <w:spacing w:before="0" w:after="283"/>
              <w:jc w:val="left"/>
              <w:rPr/>
            </w:pPr>
            <w:r>
              <w:rPr/>
              <w:t> </w:t>
            </w:r>
            <w:bookmarkStart w:id="38" w:name="xdx_400_eus-gaap--PrepaidInsurance_i02I_"/>
            <w:bookmarkEnd w:id="38"/>
          </w:p>
        </w:tc>
      </w:tr>
      <w:tr>
        <w:trPr/>
        <w:tc>
          <w:tcPr>
            <w:tcW w:w="7083" w:type="dxa"/>
            <w:tcBorders/>
            <w:shd w:fill="CCEEFF" w:val="clear"/>
            <w:vAlign w:val="center"/>
          </w:tcPr>
          <w:p>
            <w:pPr>
              <w:pStyle w:val="TableContents"/>
              <w:bidi w:val="0"/>
              <w:spacing w:before="0" w:after="283"/>
              <w:jc w:val="left"/>
              <w:rPr/>
            </w:pPr>
            <w:r>
              <w:rPr/>
              <w:t>Prepaid insurance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208</w:t>
            </w:r>
          </w:p>
        </w:tc>
        <w:tc>
          <w:tcPr>
            <w:tcW w:w="113" w:type="dxa"/>
            <w:tcBorders/>
            <w:shd w:fill="CCEEFF" w:val="clear"/>
            <w:vAlign w:val="center"/>
          </w:tcPr>
          <w:p>
            <w:pPr>
              <w:pStyle w:val="TableContents"/>
              <w:bidi w:val="0"/>
              <w:spacing w:before="0" w:after="283"/>
              <w:jc w:val="left"/>
              <w:rPr/>
            </w:pPr>
            <w:r>
              <w:rPr/>
              <w:t> </w:t>
            </w:r>
            <w:bookmarkStart w:id="39" w:name="xdx_403_eus-gaap--OtherAssetsCurrent_i02"/>
            <w:bookmarkEnd w:id="39"/>
          </w:p>
        </w:tc>
      </w:tr>
      <w:tr>
        <w:trPr/>
        <w:tc>
          <w:tcPr>
            <w:tcW w:w="7083"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1" w:type="dxa"/>
            <w:tcBorders>
              <w:bottom w:val="single" w:sz="8" w:space="0" w:color="000000"/>
            </w:tcBorders>
            <w:shd w:fill="FFFFFF" w:val="clear"/>
            <w:tcMar>
              <w:bottom w:w="28" w:type="dxa"/>
            </w:tcMar>
            <w:vAlign w:val="center"/>
          </w:tcPr>
          <w:p>
            <w:pPr>
              <w:pStyle w:val="TableContents"/>
              <w:bidi w:val="0"/>
              <w:spacing w:before="0" w:after="283"/>
              <w:jc w:val="right"/>
              <w:rPr/>
            </w:pPr>
            <w:r>
              <w:rPr/>
              <w:t>229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7" w:type="dxa"/>
            <w:tcBorders>
              <w:bottom w:val="single" w:sz="8" w:space="0" w:color="000000"/>
            </w:tcBorders>
            <w:shd w:fill="FFFFFF" w:val="clear"/>
            <w:tcMar>
              <w:bottom w:w="28" w:type="dxa"/>
            </w:tcMar>
            <w:vAlign w:val="center"/>
          </w:tcPr>
          <w:p>
            <w:pPr>
              <w:pStyle w:val="TableContents"/>
              <w:bidi w:val="0"/>
              <w:spacing w:before="0" w:after="283"/>
              <w:jc w:val="right"/>
              <w:rPr/>
            </w:pPr>
            <w:r>
              <w:rPr/>
              <w:t>139</w:t>
            </w:r>
          </w:p>
        </w:tc>
        <w:tc>
          <w:tcPr>
            <w:tcW w:w="113" w:type="dxa"/>
            <w:tcBorders/>
            <w:shd w:fill="FFFFFF" w:val="clear"/>
            <w:vAlign w:val="center"/>
          </w:tcPr>
          <w:p>
            <w:pPr>
              <w:pStyle w:val="TableContents"/>
              <w:bidi w:val="0"/>
              <w:spacing w:before="0" w:after="283"/>
              <w:jc w:val="left"/>
              <w:rPr/>
            </w:pPr>
            <w:r>
              <w:rPr/>
              <w:t> </w:t>
            </w:r>
            <w:bookmarkStart w:id="40" w:name="xdx_40E_eus-gaap--AssetsCurrent_i02TI_mt"/>
            <w:bookmarkEnd w:id="40"/>
          </w:p>
        </w:tc>
      </w:tr>
      <w:tr>
        <w:trPr/>
        <w:tc>
          <w:tcPr>
            <w:tcW w:w="7083"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81" w:type="dxa"/>
            <w:tcBorders>
              <w:bottom w:val="single" w:sz="8" w:space="0" w:color="000000"/>
            </w:tcBorders>
            <w:shd w:fill="CCEEFF" w:val="clear"/>
            <w:tcMar>
              <w:bottom w:w="28" w:type="dxa"/>
            </w:tcMar>
            <w:vAlign w:val="center"/>
          </w:tcPr>
          <w:p>
            <w:pPr>
              <w:pStyle w:val="TableContents"/>
              <w:bidi w:val="0"/>
              <w:spacing w:before="0" w:after="283"/>
              <w:jc w:val="right"/>
              <w:rPr/>
            </w:pPr>
            <w:r>
              <w:rPr/>
              <w:t>51,496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87" w:type="dxa"/>
            <w:tcBorders>
              <w:bottom w:val="single" w:sz="8" w:space="0" w:color="000000"/>
            </w:tcBorders>
            <w:shd w:fill="CCEEFF" w:val="clear"/>
            <w:tcMar>
              <w:bottom w:w="28" w:type="dxa"/>
            </w:tcMar>
            <w:vAlign w:val="center"/>
          </w:tcPr>
          <w:p>
            <w:pPr>
              <w:pStyle w:val="TableContents"/>
              <w:bidi w:val="0"/>
              <w:spacing w:before="0" w:after="283"/>
              <w:jc w:val="right"/>
              <w:rPr/>
            </w:pPr>
            <w:r>
              <w:rPr/>
              <w:t>53,183</w:t>
            </w:r>
          </w:p>
        </w:tc>
        <w:tc>
          <w:tcPr>
            <w:tcW w:w="113" w:type="dxa"/>
            <w:tcBorders/>
            <w:shd w:fill="CCEEFF" w:val="clear"/>
            <w:vAlign w:val="center"/>
          </w:tcPr>
          <w:p>
            <w:pPr>
              <w:pStyle w:val="TableContents"/>
              <w:bidi w:val="0"/>
              <w:spacing w:before="0" w:after="283"/>
              <w:jc w:val="left"/>
              <w:rPr/>
            </w:pPr>
            <w:r>
              <w:rPr/>
              <w:t> </w:t>
            </w:r>
            <w:bookmarkStart w:id="41" w:name="xdx_400_eus-gaap--Assets_i01TI_mtAz864_z"/>
            <w:bookmarkEnd w:id="41"/>
          </w:p>
        </w:tc>
      </w:tr>
      <w:tr>
        <w:trPr/>
        <w:tc>
          <w:tcPr>
            <w:tcW w:w="7083"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51,496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8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53,183</w:t>
            </w:r>
          </w:p>
        </w:tc>
        <w:tc>
          <w:tcPr>
            <w:tcW w:w="113" w:type="dxa"/>
            <w:tcBorders/>
            <w:shd w:fill="FFFFFF" w:val="clear"/>
            <w:vAlign w:val="center"/>
          </w:tcPr>
          <w:p>
            <w:pPr>
              <w:pStyle w:val="TableContents"/>
              <w:bidi w:val="0"/>
              <w:spacing w:before="0" w:after="283"/>
              <w:jc w:val="left"/>
              <w:rPr/>
            </w:pPr>
            <w:r>
              <w:rPr/>
              <w:t> </w:t>
            </w:r>
          </w:p>
        </w:tc>
      </w:tr>
      <w:tr>
        <w:trPr/>
        <w:tc>
          <w:tcPr>
            <w:tcW w:w="70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2" w:name="xdx_40D_eus-gaap--LiabilitiesAndStockhol"/>
            <w:bookmarkEnd w:id="42"/>
          </w:p>
        </w:tc>
      </w:tr>
      <w:tr>
        <w:trPr/>
        <w:tc>
          <w:tcPr>
            <w:tcW w:w="7083" w:type="dxa"/>
            <w:tcBorders/>
            <w:shd w:fill="FFFFFF" w:val="clear"/>
            <w:vAlign w:val="center"/>
          </w:tcPr>
          <w:p>
            <w:pPr>
              <w:pStyle w:val="TableContents"/>
              <w:bidi w:val="0"/>
              <w:spacing w:before="0" w:after="283"/>
              <w:jc w:val="left"/>
              <w:rPr>
                <w:b/>
              </w:rPr>
            </w:pPr>
            <w:r>
              <w:rPr>
                <w:b/>
              </w:rPr>
              <w:t>LIABILITIES, MEZZANINE EQUITY AND STOCKHOLDERS’ EQUITY</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70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43" w:name="xdx_40C_eus-gaap--LiabilitiesCurrentAbst"/>
            <w:bookmarkEnd w:id="43"/>
          </w:p>
        </w:tc>
      </w:tr>
      <w:tr>
        <w:trPr/>
        <w:tc>
          <w:tcPr>
            <w:tcW w:w="7083"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44" w:name="xdx_407_eus-gaap--AccountsPayableCurrent"/>
            <w:bookmarkEnd w:id="44"/>
          </w:p>
        </w:tc>
      </w:tr>
      <w:tr>
        <w:trPr/>
        <w:tc>
          <w:tcPr>
            <w:tcW w:w="7083"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181" w:type="dxa"/>
            <w:tcBorders/>
            <w:shd w:fill="CCEEFF" w:val="clear"/>
            <w:vAlign w:val="center"/>
          </w:tcPr>
          <w:p>
            <w:pPr>
              <w:pStyle w:val="TableContents"/>
              <w:bidi w:val="0"/>
              <w:spacing w:before="0" w:after="283"/>
              <w:jc w:val="right"/>
              <w:rPr/>
            </w:pPr>
            <w:r>
              <w:rPr/>
              <w:t>153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87" w:type="dxa"/>
            <w:tcBorders/>
            <w:shd w:fill="CCEEFF" w:val="clear"/>
            <w:vAlign w:val="center"/>
          </w:tcPr>
          <w:p>
            <w:pPr>
              <w:pStyle w:val="TableContents"/>
              <w:bidi w:val="0"/>
              <w:spacing w:before="0" w:after="283"/>
              <w:jc w:val="right"/>
              <w:rPr/>
            </w:pPr>
            <w:r>
              <w:rPr/>
              <w:t>136</w:t>
            </w:r>
          </w:p>
        </w:tc>
        <w:tc>
          <w:tcPr>
            <w:tcW w:w="113" w:type="dxa"/>
            <w:tcBorders/>
            <w:shd w:fill="CCEEFF" w:val="clear"/>
            <w:vAlign w:val="center"/>
          </w:tcPr>
          <w:p>
            <w:pPr>
              <w:pStyle w:val="TableContents"/>
              <w:bidi w:val="0"/>
              <w:spacing w:before="0" w:after="283"/>
              <w:jc w:val="left"/>
              <w:rPr/>
            </w:pPr>
            <w:r>
              <w:rPr/>
              <w:t> </w:t>
            </w:r>
            <w:bookmarkStart w:id="45" w:name="xdx_40A_eus-gaap--AccruedProfessionalFee"/>
            <w:bookmarkEnd w:id="45"/>
          </w:p>
        </w:tc>
      </w:tr>
      <w:tr>
        <w:trPr/>
        <w:tc>
          <w:tcPr>
            <w:tcW w:w="7083" w:type="dxa"/>
            <w:tcBorders/>
            <w:shd w:fill="FFFFFF" w:val="clear"/>
            <w:vAlign w:val="center"/>
          </w:tcPr>
          <w:p>
            <w:pPr>
              <w:pStyle w:val="TableContents"/>
              <w:bidi w:val="0"/>
              <w:spacing w:before="0" w:after="283"/>
              <w:jc w:val="left"/>
              <w:rPr/>
            </w:pPr>
            <w:r>
              <w:rPr/>
              <w:t>Accrued legal and professional</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512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pPr>
            <w:r>
              <w:rPr/>
              <w:t>721</w:t>
            </w:r>
          </w:p>
        </w:tc>
        <w:tc>
          <w:tcPr>
            <w:tcW w:w="113" w:type="dxa"/>
            <w:tcBorders/>
            <w:shd w:fill="FFFFFF" w:val="clear"/>
            <w:vAlign w:val="center"/>
          </w:tcPr>
          <w:p>
            <w:pPr>
              <w:pStyle w:val="TableContents"/>
              <w:bidi w:val="0"/>
              <w:spacing w:before="0" w:after="283"/>
              <w:jc w:val="left"/>
              <w:rPr/>
            </w:pPr>
            <w:r>
              <w:rPr/>
              <w:t> </w:t>
            </w:r>
            <w:bookmarkStart w:id="46" w:name="xdx_409_ecustom--AccruedAndOtherLiabilit"/>
            <w:bookmarkEnd w:id="46"/>
          </w:p>
        </w:tc>
      </w:tr>
      <w:tr>
        <w:trPr/>
        <w:tc>
          <w:tcPr>
            <w:tcW w:w="7083"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1" w:type="dxa"/>
            <w:tcBorders>
              <w:bottom w:val="single" w:sz="8" w:space="0" w:color="000000"/>
            </w:tcBorders>
            <w:shd w:fill="CCEEFF" w:val="clear"/>
            <w:tcMar>
              <w:bottom w:w="28" w:type="dxa"/>
            </w:tcMar>
            <w:vAlign w:val="center"/>
          </w:tcPr>
          <w:p>
            <w:pPr>
              <w:pStyle w:val="TableContents"/>
              <w:bidi w:val="0"/>
              <w:spacing w:before="0" w:after="283"/>
              <w:jc w:val="right"/>
              <w:rPr/>
            </w:pPr>
            <w:r>
              <w:rPr/>
              <w:t>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7" w:type="dxa"/>
            <w:tcBorders>
              <w:bottom w:val="single" w:sz="8" w:space="0" w:color="000000"/>
            </w:tcBorders>
            <w:shd w:fill="CCEEFF" w:val="clear"/>
            <w:tcMar>
              <w:bottom w:w="28" w:type="dxa"/>
            </w:tcMar>
            <w:vAlign w:val="center"/>
          </w:tcPr>
          <w:p>
            <w:pPr>
              <w:pStyle w:val="TableContents"/>
              <w:bidi w:val="0"/>
              <w:spacing w:before="0" w:after="283"/>
              <w:jc w:val="right"/>
              <w:rPr/>
            </w:pPr>
            <w:r>
              <w:rPr/>
              <w:t>207</w:t>
            </w:r>
          </w:p>
        </w:tc>
        <w:tc>
          <w:tcPr>
            <w:tcW w:w="113" w:type="dxa"/>
            <w:tcBorders/>
            <w:shd w:fill="CCEEFF" w:val="clear"/>
            <w:vAlign w:val="center"/>
          </w:tcPr>
          <w:p>
            <w:pPr>
              <w:pStyle w:val="TableContents"/>
              <w:bidi w:val="0"/>
              <w:spacing w:before="0" w:after="283"/>
              <w:jc w:val="left"/>
              <w:rPr/>
            </w:pPr>
            <w:r>
              <w:rPr/>
              <w:t> </w:t>
            </w:r>
            <w:bookmarkStart w:id="47" w:name="xdx_406_eus-gaap--LiabilitiesCurrent_i02"/>
            <w:bookmarkEnd w:id="47"/>
          </w:p>
        </w:tc>
      </w:tr>
      <w:tr>
        <w:trPr/>
        <w:tc>
          <w:tcPr>
            <w:tcW w:w="7083"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w:t>
            </w:r>
          </w:p>
        </w:tc>
        <w:tc>
          <w:tcPr>
            <w:tcW w:w="1181" w:type="dxa"/>
            <w:tcBorders/>
            <w:shd w:fill="FFFFFF" w:val="clear"/>
            <w:vAlign w:val="center"/>
          </w:tcPr>
          <w:p>
            <w:pPr>
              <w:pStyle w:val="TableContents"/>
              <w:bidi w:val="0"/>
              <w:spacing w:before="0" w:after="283"/>
              <w:jc w:val="right"/>
              <w:rPr/>
            </w:pPr>
            <w:r>
              <w:rPr/>
              <w:t>860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w:t>
            </w:r>
          </w:p>
        </w:tc>
        <w:tc>
          <w:tcPr>
            <w:tcW w:w="1287" w:type="dxa"/>
            <w:tcBorders/>
            <w:shd w:fill="FFFFFF" w:val="clear"/>
            <w:vAlign w:val="center"/>
          </w:tcPr>
          <w:p>
            <w:pPr>
              <w:pStyle w:val="TableContents"/>
              <w:bidi w:val="0"/>
              <w:spacing w:before="0" w:after="283"/>
              <w:jc w:val="right"/>
              <w:rPr/>
            </w:pPr>
            <w:r>
              <w:rPr/>
              <w:t>1,064</w:t>
            </w:r>
          </w:p>
        </w:tc>
        <w:tc>
          <w:tcPr>
            <w:tcW w:w="113" w:type="dxa"/>
            <w:tcBorders/>
            <w:shd w:fill="FFFFFF" w:val="clear"/>
            <w:vAlign w:val="center"/>
          </w:tcPr>
          <w:p>
            <w:pPr>
              <w:pStyle w:val="TableContents"/>
              <w:bidi w:val="0"/>
              <w:spacing w:before="0" w:after="283"/>
              <w:jc w:val="left"/>
              <w:rPr/>
            </w:pPr>
            <w:r>
              <w:rPr/>
              <w:t> </w:t>
            </w:r>
            <w:bookmarkStart w:id="48" w:name="xdx_40C_eus-gaap--LiabilitiesSubjectToCo"/>
            <w:bookmarkEnd w:id="48"/>
          </w:p>
        </w:tc>
      </w:tr>
      <w:tr>
        <w:trPr/>
        <w:tc>
          <w:tcPr>
            <w:tcW w:w="7083" w:type="dxa"/>
            <w:tcBorders/>
            <w:shd w:fill="CCEEFF" w:val="clear"/>
            <w:vAlign w:val="center"/>
          </w:tcPr>
          <w:p>
            <w:pPr>
              <w:pStyle w:val="TableContents"/>
              <w:bidi w:val="0"/>
              <w:spacing w:before="0" w:after="283"/>
              <w:jc w:val="left"/>
              <w:rPr/>
            </w:pPr>
            <w:r>
              <w:rPr/>
              <w:t>Liabilities subject to compromise</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1" w:type="dxa"/>
            <w:tcBorders>
              <w:bottom w:val="single" w:sz="8" w:space="0" w:color="000000"/>
            </w:tcBorders>
            <w:shd w:fill="CCEEFF" w:val="clear"/>
            <w:tcMar>
              <w:bottom w:w="28" w:type="dxa"/>
            </w:tcMar>
            <w:vAlign w:val="center"/>
          </w:tcPr>
          <w:p>
            <w:pPr>
              <w:pStyle w:val="TableContents"/>
              <w:bidi w:val="0"/>
              <w:spacing w:before="0" w:after="283"/>
              <w:jc w:val="right"/>
              <w:rPr/>
            </w:pPr>
            <w:r>
              <w:rPr/>
              <w:t>9,578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7" w:type="dxa"/>
            <w:tcBorders>
              <w:bottom w:val="single" w:sz="8" w:space="0" w:color="000000"/>
            </w:tcBorders>
            <w:shd w:fill="CCEEFF" w:val="clear"/>
            <w:tcMar>
              <w:bottom w:w="28" w:type="dxa"/>
            </w:tcMar>
            <w:vAlign w:val="center"/>
          </w:tcPr>
          <w:p>
            <w:pPr>
              <w:pStyle w:val="TableContents"/>
              <w:bidi w:val="0"/>
              <w:spacing w:before="0" w:after="283"/>
              <w:jc w:val="right"/>
              <w:rPr/>
            </w:pPr>
            <w:r>
              <w:rPr/>
              <w:t>9,884</w:t>
            </w:r>
          </w:p>
        </w:tc>
        <w:tc>
          <w:tcPr>
            <w:tcW w:w="113" w:type="dxa"/>
            <w:tcBorders/>
            <w:shd w:fill="CCEEFF" w:val="clear"/>
            <w:vAlign w:val="center"/>
          </w:tcPr>
          <w:p>
            <w:pPr>
              <w:pStyle w:val="TableContents"/>
              <w:bidi w:val="0"/>
              <w:spacing w:before="0" w:after="283"/>
              <w:jc w:val="left"/>
              <w:rPr/>
            </w:pPr>
            <w:r>
              <w:rPr/>
              <w:t> </w:t>
            </w:r>
            <w:bookmarkStart w:id="49" w:name="xdx_404_eus-gaap--Liabilities_i01TI_mtLz"/>
            <w:bookmarkEnd w:id="49"/>
          </w:p>
        </w:tc>
      </w:tr>
      <w:tr>
        <w:trPr/>
        <w:tc>
          <w:tcPr>
            <w:tcW w:w="7083"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181" w:type="dxa"/>
            <w:tcBorders>
              <w:bottom w:val="single" w:sz="8" w:space="0" w:color="000000"/>
            </w:tcBorders>
            <w:shd w:fill="FFFFFF" w:val="clear"/>
            <w:tcMar>
              <w:bottom w:w="28" w:type="dxa"/>
            </w:tcMar>
            <w:vAlign w:val="center"/>
          </w:tcPr>
          <w:p>
            <w:pPr>
              <w:pStyle w:val="TableContents"/>
              <w:bidi w:val="0"/>
              <w:spacing w:before="0" w:after="283"/>
              <w:jc w:val="right"/>
              <w:rPr/>
            </w:pPr>
            <w:r>
              <w:rPr/>
              <w:t>10,438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287" w:type="dxa"/>
            <w:tcBorders>
              <w:bottom w:val="single" w:sz="8" w:space="0" w:color="000000"/>
            </w:tcBorders>
            <w:shd w:fill="FFFFFF" w:val="clear"/>
            <w:tcMar>
              <w:bottom w:w="28" w:type="dxa"/>
            </w:tcMar>
            <w:vAlign w:val="center"/>
          </w:tcPr>
          <w:p>
            <w:pPr>
              <w:pStyle w:val="TableContents"/>
              <w:bidi w:val="0"/>
              <w:spacing w:before="0" w:after="283"/>
              <w:jc w:val="right"/>
              <w:rPr/>
            </w:pPr>
            <w:r>
              <w:rPr/>
              <w:t>10,948</w:t>
            </w:r>
          </w:p>
        </w:tc>
        <w:tc>
          <w:tcPr>
            <w:tcW w:w="113" w:type="dxa"/>
            <w:tcBorders/>
            <w:shd w:fill="FFFFFF" w:val="clear"/>
            <w:vAlign w:val="center"/>
          </w:tcPr>
          <w:p>
            <w:pPr>
              <w:pStyle w:val="TableContents"/>
              <w:bidi w:val="0"/>
              <w:spacing w:before="0" w:after="283"/>
              <w:jc w:val="left"/>
              <w:rPr/>
            </w:pPr>
            <w:r>
              <w:rPr/>
              <w:t> </w:t>
            </w:r>
          </w:p>
        </w:tc>
      </w:tr>
      <w:tr>
        <w:trPr/>
        <w:tc>
          <w:tcPr>
            <w:tcW w:w="70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0" w:name="xdx_405_eus-gaap--CommitmentsAndContinge"/>
            <w:bookmarkEnd w:id="50"/>
          </w:p>
        </w:tc>
      </w:tr>
      <w:tr>
        <w:trPr/>
        <w:tc>
          <w:tcPr>
            <w:tcW w:w="7083" w:type="dxa"/>
            <w:tcBorders/>
            <w:shd w:fill="FFFFFF" w:val="clear"/>
            <w:vAlign w:val="center"/>
          </w:tcPr>
          <w:p>
            <w:pPr>
              <w:pStyle w:val="TableContents"/>
              <w:bidi w:val="0"/>
              <w:spacing w:before="0" w:after="283"/>
              <w:jc w:val="left"/>
              <w:rPr/>
            </w:pPr>
            <w:r>
              <w:rPr/>
              <w:t>Commitments and contingencies (Note 7)</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3" w:type="dxa"/>
            <w:tcBorders/>
            <w:shd w:fill="FFFFFF" w:val="clear"/>
            <w:vAlign w:val="center"/>
          </w:tcPr>
          <w:p>
            <w:pPr>
              <w:pStyle w:val="TableContents"/>
              <w:bidi w:val="0"/>
              <w:spacing w:before="0" w:after="283"/>
              <w:jc w:val="left"/>
              <w:rPr/>
            </w:pPr>
            <w:r>
              <w:rPr/>
              <w:t> </w:t>
            </w:r>
          </w:p>
        </w:tc>
      </w:tr>
      <w:tr>
        <w:trPr/>
        <w:tc>
          <w:tcPr>
            <w:tcW w:w="70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51" w:name="xdx_400_eus-gaap--TemporaryEquityAbstrac"/>
            <w:bookmarkEnd w:id="51"/>
          </w:p>
        </w:tc>
      </w:tr>
      <w:tr>
        <w:trPr/>
        <w:tc>
          <w:tcPr>
            <w:tcW w:w="7083" w:type="dxa"/>
            <w:tcBorders/>
            <w:shd w:fill="FFFFFF" w:val="clear"/>
            <w:vAlign w:val="center"/>
          </w:tcPr>
          <w:p>
            <w:pPr>
              <w:pStyle w:val="TableContents"/>
              <w:bidi w:val="0"/>
              <w:spacing w:before="0" w:after="283"/>
              <w:jc w:val="left"/>
              <w:rPr/>
            </w:pPr>
            <w:r>
              <w:rPr/>
              <w:t>Mezzanine equity</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52" w:name="xdx_403_eus-gaap--TemporaryEquityCarryin"/>
            <w:bookmarkEnd w:id="52"/>
          </w:p>
        </w:tc>
      </w:tr>
      <w:tr>
        <w:trPr/>
        <w:tc>
          <w:tcPr>
            <w:tcW w:w="7083" w:type="dxa"/>
            <w:tcBorders/>
            <w:shd w:fill="CCEEFF" w:val="clear"/>
            <w:vAlign w:val="center"/>
          </w:tcPr>
          <w:p>
            <w:pPr>
              <w:pStyle w:val="TableContents"/>
              <w:bidi w:val="0"/>
              <w:spacing w:before="0" w:after="283"/>
              <w:jc w:val="left"/>
              <w:rPr/>
            </w:pPr>
            <w:r>
              <w:rPr/>
              <w:t>Series A Convertible Preferred stock, $</w:t>
            </w:r>
            <w:bookmarkStart w:id="53" w:name="xdx_909_eus-gaap--TemporaryEquityParOrSt"/>
            <w:bookmarkStart w:id="54" w:name="xdx_903_eus-gaap--TemporaryEquityParOrSt"/>
            <w:bookmarkEnd w:id="53"/>
            <w:bookmarkEnd w:id="54"/>
            <w:r>
              <w:rPr/>
              <w:t xml:space="preserve">0.0001 par value, </w:t>
            </w:r>
            <w:bookmarkStart w:id="55" w:name="xdx_901_eus-gaap--TemporaryEquitySharesA"/>
            <w:bookmarkStart w:id="56" w:name="xdx_904_eus-gaap--TemporaryEquitySharesA"/>
            <w:bookmarkEnd w:id="55"/>
            <w:bookmarkEnd w:id="56"/>
            <w:r>
              <w:rPr/>
              <w:t xml:space="preserve">12,000,000 shares authorized; </w:t>
            </w:r>
            <w:bookmarkStart w:id="57" w:name="xdx_901_eus-gaap--TemporaryEquitySharesO"/>
            <w:bookmarkStart w:id="58" w:name="xdx_908_eus-gaap--TemporaryEquitySharesO"/>
            <w:bookmarkStart w:id="59" w:name="xdx_909_eus-gaap--TemporaryEquitySharesI"/>
            <w:bookmarkStart w:id="60" w:name="xdx_90D_eus-gaap--TemporaryEquitySharesI"/>
            <w:bookmarkEnd w:id="57"/>
            <w:bookmarkEnd w:id="58"/>
            <w:bookmarkEnd w:id="59"/>
            <w:bookmarkEnd w:id="60"/>
            <w:r>
              <w:rPr/>
              <w:t>300,000 shares issued and outstanding as of March 31, 2025 and December 31, 2024</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181" w:type="dxa"/>
            <w:tcBorders/>
            <w:shd w:fill="CCEEFF" w:val="clear"/>
            <w:vAlign w:val="center"/>
          </w:tcPr>
          <w:p>
            <w:pPr>
              <w:pStyle w:val="TableContents"/>
              <w:bidi w:val="0"/>
              <w:spacing w:before="0" w:after="283"/>
              <w:jc w:val="right"/>
              <w:rPr/>
            </w:pPr>
            <w:r>
              <w:rPr/>
              <w:t>36,164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87" w:type="dxa"/>
            <w:tcBorders/>
            <w:shd w:fill="CCEEFF" w:val="clear"/>
            <w:vAlign w:val="center"/>
          </w:tcPr>
          <w:p>
            <w:pPr>
              <w:pStyle w:val="TableContents"/>
              <w:bidi w:val="0"/>
              <w:spacing w:before="0" w:after="283"/>
              <w:jc w:val="right"/>
              <w:rPr/>
            </w:pPr>
            <w:r>
              <w:rPr/>
              <w:t>35,455</w:t>
            </w:r>
          </w:p>
        </w:tc>
        <w:tc>
          <w:tcPr>
            <w:tcW w:w="113" w:type="dxa"/>
            <w:tcBorders/>
            <w:shd w:fill="CCEEFF" w:val="clear"/>
            <w:vAlign w:val="center"/>
          </w:tcPr>
          <w:p>
            <w:pPr>
              <w:pStyle w:val="TableContents"/>
              <w:bidi w:val="0"/>
              <w:spacing w:before="0" w:after="283"/>
              <w:jc w:val="left"/>
              <w:rPr/>
            </w:pPr>
            <w:r>
              <w:rPr/>
              <w:t> </w:t>
            </w:r>
            <w:bookmarkStart w:id="61" w:name="xdx_40F_eus-gaap--StockholdersEquityAbst"/>
            <w:bookmarkEnd w:id="61"/>
          </w:p>
        </w:tc>
      </w:tr>
      <w:tr>
        <w:trPr/>
        <w:tc>
          <w:tcPr>
            <w:tcW w:w="7083"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62" w:name="xdx_400_eus-gaap--CommonStockValue_i02I_"/>
            <w:bookmarkEnd w:id="62"/>
          </w:p>
        </w:tc>
      </w:tr>
      <w:tr>
        <w:trPr/>
        <w:tc>
          <w:tcPr>
            <w:tcW w:w="7083" w:type="dxa"/>
            <w:tcBorders/>
            <w:shd w:fill="CCEEFF" w:val="clear"/>
            <w:vAlign w:val="center"/>
          </w:tcPr>
          <w:p>
            <w:pPr>
              <w:pStyle w:val="TableContents"/>
              <w:bidi w:val="0"/>
              <w:spacing w:before="0" w:after="283"/>
              <w:jc w:val="left"/>
              <w:rPr/>
            </w:pPr>
            <w:r>
              <w:rPr/>
              <w:t>Class A common stock, $</w:t>
            </w:r>
            <w:bookmarkStart w:id="63" w:name="xdx_906_eus-gaap--CommonStockParOrStated"/>
            <w:bookmarkStart w:id="64" w:name="xdx_90B_eus-gaap--CommonStockParOrStated"/>
            <w:bookmarkEnd w:id="63"/>
            <w:bookmarkEnd w:id="64"/>
            <w:r>
              <w:rPr/>
              <w:t xml:space="preserve">0.0001 par value, </w:t>
            </w:r>
            <w:bookmarkStart w:id="65" w:name="xdx_900_eus-gaap--CommonStockSharesAutho"/>
            <w:bookmarkStart w:id="66" w:name="xdx_90D_eus-gaap--CommonStockSharesAutho"/>
            <w:bookmarkEnd w:id="65"/>
            <w:bookmarkEnd w:id="66"/>
            <w:r>
              <w:rPr/>
              <w:t xml:space="preserve">450,000,000 shares authorized; </w:t>
            </w:r>
            <w:bookmarkStart w:id="67" w:name="xdx_908_eus-gaap--CommonStockSharesOutst"/>
            <w:bookmarkStart w:id="68" w:name="xdx_906_eus-gaap--CommonStockSharesOutst"/>
            <w:bookmarkStart w:id="69" w:name="xdx_90A_eus-gaap--CommonStockSharesIssue"/>
            <w:bookmarkStart w:id="70" w:name="xdx_903_eus-gaap--CommonStockSharesIssue"/>
            <w:bookmarkEnd w:id="67"/>
            <w:bookmarkEnd w:id="68"/>
            <w:bookmarkEnd w:id="69"/>
            <w:bookmarkEnd w:id="70"/>
            <w:r>
              <w:rPr/>
              <w:t>16,096,296 shares issued and outstanding as of March 31, 2025 and December 31, 2024</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w:t>
            </w:r>
          </w:p>
        </w:tc>
        <w:tc>
          <w:tcPr>
            <w:tcW w:w="1181" w:type="dxa"/>
            <w:tcBorders/>
            <w:shd w:fill="CCEEFF" w:val="clear"/>
            <w:vAlign w:val="center"/>
          </w:tcPr>
          <w:p>
            <w:pPr>
              <w:pStyle w:val="TableContents"/>
              <w:bidi w:val="0"/>
              <w:spacing w:before="0" w:after="283"/>
              <w:jc w:val="right"/>
              <w:rPr/>
            </w:pPr>
            <w:r>
              <w:rPr/>
              <w:t>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1287" w:type="dxa"/>
            <w:tcBorders/>
            <w:shd w:fill="CCEEFF" w:val="clear"/>
            <w:vAlign w:val="center"/>
          </w:tcPr>
          <w:p>
            <w:pPr>
              <w:pStyle w:val="TableContents"/>
              <w:bidi w:val="0"/>
              <w:spacing w:before="0" w:after="283"/>
              <w:jc w:val="right"/>
              <w:rPr/>
            </w:pPr>
            <w:r>
              <w:rPr/>
              <w:t>24</w:t>
            </w:r>
          </w:p>
        </w:tc>
        <w:tc>
          <w:tcPr>
            <w:tcW w:w="113" w:type="dxa"/>
            <w:tcBorders/>
            <w:shd w:fill="CCEEFF" w:val="clear"/>
            <w:vAlign w:val="center"/>
          </w:tcPr>
          <w:p>
            <w:pPr>
              <w:pStyle w:val="TableContents"/>
              <w:bidi w:val="0"/>
              <w:spacing w:before="0" w:after="283"/>
              <w:jc w:val="left"/>
              <w:rPr/>
            </w:pPr>
            <w:r>
              <w:rPr/>
              <w:t> </w:t>
            </w:r>
            <w:bookmarkStart w:id="71" w:name="xdx_402_eus-gaap--AdditionalPaidInCapita"/>
            <w:bookmarkEnd w:id="71"/>
          </w:p>
        </w:tc>
      </w:tr>
      <w:tr>
        <w:trPr/>
        <w:tc>
          <w:tcPr>
            <w:tcW w:w="7083"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1,183,904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287" w:type="dxa"/>
            <w:tcBorders/>
            <w:shd w:fill="FFFFFF" w:val="clear"/>
            <w:vAlign w:val="center"/>
          </w:tcPr>
          <w:p>
            <w:pPr>
              <w:pStyle w:val="TableContents"/>
              <w:bidi w:val="0"/>
              <w:spacing w:before="0" w:after="283"/>
              <w:jc w:val="right"/>
              <w:rPr/>
            </w:pPr>
            <w:r>
              <w:rPr/>
              <w:t>1,184,505</w:t>
            </w:r>
          </w:p>
        </w:tc>
        <w:tc>
          <w:tcPr>
            <w:tcW w:w="113" w:type="dxa"/>
            <w:tcBorders/>
            <w:shd w:fill="FFFFFF" w:val="clear"/>
            <w:vAlign w:val="center"/>
          </w:tcPr>
          <w:p>
            <w:pPr>
              <w:pStyle w:val="TableContents"/>
              <w:bidi w:val="0"/>
              <w:spacing w:before="0" w:after="283"/>
              <w:jc w:val="left"/>
              <w:rPr/>
            </w:pPr>
            <w:r>
              <w:rPr/>
              <w:t> </w:t>
            </w:r>
            <w:bookmarkStart w:id="72" w:name="xdx_40E_eus-gaap--AccumulatedOtherCompre"/>
            <w:bookmarkEnd w:id="72"/>
          </w:p>
        </w:tc>
      </w:tr>
      <w:tr>
        <w:trPr/>
        <w:tc>
          <w:tcPr>
            <w:tcW w:w="7083" w:type="dxa"/>
            <w:tcBorders/>
            <w:shd w:fill="CCEEFF" w:val="clear"/>
            <w:vAlign w:val="center"/>
          </w:tcPr>
          <w:p>
            <w:pPr>
              <w:pStyle w:val="TableContents"/>
              <w:bidi w:val="0"/>
              <w:spacing w:before="0" w:after="283"/>
              <w:jc w:val="left"/>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592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1287" w:type="dxa"/>
            <w:tcBorders/>
            <w:shd w:fill="CCEEFF" w:val="clear"/>
            <w:vAlign w:val="center"/>
          </w:tcPr>
          <w:p>
            <w:pPr>
              <w:pStyle w:val="TableContents"/>
              <w:bidi w:val="0"/>
              <w:spacing w:before="0" w:after="283"/>
              <w:jc w:val="right"/>
              <w:rPr/>
            </w:pPr>
            <w:r>
              <w:rPr/>
              <w:t>666</w:t>
            </w:r>
          </w:p>
        </w:tc>
        <w:tc>
          <w:tcPr>
            <w:tcW w:w="113" w:type="dxa"/>
            <w:tcBorders/>
            <w:shd w:fill="CCEEFF" w:val="clear"/>
            <w:vAlign w:val="center"/>
          </w:tcPr>
          <w:p>
            <w:pPr>
              <w:pStyle w:val="TableContents"/>
              <w:bidi w:val="0"/>
              <w:spacing w:before="0" w:after="283"/>
              <w:jc w:val="left"/>
              <w:rPr/>
            </w:pPr>
            <w:r>
              <w:rPr/>
              <w:t> </w:t>
            </w:r>
            <w:bookmarkStart w:id="73" w:name="xdx_407_eus-gaap--RetainedEarningsAccumu"/>
            <w:bookmarkEnd w:id="73"/>
          </w:p>
        </w:tc>
      </w:tr>
      <w:tr>
        <w:trPr/>
        <w:tc>
          <w:tcPr>
            <w:tcW w:w="7083"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5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1" w:type="dxa"/>
            <w:tcBorders>
              <w:bottom w:val="single" w:sz="8" w:space="0" w:color="000000"/>
            </w:tcBorders>
            <w:shd w:fill="FFFFFF" w:val="clear"/>
            <w:tcMar>
              <w:bottom w:w="28" w:type="dxa"/>
            </w:tcMar>
            <w:vAlign w:val="center"/>
          </w:tcPr>
          <w:p>
            <w:pPr>
              <w:pStyle w:val="TableContents"/>
              <w:bidi w:val="0"/>
              <w:spacing w:before="0" w:after="283"/>
              <w:jc w:val="right"/>
              <w:rPr/>
            </w:pPr>
            <w:r>
              <w:rPr/>
              <w:t>(1,179,626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87" w:type="dxa"/>
            <w:tcBorders>
              <w:bottom w:val="single" w:sz="8" w:space="0" w:color="000000"/>
            </w:tcBorders>
            <w:shd w:fill="FFFFFF" w:val="clear"/>
            <w:tcMar>
              <w:bottom w:w="28" w:type="dxa"/>
            </w:tcMar>
            <w:vAlign w:val="center"/>
          </w:tcPr>
          <w:p>
            <w:pPr>
              <w:pStyle w:val="TableContents"/>
              <w:bidi w:val="0"/>
              <w:spacing w:before="0" w:after="283"/>
              <w:jc w:val="right"/>
              <w:rPr/>
            </w:pPr>
            <w:r>
              <w:rPr/>
              <w:t>(1,178,415</w:t>
            </w:r>
          </w:p>
        </w:tc>
        <w:tc>
          <w:tcPr>
            <w:tcW w:w="113" w:type="dxa"/>
            <w:tcBorders/>
            <w:shd w:fill="FFFFFF" w:val="clear"/>
            <w:vAlign w:val="center"/>
          </w:tcPr>
          <w:p>
            <w:pPr>
              <w:pStyle w:val="TableContents"/>
              <w:bidi w:val="0"/>
              <w:spacing w:before="0" w:after="283"/>
              <w:jc w:val="left"/>
              <w:rPr/>
            </w:pPr>
            <w:r>
              <w:rPr/>
              <w:t>)</w:t>
            </w:r>
            <w:bookmarkStart w:id="74" w:name="xdx_40C_eus-gaap--StockholdersEquity_i02"/>
            <w:bookmarkEnd w:id="74"/>
          </w:p>
        </w:tc>
      </w:tr>
      <w:tr>
        <w:trPr/>
        <w:tc>
          <w:tcPr>
            <w:tcW w:w="7083" w:type="dxa"/>
            <w:tcBorders/>
            <w:shd w:fill="CCEEFF" w:val="clear"/>
            <w:vAlign w:val="center"/>
          </w:tcPr>
          <w:p>
            <w:pPr>
              <w:pStyle w:val="TableContents"/>
              <w:bidi w:val="0"/>
              <w:spacing w:before="0" w:after="283"/>
              <w:jc w:val="left"/>
              <w:rPr/>
            </w:pPr>
            <w:r>
              <w:rPr/>
              <w:t>Total stockholders’ equity</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181" w:type="dxa"/>
            <w:tcBorders>
              <w:bottom w:val="single" w:sz="8" w:space="0" w:color="000000"/>
            </w:tcBorders>
            <w:shd w:fill="CCEEFF" w:val="clear"/>
            <w:tcMar>
              <w:bottom w:w="28" w:type="dxa"/>
            </w:tcMar>
            <w:vAlign w:val="center"/>
          </w:tcPr>
          <w:p>
            <w:pPr>
              <w:pStyle w:val="TableContents"/>
              <w:bidi w:val="0"/>
              <w:spacing w:before="0" w:after="283"/>
              <w:jc w:val="right"/>
              <w:rPr/>
            </w:pPr>
            <w:r>
              <w:rPr/>
              <w:t>4,894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1287" w:type="dxa"/>
            <w:tcBorders>
              <w:bottom w:val="single" w:sz="8" w:space="0" w:color="000000"/>
            </w:tcBorders>
            <w:shd w:fill="CCEEFF" w:val="clear"/>
            <w:tcMar>
              <w:bottom w:w="28" w:type="dxa"/>
            </w:tcMar>
            <w:vAlign w:val="center"/>
          </w:tcPr>
          <w:p>
            <w:pPr>
              <w:pStyle w:val="TableContents"/>
              <w:bidi w:val="0"/>
              <w:spacing w:before="0" w:after="283"/>
              <w:jc w:val="right"/>
              <w:rPr/>
            </w:pPr>
            <w:r>
              <w:rPr/>
              <w:t>6,780</w:t>
            </w:r>
          </w:p>
        </w:tc>
        <w:tc>
          <w:tcPr>
            <w:tcW w:w="113" w:type="dxa"/>
            <w:tcBorders/>
            <w:shd w:fill="CCEEFF" w:val="clear"/>
            <w:vAlign w:val="center"/>
          </w:tcPr>
          <w:p>
            <w:pPr>
              <w:pStyle w:val="TableContents"/>
              <w:bidi w:val="0"/>
              <w:spacing w:before="0" w:after="283"/>
              <w:jc w:val="left"/>
              <w:rPr/>
            </w:pPr>
            <w:r>
              <w:rPr/>
              <w:t> </w:t>
            </w:r>
            <w:bookmarkStart w:id="75" w:name="xdx_40F_eus-gaap--LiabilitiesAndStockhol"/>
            <w:bookmarkEnd w:id="75"/>
          </w:p>
        </w:tc>
      </w:tr>
      <w:tr>
        <w:trPr/>
        <w:tc>
          <w:tcPr>
            <w:tcW w:w="7083" w:type="dxa"/>
            <w:tcBorders/>
            <w:shd w:fill="FFFFFF" w:val="clear"/>
            <w:vAlign w:val="center"/>
          </w:tcPr>
          <w:p>
            <w:pPr>
              <w:pStyle w:val="TableContents"/>
              <w:bidi w:val="0"/>
              <w:spacing w:before="0" w:after="283"/>
              <w:jc w:val="left"/>
              <w:rPr/>
            </w:pPr>
            <w:r>
              <w:rPr/>
              <w:t>Total liabilities, mezzanine equity and stockholders’ equity</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1"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51,496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287"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53,183</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bookmarkStart w:id="76" w:name="a_004"/>
      <w:bookmarkEnd w:id="76"/>
      <w:r>
        <w:rPr>
          <w:rFonts w:ascii="Times New Roman;Times;Serif" w:hAnsi="Times New Roman;Times;Serif"/>
          <w:b/>
          <w:i w:val="false"/>
          <w:caps w:val="false"/>
          <w:smallCaps w:val="false"/>
          <w:sz w:val="20"/>
        </w:rPr>
        <w:t>Condensed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for per share data)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77" w:name="xdx_303_113_pn3n3_zFL522mcsvL5"/>
      <w:bookmarkStart w:id="78" w:name="xdx_303_113_pn3n3_zFL522mcsvL5"/>
      <w:bookmarkEnd w:id="78"/>
    </w:p>
    <w:tbl>
      <w:tblPr>
        <w:tblW w:w="10205" w:type="dxa"/>
        <w:jc w:val="left"/>
        <w:tblInd w:w="0" w:type="dxa"/>
        <w:tblLayout w:type="fixed"/>
        <w:tblCellMar>
          <w:top w:w="0" w:type="dxa"/>
          <w:left w:w="0" w:type="dxa"/>
          <w:bottom w:w="0" w:type="dxa"/>
          <w:right w:w="0" w:type="dxa"/>
        </w:tblCellMar>
      </w:tblPr>
      <w:tblGrid>
        <w:gridCol w:w="3939"/>
        <w:gridCol w:w="60"/>
        <w:gridCol w:w="506"/>
        <w:gridCol w:w="2463"/>
        <w:gridCol w:w="95"/>
        <w:gridCol w:w="60"/>
        <w:gridCol w:w="506"/>
        <w:gridCol w:w="2463"/>
        <w:gridCol w:w="113"/>
      </w:tblGrid>
      <w:tr>
        <w:trPr/>
        <w:tc>
          <w:tcPr>
            <w:tcW w:w="39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 w:name="xdx_49A_20250101__20250331_zIY320SMiQ3j"/>
            <w:bookmarkEnd w:id="79"/>
          </w:p>
        </w:tc>
        <w:tc>
          <w:tcPr>
            <w:tcW w:w="29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0" w:name="xdx_49D_20240101__20240331_z1Qm6sr6wdAh"/>
            <w:bookmarkEnd w:id="80"/>
          </w:p>
        </w:tc>
        <w:tc>
          <w:tcPr>
            <w:tcW w:w="29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For the three months ended March 31, 2024</w:t>
            </w:r>
          </w:p>
        </w:tc>
        <w:tc>
          <w:tcPr>
            <w:tcW w:w="113" w:type="dxa"/>
            <w:tcBorders/>
            <w:vAlign w:val="center"/>
          </w:tcPr>
          <w:p>
            <w:pPr>
              <w:pStyle w:val="TableContents"/>
              <w:bidi w:val="0"/>
              <w:spacing w:before="0" w:after="283"/>
              <w:jc w:val="left"/>
              <w:rPr/>
            </w:pPr>
            <w:r>
              <w:rPr/>
              <w:t> </w:t>
            </w:r>
            <w:bookmarkStart w:id="81" w:name="xdx_404_eus-gaap--OperatingExpensesAbstr"/>
            <w:bookmarkEnd w:id="81"/>
          </w:p>
        </w:tc>
      </w:tr>
      <w:tr>
        <w:trPr/>
        <w:tc>
          <w:tcPr>
            <w:tcW w:w="3939" w:type="dxa"/>
            <w:tcBorders/>
            <w:shd w:fill="CCEEFF" w:val="clear"/>
            <w:vAlign w:val="center"/>
          </w:tcPr>
          <w:p>
            <w:pPr>
              <w:pStyle w:val="TableContents"/>
              <w:bidi w:val="0"/>
              <w:spacing w:before="0" w:after="283"/>
              <w:jc w:val="left"/>
              <w:rPr/>
            </w:pPr>
            <w:r>
              <w:rPr/>
              <w:t>Operating (income) expense:</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24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246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82" w:name="xdx_405_eus-gaap--SellingGeneralAndAdmin"/>
            <w:bookmarkEnd w:id="82"/>
          </w:p>
        </w:tc>
      </w:tr>
      <w:tr>
        <w:trPr/>
        <w:tc>
          <w:tcPr>
            <w:tcW w:w="3939" w:type="dxa"/>
            <w:tcBorders/>
            <w:shd w:fill="FFFFFF" w:val="clear"/>
            <w:vAlign w:val="center"/>
          </w:tcPr>
          <w:p>
            <w:pPr>
              <w:pStyle w:val="TableContents"/>
              <w:bidi w:val="0"/>
              <w:spacing w:before="0" w:after="283"/>
              <w:jc w:val="left"/>
              <w:rPr/>
            </w:pPr>
            <w:r>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2463" w:type="dxa"/>
            <w:tcBorders/>
            <w:shd w:fill="FFFFFF" w:val="clear"/>
            <w:vAlign w:val="center"/>
          </w:tcPr>
          <w:p>
            <w:pPr>
              <w:pStyle w:val="TableContents"/>
              <w:bidi w:val="0"/>
              <w:spacing w:before="0" w:after="283"/>
              <w:jc w:val="right"/>
              <w:rPr/>
            </w:pPr>
            <w:r>
              <w:rPr/>
              <w:t>1,938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2463" w:type="dxa"/>
            <w:tcBorders/>
            <w:shd w:fill="FFFFFF" w:val="clear"/>
            <w:vAlign w:val="center"/>
          </w:tcPr>
          <w:p>
            <w:pPr>
              <w:pStyle w:val="TableContents"/>
              <w:bidi w:val="0"/>
              <w:spacing w:before="0" w:after="283"/>
              <w:jc w:val="right"/>
              <w:rPr/>
            </w:pPr>
            <w:r>
              <w:rPr/>
              <w:t>5,243</w:t>
            </w:r>
          </w:p>
        </w:tc>
        <w:tc>
          <w:tcPr>
            <w:tcW w:w="113" w:type="dxa"/>
            <w:tcBorders/>
            <w:shd w:fill="FFFFFF" w:val="clear"/>
            <w:vAlign w:val="center"/>
          </w:tcPr>
          <w:p>
            <w:pPr>
              <w:pStyle w:val="TableContents"/>
              <w:bidi w:val="0"/>
              <w:spacing w:before="0" w:after="283"/>
              <w:jc w:val="left"/>
              <w:rPr/>
            </w:pPr>
            <w:r>
              <w:rPr/>
              <w:t> </w:t>
            </w:r>
            <w:bookmarkStart w:id="83" w:name="xdx_40E_ecustom--LegalAndLitigationAccru"/>
            <w:bookmarkEnd w:id="83"/>
          </w:p>
        </w:tc>
      </w:tr>
      <w:tr>
        <w:trPr/>
        <w:tc>
          <w:tcPr>
            <w:tcW w:w="3939" w:type="dxa"/>
            <w:tcBorders/>
            <w:shd w:fill="CCEEFF" w:val="clear"/>
            <w:vAlign w:val="center"/>
          </w:tcPr>
          <w:p>
            <w:pPr>
              <w:pStyle w:val="TableContents"/>
              <w:bidi w:val="0"/>
              <w:spacing w:before="0" w:after="283"/>
              <w:jc w:val="left"/>
              <w:rPr/>
            </w:pPr>
            <w:r>
              <w:rPr/>
              <w:t>Legal settlement and litigation benefit, net</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2463" w:type="dxa"/>
            <w:tcBorders/>
            <w:shd w:fill="CCEEFF" w:val="clear"/>
            <w:vAlign w:val="center"/>
          </w:tcPr>
          <w:p>
            <w:pPr>
              <w:pStyle w:val="TableContents"/>
              <w:bidi w:val="0"/>
              <w:spacing w:before="0" w:after="283"/>
              <w:jc w:val="right"/>
              <w:rPr/>
            </w:pPr>
            <w:r>
              <w:rPr/>
              <w:t>(172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2463" w:type="dxa"/>
            <w:tcBorders/>
            <w:shd w:fill="CCEEFF" w:val="clear"/>
            <w:vAlign w:val="center"/>
          </w:tcPr>
          <w:p>
            <w:pPr>
              <w:pStyle w:val="TableContents"/>
              <w:bidi w:val="0"/>
              <w:spacing w:before="0" w:after="283"/>
              <w:jc w:val="right"/>
              <w:rPr/>
            </w:pPr>
            <w:r>
              <w:rPr/>
              <w:t>(544</w:t>
            </w:r>
          </w:p>
        </w:tc>
        <w:tc>
          <w:tcPr>
            <w:tcW w:w="113" w:type="dxa"/>
            <w:tcBorders/>
            <w:shd w:fill="CCEEFF" w:val="clear"/>
            <w:vAlign w:val="center"/>
          </w:tcPr>
          <w:p>
            <w:pPr>
              <w:pStyle w:val="TableContents"/>
              <w:bidi w:val="0"/>
              <w:spacing w:before="0" w:after="283"/>
              <w:jc w:val="left"/>
              <w:rPr/>
            </w:pPr>
            <w:r>
              <w:rPr/>
              <w:t>)</w:t>
            </w:r>
            <w:bookmarkStart w:id="84" w:name="xdx_405_eus-gaap--DebtorReorganizationIt"/>
            <w:bookmarkEnd w:id="84"/>
          </w:p>
        </w:tc>
      </w:tr>
      <w:tr>
        <w:trPr/>
        <w:tc>
          <w:tcPr>
            <w:tcW w:w="3939" w:type="dxa"/>
            <w:tcBorders/>
            <w:shd w:fill="FFFFFF" w:val="clear"/>
            <w:vAlign w:val="center"/>
          </w:tcPr>
          <w:p>
            <w:pPr>
              <w:pStyle w:val="TableContents"/>
              <w:bidi w:val="0"/>
              <w:spacing w:before="0" w:after="283"/>
              <w:jc w:val="left"/>
              <w:rPr/>
            </w:pPr>
            <w:r>
              <w:rPr/>
              <w:t>Reorganization items</w:t>
            </w:r>
          </w:p>
        </w:tc>
        <w:tc>
          <w:tcPr>
            <w:tcW w:w="60" w:type="dxa"/>
            <w:tcBorders/>
            <w:shd w:fill="FFFFFF" w:val="clear"/>
            <w:vAlign w:val="center"/>
          </w:tcPr>
          <w:p>
            <w:pPr>
              <w:pStyle w:val="TableContents"/>
              <w:bidi w:val="0"/>
              <w:spacing w:before="0" w:after="283"/>
              <w:jc w:val="left"/>
              <w:rPr/>
            </w:pPr>
            <w:r>
              <w:rPr/>
              <w:t> </w:t>
            </w:r>
          </w:p>
        </w:tc>
        <w:tc>
          <w:tcPr>
            <w:tcW w:w="5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46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463" w:type="dxa"/>
            <w:tcBorders>
              <w:bottom w:val="single" w:sz="8" w:space="0" w:color="000000"/>
            </w:tcBorders>
            <w:shd w:fill="FFFFFF" w:val="clear"/>
            <w:tcMar>
              <w:bottom w:w="28" w:type="dxa"/>
            </w:tcMar>
            <w:vAlign w:val="center"/>
          </w:tcPr>
          <w:p>
            <w:pPr>
              <w:pStyle w:val="TableContents"/>
              <w:bidi w:val="0"/>
              <w:spacing w:before="0" w:after="283"/>
              <w:jc w:val="right"/>
              <w:rPr/>
            </w:pPr>
            <w:r>
              <w:rPr/>
              <w:t>4,785</w:t>
            </w:r>
          </w:p>
        </w:tc>
        <w:tc>
          <w:tcPr>
            <w:tcW w:w="113" w:type="dxa"/>
            <w:tcBorders/>
            <w:shd w:fill="FFFFFF" w:val="clear"/>
            <w:vAlign w:val="center"/>
          </w:tcPr>
          <w:p>
            <w:pPr>
              <w:pStyle w:val="TableContents"/>
              <w:bidi w:val="0"/>
              <w:spacing w:before="0" w:after="283"/>
              <w:jc w:val="left"/>
              <w:rPr/>
            </w:pPr>
            <w:r>
              <w:rPr/>
              <w:t> </w:t>
            </w:r>
            <w:bookmarkStart w:id="85" w:name="xdx_408_eus-gaap--OperatingExpenses_i01T"/>
            <w:bookmarkEnd w:id="85"/>
          </w:p>
        </w:tc>
      </w:tr>
      <w:tr>
        <w:trPr/>
        <w:tc>
          <w:tcPr>
            <w:tcW w:w="3939" w:type="dxa"/>
            <w:tcBorders/>
            <w:shd w:fill="CCEEFF" w:val="clear"/>
            <w:vAlign w:val="center"/>
          </w:tcPr>
          <w:p>
            <w:pPr>
              <w:pStyle w:val="TableContents"/>
              <w:bidi w:val="0"/>
              <w:spacing w:before="0" w:after="283"/>
              <w:jc w:val="left"/>
              <w:rPr/>
            </w:pPr>
            <w:r>
              <w:rPr/>
              <w:t>Total operating expense, net</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w:t>
            </w:r>
          </w:p>
        </w:tc>
        <w:tc>
          <w:tcPr>
            <w:tcW w:w="2463" w:type="dxa"/>
            <w:tcBorders/>
            <w:shd w:fill="CCEEFF" w:val="clear"/>
            <w:vAlign w:val="center"/>
          </w:tcPr>
          <w:p>
            <w:pPr>
              <w:pStyle w:val="TableContents"/>
              <w:bidi w:val="0"/>
              <w:spacing w:before="0" w:after="283"/>
              <w:jc w:val="right"/>
              <w:rPr/>
            </w:pPr>
            <w:r>
              <w:rPr/>
              <w:t>1,766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w:t>
            </w:r>
          </w:p>
        </w:tc>
        <w:tc>
          <w:tcPr>
            <w:tcW w:w="2463" w:type="dxa"/>
            <w:tcBorders/>
            <w:shd w:fill="CCEEFF" w:val="clear"/>
            <w:vAlign w:val="center"/>
          </w:tcPr>
          <w:p>
            <w:pPr>
              <w:pStyle w:val="TableContents"/>
              <w:bidi w:val="0"/>
              <w:spacing w:before="0" w:after="283"/>
              <w:jc w:val="right"/>
              <w:rPr/>
            </w:pPr>
            <w:r>
              <w:rPr/>
              <w:t>9,484</w:t>
            </w:r>
          </w:p>
        </w:tc>
        <w:tc>
          <w:tcPr>
            <w:tcW w:w="113" w:type="dxa"/>
            <w:tcBorders/>
            <w:shd w:fill="CCEEFF" w:val="clear"/>
            <w:vAlign w:val="center"/>
          </w:tcPr>
          <w:p>
            <w:pPr>
              <w:pStyle w:val="TableContents"/>
              <w:bidi w:val="0"/>
              <w:spacing w:before="0" w:after="283"/>
              <w:jc w:val="left"/>
              <w:rPr/>
            </w:pPr>
            <w:r>
              <w:rPr/>
              <w:t> </w:t>
            </w:r>
          </w:p>
        </w:tc>
      </w:tr>
      <w:tr>
        <w:trPr/>
        <w:tc>
          <w:tcPr>
            <w:tcW w:w="39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46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463"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86" w:name="xdx_402_eus-gaap--OperatingIncomeLoss_iT"/>
            <w:bookmarkEnd w:id="86"/>
          </w:p>
        </w:tc>
      </w:tr>
      <w:tr>
        <w:trPr/>
        <w:tc>
          <w:tcPr>
            <w:tcW w:w="3939"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w:t>
            </w:r>
          </w:p>
        </w:tc>
        <w:tc>
          <w:tcPr>
            <w:tcW w:w="2463" w:type="dxa"/>
            <w:tcBorders/>
            <w:shd w:fill="CCEEFF" w:val="clear"/>
            <w:vAlign w:val="center"/>
          </w:tcPr>
          <w:p>
            <w:pPr>
              <w:pStyle w:val="TableContents"/>
              <w:bidi w:val="0"/>
              <w:spacing w:before="0" w:after="283"/>
              <w:jc w:val="right"/>
              <w:rPr/>
            </w:pPr>
            <w:r>
              <w:rPr/>
              <w:t>(1,766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w:t>
            </w:r>
          </w:p>
        </w:tc>
        <w:tc>
          <w:tcPr>
            <w:tcW w:w="2463" w:type="dxa"/>
            <w:tcBorders/>
            <w:shd w:fill="CCEEFF" w:val="clear"/>
            <w:vAlign w:val="center"/>
          </w:tcPr>
          <w:p>
            <w:pPr>
              <w:pStyle w:val="TableContents"/>
              <w:bidi w:val="0"/>
              <w:spacing w:before="0" w:after="283"/>
              <w:jc w:val="right"/>
              <w:rPr/>
            </w:pPr>
            <w:r>
              <w:rPr/>
              <w:t>(9,484</w:t>
            </w:r>
          </w:p>
        </w:tc>
        <w:tc>
          <w:tcPr>
            <w:tcW w:w="113" w:type="dxa"/>
            <w:tcBorders/>
            <w:shd w:fill="CCEEFF" w:val="clear"/>
            <w:vAlign w:val="center"/>
          </w:tcPr>
          <w:p>
            <w:pPr>
              <w:pStyle w:val="TableContents"/>
              <w:bidi w:val="0"/>
              <w:spacing w:before="0" w:after="283"/>
              <w:jc w:val="left"/>
              <w:rPr/>
            </w:pPr>
            <w:r>
              <w:rPr/>
              <w:t>)</w:t>
            </w:r>
          </w:p>
        </w:tc>
      </w:tr>
      <w:tr>
        <w:trPr/>
        <w:tc>
          <w:tcPr>
            <w:tcW w:w="39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24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246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87" w:name="xdx_40E_eus-gaap--NonoperatingIncomeExpe"/>
            <w:bookmarkEnd w:id="87"/>
          </w:p>
        </w:tc>
      </w:tr>
      <w:tr>
        <w:trPr/>
        <w:tc>
          <w:tcPr>
            <w:tcW w:w="3939" w:type="dxa"/>
            <w:tcBorders/>
            <w:shd w:fill="CCEEFF" w:val="clear"/>
            <w:vAlign w:val="center"/>
          </w:tcPr>
          <w:p>
            <w:pPr>
              <w:pStyle w:val="TableContents"/>
              <w:bidi w:val="0"/>
              <w:spacing w:before="0" w:after="283"/>
              <w:jc w:val="left"/>
              <w:rPr/>
            </w:pPr>
            <w:r>
              <w:rPr/>
              <w:t>Other income (expense):</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24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246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88" w:name="xdx_403_eus-gaap--OtherNonoperatingExpen"/>
            <w:bookmarkEnd w:id="88"/>
          </w:p>
        </w:tc>
      </w:tr>
      <w:tr>
        <w:trPr/>
        <w:tc>
          <w:tcPr>
            <w:tcW w:w="3939" w:type="dxa"/>
            <w:tcBorders/>
            <w:shd w:fill="FFFFFF" w:val="clear"/>
            <w:vAlign w:val="center"/>
          </w:tcPr>
          <w:p>
            <w:pPr>
              <w:pStyle w:val="TableContents"/>
              <w:bidi w:val="0"/>
              <w:spacing w:before="0" w:after="283"/>
              <w:jc w:val="left"/>
              <w:rPr/>
            </w:pPr>
            <w:r>
              <w:rPr/>
              <w:t>Other expense, net</w:t>
            </w:r>
          </w:p>
        </w:tc>
        <w:tc>
          <w:tcPr>
            <w:tcW w:w="6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2463" w:type="dxa"/>
            <w:tcBorders/>
            <w:shd w:fill="FFFFFF" w:val="clear"/>
            <w:vAlign w:val="center"/>
          </w:tcPr>
          <w:p>
            <w:pPr>
              <w:pStyle w:val="TableContents"/>
              <w:bidi w:val="0"/>
              <w:spacing w:before="0" w:after="283"/>
              <w:jc w:val="right"/>
              <w:rPr/>
            </w:pPr>
            <w:r>
              <w:rPr/>
              <w:t>(31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2463" w:type="dxa"/>
            <w:tcBorders/>
            <w:shd w:fill="FFFFFF" w:val="clear"/>
            <w:vAlign w:val="center"/>
          </w:tcPr>
          <w:p>
            <w:pPr>
              <w:pStyle w:val="TableContents"/>
              <w:bidi w:val="0"/>
              <w:spacing w:before="0" w:after="283"/>
              <w:jc w:val="right"/>
              <w:rPr/>
            </w:pPr>
            <w:r>
              <w:rPr/>
              <w:t>(98</w:t>
            </w:r>
          </w:p>
        </w:tc>
        <w:tc>
          <w:tcPr>
            <w:tcW w:w="113" w:type="dxa"/>
            <w:tcBorders/>
            <w:shd w:fill="FFFFFF" w:val="clear"/>
            <w:vAlign w:val="center"/>
          </w:tcPr>
          <w:p>
            <w:pPr>
              <w:pStyle w:val="TableContents"/>
              <w:bidi w:val="0"/>
              <w:spacing w:before="0" w:after="283"/>
              <w:jc w:val="left"/>
              <w:rPr/>
            </w:pPr>
            <w:r>
              <w:rPr/>
              <w:t>)</w:t>
            </w:r>
            <w:bookmarkStart w:id="89" w:name="xdx_404_eus-gaap--DebtSecuritiesAvailabl"/>
            <w:bookmarkEnd w:id="89"/>
          </w:p>
        </w:tc>
      </w:tr>
      <w:tr>
        <w:trPr/>
        <w:tc>
          <w:tcPr>
            <w:tcW w:w="3939" w:type="dxa"/>
            <w:tcBorders/>
            <w:shd w:fill="CCEEFF" w:val="clear"/>
            <w:vAlign w:val="center"/>
          </w:tcPr>
          <w:p>
            <w:pPr>
              <w:pStyle w:val="TableContents"/>
              <w:bidi w:val="0"/>
              <w:spacing w:before="0" w:after="283"/>
              <w:jc w:val="left"/>
              <w:rPr/>
            </w:pPr>
            <w:r>
              <w:rPr/>
              <w:t>Realized gain on debt securities available for sale</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2463" w:type="dxa"/>
            <w:tcBorders/>
            <w:shd w:fill="CCEEFF" w:val="clear"/>
            <w:vAlign w:val="center"/>
          </w:tcPr>
          <w:p>
            <w:pPr>
              <w:pStyle w:val="TableContents"/>
              <w:bidi w:val="0"/>
              <w:spacing w:before="0" w:after="283"/>
              <w:jc w:val="right"/>
              <w:rPr/>
            </w:pPr>
            <w:r>
              <w:rPr/>
              <w:t>229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2463"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90" w:name="xdx_406_eus-gaap--InvestmentIncomeIntere"/>
            <w:bookmarkEnd w:id="90"/>
          </w:p>
        </w:tc>
      </w:tr>
      <w:tr>
        <w:trPr/>
        <w:tc>
          <w:tcPr>
            <w:tcW w:w="3939" w:type="dxa"/>
            <w:tcBorders/>
            <w:shd w:fill="FFFFFF" w:val="clear"/>
            <w:vAlign w:val="center"/>
          </w:tcPr>
          <w:p>
            <w:pPr>
              <w:pStyle w:val="TableContents"/>
              <w:bidi w:val="0"/>
              <w:spacing w:before="0" w:after="283"/>
              <w:jc w:val="left"/>
              <w:rPr/>
            </w:pPr>
            <w:r>
              <w:rPr/>
              <w:t>Investment and interest income</w:t>
            </w:r>
          </w:p>
        </w:tc>
        <w:tc>
          <w:tcPr>
            <w:tcW w:w="60" w:type="dxa"/>
            <w:tcBorders/>
            <w:shd w:fill="FFFFFF" w:val="clear"/>
            <w:vAlign w:val="center"/>
          </w:tcPr>
          <w:p>
            <w:pPr>
              <w:pStyle w:val="TableContents"/>
              <w:bidi w:val="0"/>
              <w:spacing w:before="0" w:after="283"/>
              <w:jc w:val="left"/>
              <w:rPr/>
            </w:pPr>
            <w:r>
              <w:rPr/>
              <w:t> </w:t>
            </w:r>
          </w:p>
        </w:tc>
        <w:tc>
          <w:tcPr>
            <w:tcW w:w="5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463" w:type="dxa"/>
            <w:tcBorders>
              <w:bottom w:val="single" w:sz="8" w:space="0" w:color="000000"/>
            </w:tcBorders>
            <w:shd w:fill="FFFFFF" w:val="clear"/>
            <w:tcMar>
              <w:bottom w:w="28" w:type="dxa"/>
            </w:tcMar>
            <w:vAlign w:val="center"/>
          </w:tcPr>
          <w:p>
            <w:pPr>
              <w:pStyle w:val="TableContents"/>
              <w:bidi w:val="0"/>
              <w:spacing w:before="0" w:after="283"/>
              <w:jc w:val="right"/>
              <w:rPr/>
            </w:pPr>
            <w:r>
              <w:rPr/>
              <w:t>357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463" w:type="dxa"/>
            <w:tcBorders>
              <w:bottom w:val="single" w:sz="8" w:space="0" w:color="000000"/>
            </w:tcBorders>
            <w:shd w:fill="FFFFFF" w:val="clear"/>
            <w:tcMar>
              <w:bottom w:w="28" w:type="dxa"/>
            </w:tcMar>
            <w:vAlign w:val="center"/>
          </w:tcPr>
          <w:p>
            <w:pPr>
              <w:pStyle w:val="TableContents"/>
              <w:bidi w:val="0"/>
              <w:spacing w:before="0" w:after="283"/>
              <w:jc w:val="right"/>
              <w:rPr/>
            </w:pPr>
            <w:r>
              <w:rPr/>
              <w:t>1,109</w:t>
            </w:r>
          </w:p>
        </w:tc>
        <w:tc>
          <w:tcPr>
            <w:tcW w:w="113" w:type="dxa"/>
            <w:tcBorders/>
            <w:shd w:fill="FFFFFF" w:val="clear"/>
            <w:vAlign w:val="center"/>
          </w:tcPr>
          <w:p>
            <w:pPr>
              <w:pStyle w:val="TableContents"/>
              <w:bidi w:val="0"/>
              <w:spacing w:before="0" w:after="283"/>
              <w:jc w:val="left"/>
              <w:rPr/>
            </w:pPr>
            <w:r>
              <w:rPr/>
              <w:t> </w:t>
            </w:r>
            <w:bookmarkStart w:id="91" w:name="xdx_40F_eus-gaap--IncomeLossFromContinui"/>
            <w:bookmarkEnd w:id="91"/>
          </w:p>
        </w:tc>
      </w:tr>
      <w:tr>
        <w:trPr/>
        <w:tc>
          <w:tcPr>
            <w:tcW w:w="3939"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w:t>
            </w:r>
          </w:p>
        </w:tc>
        <w:tc>
          <w:tcPr>
            <w:tcW w:w="2463" w:type="dxa"/>
            <w:tcBorders/>
            <w:shd w:fill="CCEEFF" w:val="clear"/>
            <w:vAlign w:val="center"/>
          </w:tcPr>
          <w:p>
            <w:pPr>
              <w:pStyle w:val="TableContents"/>
              <w:bidi w:val="0"/>
              <w:spacing w:before="0" w:after="283"/>
              <w:jc w:val="right"/>
              <w:rPr/>
            </w:pPr>
            <w:r>
              <w:rPr/>
              <w:t>(1,211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w:t>
            </w:r>
          </w:p>
        </w:tc>
        <w:tc>
          <w:tcPr>
            <w:tcW w:w="2463" w:type="dxa"/>
            <w:tcBorders/>
            <w:shd w:fill="CCEEFF" w:val="clear"/>
            <w:vAlign w:val="center"/>
          </w:tcPr>
          <w:p>
            <w:pPr>
              <w:pStyle w:val="TableContents"/>
              <w:bidi w:val="0"/>
              <w:spacing w:before="0" w:after="283"/>
              <w:jc w:val="right"/>
              <w:rPr/>
            </w:pPr>
            <w:r>
              <w:rPr/>
              <w:t>(8,473</w:t>
            </w:r>
          </w:p>
        </w:tc>
        <w:tc>
          <w:tcPr>
            <w:tcW w:w="113" w:type="dxa"/>
            <w:tcBorders/>
            <w:shd w:fill="CCEEFF" w:val="clear"/>
            <w:vAlign w:val="center"/>
          </w:tcPr>
          <w:p>
            <w:pPr>
              <w:pStyle w:val="TableContents"/>
              <w:bidi w:val="0"/>
              <w:spacing w:before="0" w:after="283"/>
              <w:jc w:val="left"/>
              <w:rPr/>
            </w:pPr>
            <w:r>
              <w:rPr/>
              <w:t>)</w:t>
            </w:r>
            <w:bookmarkStart w:id="92" w:name="xdx_40D_eus-gaap--IncomeTaxExpenseBenefi"/>
            <w:bookmarkEnd w:id="92"/>
          </w:p>
        </w:tc>
      </w:tr>
      <w:tr>
        <w:trPr/>
        <w:tc>
          <w:tcPr>
            <w:tcW w:w="3939" w:type="dxa"/>
            <w:tcBorders/>
            <w:shd w:fill="FFFFFF" w:val="clear"/>
            <w:vAlign w:val="center"/>
          </w:tcPr>
          <w:p>
            <w:pPr>
              <w:pStyle w:val="TableContents"/>
              <w:bidi w:val="0"/>
              <w:spacing w:before="0" w:after="283"/>
              <w:jc w:val="left"/>
              <w:rPr/>
            </w:pPr>
            <w:r>
              <w:rPr/>
              <w:t>Income tax expense (benefit)</w:t>
            </w:r>
          </w:p>
        </w:tc>
        <w:tc>
          <w:tcPr>
            <w:tcW w:w="60" w:type="dxa"/>
            <w:tcBorders/>
            <w:shd w:fill="FFFFFF" w:val="clear"/>
            <w:vAlign w:val="center"/>
          </w:tcPr>
          <w:p>
            <w:pPr>
              <w:pStyle w:val="TableContents"/>
              <w:bidi w:val="0"/>
              <w:spacing w:before="0" w:after="283"/>
              <w:jc w:val="left"/>
              <w:rPr/>
            </w:pPr>
            <w:r>
              <w:rPr/>
              <w:t> </w:t>
            </w:r>
          </w:p>
        </w:tc>
        <w:tc>
          <w:tcPr>
            <w:tcW w:w="5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46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46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93" w:name="xdx_40B_eus-gaap--NetIncomeLoss_iT_mtNIL"/>
            <w:bookmarkEnd w:id="93"/>
          </w:p>
        </w:tc>
      </w:tr>
      <w:tr>
        <w:trPr/>
        <w:tc>
          <w:tcPr>
            <w:tcW w:w="3939"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2463" w:type="dxa"/>
            <w:tcBorders/>
            <w:shd w:fill="CCEEFF" w:val="clear"/>
            <w:vAlign w:val="center"/>
          </w:tcPr>
          <w:p>
            <w:pPr>
              <w:pStyle w:val="TableContents"/>
              <w:bidi w:val="0"/>
              <w:spacing w:before="0" w:after="283"/>
              <w:jc w:val="right"/>
              <w:rPr/>
            </w:pPr>
            <w:r>
              <w:rPr/>
              <w:t>(1,211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2463" w:type="dxa"/>
            <w:tcBorders/>
            <w:shd w:fill="CCEEFF" w:val="clear"/>
            <w:vAlign w:val="center"/>
          </w:tcPr>
          <w:p>
            <w:pPr>
              <w:pStyle w:val="TableContents"/>
              <w:bidi w:val="0"/>
              <w:spacing w:before="0" w:after="283"/>
              <w:jc w:val="right"/>
              <w:rPr/>
            </w:pPr>
            <w:r>
              <w:rPr/>
              <w:t>(8,473</w:t>
            </w:r>
          </w:p>
        </w:tc>
        <w:tc>
          <w:tcPr>
            <w:tcW w:w="113" w:type="dxa"/>
            <w:tcBorders/>
            <w:shd w:fill="CCEEFF" w:val="clear"/>
            <w:vAlign w:val="center"/>
          </w:tcPr>
          <w:p>
            <w:pPr>
              <w:pStyle w:val="TableContents"/>
              <w:bidi w:val="0"/>
              <w:spacing w:before="0" w:after="283"/>
              <w:jc w:val="left"/>
              <w:rPr/>
            </w:pPr>
            <w:r>
              <w:rPr/>
              <w:t>)</w:t>
            </w:r>
            <w:bookmarkStart w:id="94" w:name="xdx_402_ecustom--DividendPreferredStock_"/>
            <w:bookmarkEnd w:id="94"/>
          </w:p>
        </w:tc>
      </w:tr>
      <w:tr>
        <w:trPr/>
        <w:tc>
          <w:tcPr>
            <w:tcW w:w="3939" w:type="dxa"/>
            <w:tcBorders/>
            <w:shd w:fill="FFFFFF" w:val="clear"/>
            <w:vAlign w:val="center"/>
          </w:tcPr>
          <w:p>
            <w:pPr>
              <w:pStyle w:val="TableContents"/>
              <w:bidi w:val="0"/>
              <w:spacing w:before="0" w:after="283"/>
              <w:jc w:val="left"/>
              <w:rPr/>
            </w:pPr>
            <w:r>
              <w:rPr/>
              <w:t>Less accrued preferred stock dividend</w:t>
            </w:r>
          </w:p>
        </w:tc>
        <w:tc>
          <w:tcPr>
            <w:tcW w:w="60" w:type="dxa"/>
            <w:tcBorders/>
            <w:shd w:fill="FFFFFF" w:val="clear"/>
            <w:vAlign w:val="center"/>
          </w:tcPr>
          <w:p>
            <w:pPr>
              <w:pStyle w:val="TableContents"/>
              <w:bidi w:val="0"/>
              <w:spacing w:before="0" w:after="283"/>
              <w:jc w:val="left"/>
              <w:rPr/>
            </w:pPr>
            <w:r>
              <w:rPr/>
              <w:t> </w:t>
            </w:r>
          </w:p>
        </w:tc>
        <w:tc>
          <w:tcPr>
            <w:tcW w:w="5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463" w:type="dxa"/>
            <w:tcBorders>
              <w:bottom w:val="single" w:sz="8" w:space="0" w:color="000000"/>
            </w:tcBorders>
            <w:shd w:fill="FFFFFF" w:val="clear"/>
            <w:tcMar>
              <w:bottom w:w="28" w:type="dxa"/>
            </w:tcMar>
            <w:vAlign w:val="center"/>
          </w:tcPr>
          <w:p>
            <w:pPr>
              <w:pStyle w:val="TableContents"/>
              <w:bidi w:val="0"/>
              <w:spacing w:before="0" w:after="283"/>
              <w:jc w:val="right"/>
              <w:rPr/>
            </w:pPr>
            <w:r>
              <w:rPr/>
              <w:t>709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463" w:type="dxa"/>
            <w:tcBorders>
              <w:bottom w:val="single" w:sz="8" w:space="0" w:color="000000"/>
            </w:tcBorders>
            <w:shd w:fill="FFFFFF" w:val="clear"/>
            <w:tcMar>
              <w:bottom w:w="28" w:type="dxa"/>
            </w:tcMar>
            <w:vAlign w:val="center"/>
          </w:tcPr>
          <w:p>
            <w:pPr>
              <w:pStyle w:val="TableContents"/>
              <w:bidi w:val="0"/>
              <w:spacing w:before="0" w:after="283"/>
              <w:jc w:val="right"/>
              <w:rPr/>
            </w:pPr>
            <w:r>
              <w:rPr/>
              <w:t>655</w:t>
            </w:r>
          </w:p>
        </w:tc>
        <w:tc>
          <w:tcPr>
            <w:tcW w:w="113" w:type="dxa"/>
            <w:tcBorders/>
            <w:shd w:fill="FFFFFF" w:val="clear"/>
            <w:vAlign w:val="center"/>
          </w:tcPr>
          <w:p>
            <w:pPr>
              <w:pStyle w:val="TableContents"/>
              <w:bidi w:val="0"/>
              <w:spacing w:before="0" w:after="283"/>
              <w:jc w:val="left"/>
              <w:rPr/>
            </w:pPr>
            <w:r>
              <w:rPr/>
              <w:t> </w:t>
            </w:r>
            <w:bookmarkStart w:id="95" w:name="xdx_406_eus-gaap--NetIncomeLossAvailable"/>
            <w:bookmarkEnd w:id="95"/>
          </w:p>
        </w:tc>
      </w:tr>
      <w:tr>
        <w:trPr/>
        <w:tc>
          <w:tcPr>
            <w:tcW w:w="3939" w:type="dxa"/>
            <w:tcBorders/>
            <w:shd w:fill="CCEEFF" w:val="clear"/>
            <w:vAlign w:val="center"/>
          </w:tcPr>
          <w:p>
            <w:pPr>
              <w:pStyle w:val="TableContents"/>
              <w:bidi w:val="0"/>
              <w:spacing w:before="0" w:after="283"/>
              <w:jc w:val="left"/>
              <w:rPr/>
            </w:pPr>
            <w:r>
              <w:rPr/>
              <w:t>Net loss attributable to common shareholders</w:t>
            </w:r>
          </w:p>
        </w:tc>
        <w:tc>
          <w:tcPr>
            <w:tcW w:w="60" w:type="dxa"/>
            <w:tcBorders/>
            <w:shd w:fill="CCEEFF" w:val="clear"/>
            <w:vAlign w:val="center"/>
          </w:tcPr>
          <w:p>
            <w:pPr>
              <w:pStyle w:val="TableContents"/>
              <w:bidi w:val="0"/>
              <w:spacing w:before="0" w:after="283"/>
              <w:jc w:val="left"/>
              <w:rPr/>
            </w:pPr>
            <w:r>
              <w:rPr/>
              <w:t> </w:t>
            </w:r>
          </w:p>
        </w:tc>
        <w:tc>
          <w:tcPr>
            <w:tcW w:w="5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463" w:type="dxa"/>
            <w:tcBorders>
              <w:bottom w:val="double" w:sz="6" w:space="0" w:color="000000"/>
            </w:tcBorders>
            <w:shd w:fill="CCEEFF" w:val="clear"/>
            <w:tcMar>
              <w:bottom w:w="28" w:type="dxa"/>
            </w:tcMar>
            <w:vAlign w:val="center"/>
          </w:tcPr>
          <w:p>
            <w:pPr>
              <w:pStyle w:val="TableContents"/>
              <w:bidi w:val="0"/>
              <w:spacing w:before="0" w:after="283"/>
              <w:jc w:val="right"/>
              <w:rPr/>
            </w:pPr>
            <w:r>
              <w:rPr/>
              <w:t>(1,920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463" w:type="dxa"/>
            <w:tcBorders>
              <w:bottom w:val="double" w:sz="6" w:space="0" w:color="000000"/>
            </w:tcBorders>
            <w:shd w:fill="CCEEFF" w:val="clear"/>
            <w:tcMar>
              <w:bottom w:w="28" w:type="dxa"/>
            </w:tcMar>
            <w:vAlign w:val="center"/>
          </w:tcPr>
          <w:p>
            <w:pPr>
              <w:pStyle w:val="TableContents"/>
              <w:bidi w:val="0"/>
              <w:spacing w:before="0" w:after="283"/>
              <w:jc w:val="right"/>
              <w:rPr/>
            </w:pPr>
            <w:r>
              <w:rPr/>
              <w:t>(9,128</w:t>
            </w:r>
          </w:p>
        </w:tc>
        <w:tc>
          <w:tcPr>
            <w:tcW w:w="113" w:type="dxa"/>
            <w:tcBorders/>
            <w:shd w:fill="CCEEFF" w:val="clear"/>
            <w:vAlign w:val="center"/>
          </w:tcPr>
          <w:p>
            <w:pPr>
              <w:pStyle w:val="TableContents"/>
              <w:bidi w:val="0"/>
              <w:spacing w:before="0" w:after="283"/>
              <w:jc w:val="left"/>
              <w:rPr/>
            </w:pPr>
            <w:r>
              <w:rPr/>
              <w:t>)</w:t>
            </w:r>
          </w:p>
        </w:tc>
      </w:tr>
      <w:tr>
        <w:trPr/>
        <w:tc>
          <w:tcPr>
            <w:tcW w:w="39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24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246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96" w:name="xdx_409_eus-gaap--OtherComprehensiveInco"/>
            <w:bookmarkEnd w:id="96"/>
          </w:p>
        </w:tc>
      </w:tr>
      <w:tr>
        <w:trPr/>
        <w:tc>
          <w:tcPr>
            <w:tcW w:w="3939" w:type="dxa"/>
            <w:tcBorders/>
            <w:shd w:fill="CCEEFF" w:val="clear"/>
            <w:vAlign w:val="center"/>
          </w:tcPr>
          <w:p>
            <w:pPr>
              <w:pStyle w:val="TableContents"/>
              <w:bidi w:val="0"/>
              <w:spacing w:before="0" w:after="283"/>
              <w:jc w:val="left"/>
              <w:rPr/>
            </w:pPr>
            <w:r>
              <w:rPr/>
              <w:t>Other comprehensive loss:</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24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246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97" w:name="xdx_404_eus-gaap--OtherComprehensiveInco"/>
            <w:bookmarkEnd w:id="97"/>
          </w:p>
        </w:tc>
      </w:tr>
      <w:tr>
        <w:trPr/>
        <w:tc>
          <w:tcPr>
            <w:tcW w:w="3939" w:type="dxa"/>
            <w:tcBorders/>
            <w:shd w:fill="FFFFFF" w:val="clear"/>
            <w:vAlign w:val="center"/>
          </w:tcPr>
          <w:p>
            <w:pPr>
              <w:pStyle w:val="TableContents"/>
              <w:bidi w:val="0"/>
              <w:spacing w:before="0" w:after="283"/>
              <w:jc w:val="left"/>
              <w:rPr/>
            </w:pPr>
            <w:r>
              <w:rPr/>
              <w:t>Unrealized loss on debt securities available for sale</w:t>
            </w:r>
          </w:p>
        </w:tc>
        <w:tc>
          <w:tcPr>
            <w:tcW w:w="6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2463" w:type="dxa"/>
            <w:tcBorders/>
            <w:shd w:fill="FFFFFF" w:val="clear"/>
            <w:vAlign w:val="center"/>
          </w:tcPr>
          <w:p>
            <w:pPr>
              <w:pStyle w:val="TableContents"/>
              <w:bidi w:val="0"/>
              <w:spacing w:before="0" w:after="283"/>
              <w:jc w:val="right"/>
              <w:rPr/>
            </w:pPr>
            <w:r>
              <w:rPr/>
              <w:t>(74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2463"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r>
      <w:tr>
        <w:trPr/>
        <w:tc>
          <w:tcPr>
            <w:tcW w:w="39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6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463"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98" w:name="xdx_406_eus-gaap--ComprehensiveIncomeNet"/>
            <w:bookmarkEnd w:id="98"/>
          </w:p>
        </w:tc>
      </w:tr>
      <w:tr>
        <w:trPr/>
        <w:tc>
          <w:tcPr>
            <w:tcW w:w="3939" w:type="dxa"/>
            <w:tcBorders/>
            <w:shd w:fill="FFFFFF" w:val="clear"/>
            <w:vAlign w:val="center"/>
          </w:tcPr>
          <w:p>
            <w:pPr>
              <w:pStyle w:val="TableContents"/>
              <w:bidi w:val="0"/>
              <w:spacing w:before="0" w:after="283"/>
              <w:jc w:val="left"/>
              <w:rPr/>
            </w:pPr>
            <w:r>
              <w:rPr/>
              <w:t>Total comprehensive loss</w:t>
            </w:r>
          </w:p>
        </w:tc>
        <w:tc>
          <w:tcPr>
            <w:tcW w:w="60" w:type="dxa"/>
            <w:tcBorders/>
            <w:shd w:fill="FFFFFF" w:val="clear"/>
            <w:vAlign w:val="center"/>
          </w:tcPr>
          <w:p>
            <w:pPr>
              <w:pStyle w:val="TableContents"/>
              <w:bidi w:val="0"/>
              <w:spacing w:before="0" w:after="283"/>
              <w:jc w:val="left"/>
              <w:rPr/>
            </w:pPr>
            <w:r>
              <w:rPr/>
              <w:t> </w:t>
            </w:r>
          </w:p>
        </w:tc>
        <w:tc>
          <w:tcPr>
            <w:tcW w:w="50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463" w:type="dxa"/>
            <w:tcBorders>
              <w:bottom w:val="double" w:sz="6" w:space="0" w:color="000000"/>
            </w:tcBorders>
            <w:shd w:fill="FFFFFF" w:val="clear"/>
            <w:tcMar>
              <w:bottom w:w="28" w:type="dxa"/>
            </w:tcMar>
            <w:vAlign w:val="center"/>
          </w:tcPr>
          <w:p>
            <w:pPr>
              <w:pStyle w:val="TableContents"/>
              <w:bidi w:val="0"/>
              <w:spacing w:before="0" w:after="283"/>
              <w:jc w:val="right"/>
              <w:rPr/>
            </w:pPr>
            <w:r>
              <w:rPr/>
              <w:t>(1,994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0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463" w:type="dxa"/>
            <w:tcBorders>
              <w:bottom w:val="double" w:sz="6" w:space="0" w:color="000000"/>
            </w:tcBorders>
            <w:shd w:fill="FFFFFF" w:val="clear"/>
            <w:tcMar>
              <w:bottom w:w="28" w:type="dxa"/>
            </w:tcMar>
            <w:vAlign w:val="center"/>
          </w:tcPr>
          <w:p>
            <w:pPr>
              <w:pStyle w:val="TableContents"/>
              <w:bidi w:val="0"/>
              <w:spacing w:before="0" w:after="283"/>
              <w:jc w:val="right"/>
              <w:rPr/>
            </w:pPr>
            <w:r>
              <w:rPr/>
              <w:t>(9,128</w:t>
            </w:r>
          </w:p>
        </w:tc>
        <w:tc>
          <w:tcPr>
            <w:tcW w:w="113" w:type="dxa"/>
            <w:tcBorders/>
            <w:shd w:fill="FFFFFF" w:val="clear"/>
            <w:vAlign w:val="center"/>
          </w:tcPr>
          <w:p>
            <w:pPr>
              <w:pStyle w:val="TableContents"/>
              <w:bidi w:val="0"/>
              <w:spacing w:before="0" w:after="283"/>
              <w:jc w:val="left"/>
              <w:rPr/>
            </w:pPr>
            <w:r>
              <w:rPr/>
              <w:t>)</w:t>
            </w:r>
          </w:p>
        </w:tc>
      </w:tr>
      <w:tr>
        <w:trPr/>
        <w:tc>
          <w:tcPr>
            <w:tcW w:w="39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246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jc w:val="left"/>
              <w:rPr/>
            </w:pPr>
            <w:r>
              <w:rPr/>
              <w:t> </w:t>
            </w:r>
          </w:p>
        </w:tc>
        <w:tc>
          <w:tcPr>
            <w:tcW w:w="2463"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99" w:name="xdx_400_eus-gaap--EarningsPerShareAbstra"/>
            <w:bookmarkEnd w:id="99"/>
          </w:p>
        </w:tc>
      </w:tr>
      <w:tr>
        <w:trPr/>
        <w:tc>
          <w:tcPr>
            <w:tcW w:w="3939" w:type="dxa"/>
            <w:tcBorders/>
            <w:shd w:fill="FFFFFF" w:val="clear"/>
            <w:vAlign w:val="center"/>
          </w:tcPr>
          <w:p>
            <w:pPr>
              <w:pStyle w:val="TableContents"/>
              <w:bidi w:val="0"/>
              <w:spacing w:before="0" w:after="283"/>
              <w:jc w:val="left"/>
              <w:rPr/>
            </w:pPr>
            <w:r>
              <w:rPr/>
              <w:t>Net loss per share attributable to common shareholders</w:t>
            </w:r>
          </w:p>
        </w:tc>
        <w:tc>
          <w:tcPr>
            <w:tcW w:w="6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24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246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3939"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5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463"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0" w:name="xdx_906_eus-gaap--EarningsPerShareDilute"/>
            <w:bookmarkStart w:id="101" w:name="xdx_90B_eus-gaap--EarningsPerShareBasic_"/>
            <w:bookmarkEnd w:id="100"/>
            <w:bookmarkEnd w:id="101"/>
            <w:r>
              <w:rPr/>
              <w:t>(0.12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0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463"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2" w:name="xdx_907_eus-gaap--EarningsPerShareDilute"/>
            <w:bookmarkStart w:id="103" w:name="xdx_907_eus-gaap--EarningsPerShareBasic_"/>
            <w:bookmarkEnd w:id="102"/>
            <w:bookmarkEnd w:id="103"/>
            <w:r>
              <w:rPr/>
              <w:t>(0.57</w:t>
            </w:r>
          </w:p>
        </w:tc>
        <w:tc>
          <w:tcPr>
            <w:tcW w:w="113" w:type="dxa"/>
            <w:tcBorders/>
            <w:shd w:fill="CCEEFF" w:val="clear"/>
            <w:vAlign w:val="center"/>
          </w:tcPr>
          <w:p>
            <w:pPr>
              <w:pStyle w:val="TableContents"/>
              <w:bidi w:val="0"/>
              <w:spacing w:before="0" w:after="283"/>
              <w:jc w:val="left"/>
              <w:rPr/>
            </w:pPr>
            <w:r>
              <w:rPr/>
              <w:t>)</w:t>
            </w:r>
            <w:bookmarkStart w:id="104" w:name="xdx_40E_eus-gaap--WeightedAverageNumberO"/>
            <w:bookmarkEnd w:id="104"/>
          </w:p>
        </w:tc>
      </w:tr>
      <w:tr>
        <w:trPr/>
        <w:tc>
          <w:tcPr>
            <w:tcW w:w="3939" w:type="dxa"/>
            <w:tcBorders/>
            <w:shd w:fill="FFFFFF" w:val="clear"/>
            <w:vAlign w:val="center"/>
          </w:tcPr>
          <w:p>
            <w:pPr>
              <w:pStyle w:val="TableContents"/>
              <w:bidi w:val="0"/>
              <w:spacing w:before="0" w:after="283"/>
              <w:jc w:val="left"/>
              <w:rPr/>
            </w:pPr>
            <w:r>
              <w:rPr/>
              <w:t>Weighted-average number of common shares outstanding</w:t>
            </w:r>
          </w:p>
        </w:tc>
        <w:tc>
          <w:tcPr>
            <w:tcW w:w="6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246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2463"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3939" w:type="dxa"/>
            <w:tcBorders/>
            <w:shd w:fill="CCEEFF" w:val="clear"/>
            <w:vAlign w:val="center"/>
          </w:tcPr>
          <w:p>
            <w:pPr>
              <w:pStyle w:val="TableContents"/>
              <w:bidi w:val="0"/>
              <w:spacing w:before="0" w:after="283"/>
              <w:jc w:val="left"/>
              <w:rPr/>
            </w:pPr>
            <w:r>
              <w:rPr/>
              <w:t>Basic and diluted</w:t>
            </w:r>
          </w:p>
        </w:tc>
        <w:tc>
          <w:tcPr>
            <w:tcW w:w="60" w:type="dxa"/>
            <w:tcBorders/>
            <w:shd w:fill="CCEEFF" w:val="clear"/>
            <w:vAlign w:val="center"/>
          </w:tcPr>
          <w:p>
            <w:pPr>
              <w:pStyle w:val="TableContents"/>
              <w:bidi w:val="0"/>
              <w:spacing w:before="0" w:after="283"/>
              <w:jc w:val="left"/>
              <w:rPr/>
            </w:pPr>
            <w:r>
              <w:rPr/>
              <w:t> </w:t>
            </w:r>
          </w:p>
        </w:tc>
        <w:tc>
          <w:tcPr>
            <w:tcW w:w="5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463"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5" w:name="xdx_90E_eus-gaap--WeightedAverageNumberO"/>
            <w:bookmarkStart w:id="106" w:name="xdx_908_eus-gaap--WeightedAverageNumberO"/>
            <w:bookmarkEnd w:id="105"/>
            <w:bookmarkEnd w:id="106"/>
            <w:r>
              <w:rPr/>
              <w:t>16,096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463"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07" w:name="xdx_909_eus-gaap--WeightedAverageNumberO"/>
            <w:bookmarkStart w:id="108" w:name="xdx_90F_eus-gaap--WeightedAverageNumberO"/>
            <w:bookmarkEnd w:id="107"/>
            <w:bookmarkEnd w:id="108"/>
            <w:r>
              <w:rPr/>
              <w:t>16,047</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bookmarkStart w:id="109" w:name="a_005"/>
      <w:bookmarkEnd w:id="109"/>
      <w:r>
        <w:rPr>
          <w:rFonts w:ascii="Times New Roman;Times;Serif" w:hAnsi="Times New Roman;Times;Serif"/>
          <w:b/>
          <w:i w:val="false"/>
          <w:caps w:val="false"/>
          <w:smallCaps w:val="false"/>
          <w:sz w:val="20"/>
        </w:rPr>
        <w:t>Condensed Consolidated Statements of Changes in Stockholders’ Equity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10" w:name="xdx_307_114_pn3n3_zejpSd8A72A6"/>
      <w:bookmarkStart w:id="111" w:name="xdx_307_114_pn3n3_zejpSd8A72A6"/>
      <w:bookmarkEnd w:id="111"/>
    </w:p>
    <w:tbl>
      <w:tblPr>
        <w:tblW w:w="11415" w:type="dxa"/>
        <w:jc w:val="left"/>
        <w:tblInd w:w="0" w:type="dxa"/>
        <w:tblLayout w:type="fixed"/>
        <w:tblCellMar>
          <w:top w:w="0" w:type="dxa"/>
          <w:left w:w="0" w:type="dxa"/>
          <w:bottom w:w="0" w:type="dxa"/>
          <w:right w:w="0" w:type="dxa"/>
        </w:tblCellMar>
      </w:tblPr>
      <w:tblGrid>
        <w:gridCol w:w="1340"/>
        <w:gridCol w:w="335"/>
        <w:gridCol w:w="96"/>
        <w:gridCol w:w="614"/>
        <w:gridCol w:w="60"/>
        <w:gridCol w:w="60"/>
        <w:gridCol w:w="166"/>
        <w:gridCol w:w="694"/>
        <w:gridCol w:w="60"/>
        <w:gridCol w:w="60"/>
        <w:gridCol w:w="60"/>
        <w:gridCol w:w="680"/>
        <w:gridCol w:w="60"/>
        <w:gridCol w:w="60"/>
        <w:gridCol w:w="301"/>
        <w:gridCol w:w="559"/>
        <w:gridCol w:w="60"/>
        <w:gridCol w:w="60"/>
        <w:gridCol w:w="140"/>
        <w:gridCol w:w="980"/>
        <w:gridCol w:w="95"/>
        <w:gridCol w:w="60"/>
        <w:gridCol w:w="160"/>
        <w:gridCol w:w="1210"/>
        <w:gridCol w:w="95"/>
        <w:gridCol w:w="60"/>
        <w:gridCol w:w="352"/>
        <w:gridCol w:w="1258"/>
        <w:gridCol w:w="95"/>
        <w:gridCol w:w="60"/>
        <w:gridCol w:w="255"/>
        <w:gridCol w:w="1160"/>
        <w:gridCol w:w="110"/>
      </w:tblGrid>
      <w:tr>
        <w:trPr/>
        <w:tc>
          <w:tcPr>
            <w:tcW w:w="1340" w:type="dxa"/>
            <w:tcBorders/>
            <w:vAlign w:val="center"/>
          </w:tcPr>
          <w:p>
            <w:pPr>
              <w:pStyle w:val="TableContents"/>
              <w:bidi w:val="0"/>
              <w:spacing w:before="0" w:after="283"/>
              <w:jc w:val="center"/>
              <w:rPr/>
            </w:pPr>
            <w:r>
              <w:rPr/>
              <w:t> </w:t>
            </w:r>
            <w:bookmarkStart w:id="112" w:name="xdx_4B2_us-gaap--StatementEquityComponen"/>
            <w:bookmarkEnd w:id="112"/>
          </w:p>
        </w:tc>
        <w:tc>
          <w:tcPr>
            <w:tcW w:w="335"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3" w:name="xdx_4B6_us-gaap--StatementEquityComponen"/>
            <w:bookmarkEnd w:id="113"/>
          </w:p>
        </w:tc>
        <w:tc>
          <w:tcPr>
            <w:tcW w:w="86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4" w:name="xdx_4B4_us-gaap--StatementEquityComponen"/>
            <w:bookmarkEnd w:id="114"/>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5" w:name="xdx_4B3_us-gaap--StatementEquityComponen"/>
            <w:bookmarkEnd w:id="115"/>
          </w:p>
        </w:tc>
        <w:tc>
          <w:tcPr>
            <w:tcW w:w="137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6" w:name="xdx_4BA_us-gaap--StatementEquityComponen"/>
            <w:bookmarkEnd w:id="116"/>
          </w:p>
        </w:tc>
        <w:tc>
          <w:tcPr>
            <w:tcW w:w="1610"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17" w:name="xdx_4B3_zIpTpWVCx2u9"/>
            <w:bookmarkEnd w:id="117"/>
          </w:p>
        </w:tc>
        <w:tc>
          <w:tcPr>
            <w:tcW w:w="1415" w:type="dxa"/>
            <w:gridSpan w:val="2"/>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center"/>
              <w:rPr/>
            </w:pPr>
            <w:r>
              <w:rPr/>
              <w:t> </w:t>
            </w:r>
          </w:p>
        </w:tc>
        <w:tc>
          <w:tcPr>
            <w:tcW w:w="335" w:type="dxa"/>
            <w:tcBorders/>
            <w:vAlign w:val="center"/>
          </w:tcPr>
          <w:p>
            <w:pPr>
              <w:pStyle w:val="TableContents"/>
              <w:bidi w:val="0"/>
              <w:spacing w:before="0" w:after="283"/>
              <w:jc w:val="center"/>
              <w:rPr/>
            </w:pPr>
            <w:r>
              <w:rPr/>
              <w:t> </w:t>
            </w:r>
          </w:p>
        </w:tc>
        <w:tc>
          <w:tcPr>
            <w:tcW w:w="9630" w:type="dxa"/>
            <w:gridSpan w:val="30"/>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 2025</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center"/>
              <w:rPr/>
            </w:pPr>
            <w:r>
              <w:rPr/>
              <w:t> </w:t>
            </w:r>
          </w:p>
        </w:tc>
        <w:tc>
          <w:tcPr>
            <w:tcW w:w="335" w:type="dxa"/>
            <w:tcBorders/>
            <w:vAlign w:val="center"/>
          </w:tcPr>
          <w:p>
            <w:pPr>
              <w:pStyle w:val="TableContents"/>
              <w:bidi w:val="0"/>
              <w:spacing w:before="0" w:after="283"/>
              <w:jc w:val="center"/>
              <w:rPr/>
            </w:pPr>
            <w:r>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center"/>
              <w:rPr/>
            </w:pPr>
            <w:r>
              <w:rPr/>
              <w:t> </w:t>
            </w:r>
          </w:p>
        </w:tc>
        <w:tc>
          <w:tcPr>
            <w:tcW w:w="335"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Additional Paid-In 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 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 Other Comprehensive Income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jc w:val="center"/>
              <w:rPr>
                <w:b/>
              </w:rPr>
            </w:pPr>
            <w:r>
              <w:rPr>
                <w:b/>
              </w:rPr>
              <w:t>Total</w:t>
            </w:r>
          </w:p>
          <w:p>
            <w:pPr>
              <w:pStyle w:val="TableContents"/>
              <w:bidi w:val="0"/>
              <w:spacing w:before="0" w:after="283"/>
              <w:jc w:val="center"/>
              <w:rPr>
                <w:b/>
              </w:rPr>
            </w:pPr>
            <w:r>
              <w:rPr>
                <w:b/>
              </w:rPr>
              <w:t>Stockholders’ Equity</w:t>
            </w:r>
          </w:p>
        </w:tc>
        <w:tc>
          <w:tcPr>
            <w:tcW w:w="110" w:type="dxa"/>
            <w:tcBorders/>
            <w:vAlign w:val="center"/>
          </w:tcPr>
          <w:p>
            <w:pPr>
              <w:pStyle w:val="TableContents"/>
              <w:bidi w:val="0"/>
              <w:spacing w:before="0" w:after="283"/>
              <w:jc w:val="center"/>
              <w:rPr/>
            </w:pPr>
            <w:r>
              <w:rPr/>
              <w:t> </w:t>
            </w:r>
            <w:bookmarkStart w:id="118" w:name="xdx_430_c20250101__20250331_eus-gaap--St"/>
            <w:bookmarkEnd w:id="118"/>
          </w:p>
        </w:tc>
      </w:tr>
      <w:tr>
        <w:trPr/>
        <w:tc>
          <w:tcPr>
            <w:tcW w:w="1340" w:type="dxa"/>
            <w:tcBorders/>
            <w:shd w:fill="CCEEFF" w:val="clear"/>
            <w:vAlign w:val="center"/>
          </w:tcPr>
          <w:p>
            <w:pPr>
              <w:pStyle w:val="TableContents"/>
              <w:bidi w:val="0"/>
              <w:spacing w:before="0" w:after="283"/>
              <w:jc w:val="left"/>
              <w:rPr>
                <w:b/>
              </w:rPr>
            </w:pPr>
            <w:r>
              <w:rPr>
                <w:b/>
              </w:rPr>
              <w:t>Balance at January 1, 2025</w:t>
            </w:r>
          </w:p>
        </w:tc>
        <w:tc>
          <w:tcPr>
            <w:tcW w:w="3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jc w:val="left"/>
              <w:rPr/>
            </w:pPr>
            <w:r>
              <w:rPr/>
              <w:t> </w:t>
            </w:r>
            <w:bookmarkStart w:id="119" w:name="xdx_98A_eus-gaap--TemporaryEquitySharesO"/>
            <w:bookmarkEnd w:id="119"/>
          </w:p>
        </w:tc>
        <w:tc>
          <w:tcPr>
            <w:tcW w:w="614"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bookmarkStart w:id="120" w:name="xdx_98E_eus-gaap--TemporaryEquityCarryin"/>
            <w:bookmarkEnd w:id="120"/>
          </w:p>
        </w:tc>
        <w:tc>
          <w:tcPr>
            <w:tcW w:w="694" w:type="dxa"/>
            <w:tcBorders/>
            <w:shd w:fill="CCEEFF" w:val="clear"/>
            <w:vAlign w:val="center"/>
          </w:tcPr>
          <w:p>
            <w:pPr>
              <w:pStyle w:val="TableContents"/>
              <w:bidi w:val="0"/>
              <w:spacing w:before="0" w:after="283"/>
              <w:jc w:val="right"/>
              <w:rPr/>
            </w:pPr>
            <w:r>
              <w:rPr/>
              <w:t>35,455</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1" w:name="xdx_98C_eus-gaap--SharesOutstanding_iS_p"/>
            <w:bookmarkEnd w:id="121"/>
          </w:p>
        </w:tc>
        <w:tc>
          <w:tcPr>
            <w:tcW w:w="680" w:type="dxa"/>
            <w:tcBorders/>
            <w:shd w:fill="CCEEFF" w:val="clear"/>
            <w:vAlign w:val="center"/>
          </w:tcPr>
          <w:p>
            <w:pPr>
              <w:pStyle w:val="TableContents"/>
              <w:bidi w:val="0"/>
              <w:spacing w:before="0" w:after="283"/>
              <w:jc w:val="right"/>
              <w:rPr/>
            </w:pPr>
            <w:r>
              <w:rPr/>
              <w:t>16,096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1,184,505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(1,178,415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w:t>
            </w:r>
          </w:p>
        </w:tc>
        <w:tc>
          <w:tcPr>
            <w:tcW w:w="1258" w:type="dxa"/>
            <w:tcBorders/>
            <w:shd w:fill="CCEEFF" w:val="clear"/>
            <w:vAlign w:val="center"/>
          </w:tcPr>
          <w:p>
            <w:pPr>
              <w:pStyle w:val="TableContents"/>
              <w:bidi w:val="0"/>
              <w:spacing w:before="0" w:after="283"/>
              <w:jc w:val="right"/>
              <w:rPr/>
            </w:pPr>
            <w:r>
              <w:rPr/>
              <w:t>  </w:t>
            </w:r>
            <w:r>
              <w:rPr/>
              <w:t>666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6,780</w:t>
            </w:r>
          </w:p>
        </w:tc>
        <w:tc>
          <w:tcPr>
            <w:tcW w:w="110" w:type="dxa"/>
            <w:tcBorders/>
            <w:shd w:fill="CCEEFF" w:val="clear"/>
            <w:vAlign w:val="center"/>
          </w:tcPr>
          <w:p>
            <w:pPr>
              <w:pStyle w:val="TableContents"/>
              <w:bidi w:val="0"/>
              <w:spacing w:before="0" w:after="283"/>
              <w:jc w:val="left"/>
              <w:rPr/>
            </w:pPr>
            <w:r>
              <w:rPr/>
              <w:t> </w:t>
            </w:r>
            <w:bookmarkStart w:id="122" w:name="xdx_40E_eus-gaap--AdjustmentsToAdditiona"/>
            <w:bookmarkEnd w:id="122"/>
          </w:p>
        </w:tc>
      </w:tr>
      <w:tr>
        <w:trPr/>
        <w:tc>
          <w:tcPr>
            <w:tcW w:w="1340" w:type="dxa"/>
            <w:tcBorders/>
            <w:shd w:fill="FFFFFF" w:val="clear"/>
            <w:vAlign w:val="center"/>
          </w:tcPr>
          <w:p>
            <w:pPr>
              <w:pStyle w:val="TableContents"/>
              <w:bidi w:val="0"/>
              <w:spacing w:before="0" w:after="283"/>
              <w:jc w:val="left"/>
              <w:rPr/>
            </w:pPr>
            <w:r>
              <w:rPr/>
              <w:t>Stock-based compensation</w:t>
            </w:r>
          </w:p>
        </w:tc>
        <w:tc>
          <w:tcPr>
            <w:tcW w:w="3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108</w:t>
            </w:r>
          </w:p>
        </w:tc>
        <w:tc>
          <w:tcPr>
            <w:tcW w:w="110" w:type="dxa"/>
            <w:tcBorders/>
            <w:shd w:fill="FFFFFF" w:val="clear"/>
            <w:vAlign w:val="center"/>
          </w:tcPr>
          <w:p>
            <w:pPr>
              <w:pStyle w:val="TableContents"/>
              <w:bidi w:val="0"/>
              <w:spacing w:before="0" w:after="283"/>
              <w:jc w:val="left"/>
              <w:rPr/>
            </w:pPr>
            <w:r>
              <w:rPr/>
              <w:t> </w:t>
            </w:r>
            <w:bookmarkStart w:id="123" w:name="xdx_404_eus-gaap--TemporaryEquityAccreti"/>
            <w:bookmarkEnd w:id="123"/>
          </w:p>
        </w:tc>
      </w:tr>
      <w:tr>
        <w:trPr/>
        <w:tc>
          <w:tcPr>
            <w:tcW w:w="1340" w:type="dxa"/>
            <w:tcBorders/>
            <w:shd w:fill="CCEEFF" w:val="clear"/>
            <w:vAlign w:val="center"/>
          </w:tcPr>
          <w:p>
            <w:pPr>
              <w:pStyle w:val="TableContents"/>
              <w:bidi w:val="0"/>
              <w:spacing w:before="0" w:after="283"/>
              <w:jc w:val="left"/>
              <w:rPr/>
            </w:pPr>
            <w:r>
              <w:rPr/>
              <w:t>Accrual of Series A Convertible Preferred Stock dividends</w:t>
            </w:r>
          </w:p>
        </w:tc>
        <w:tc>
          <w:tcPr>
            <w:tcW w:w="3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709</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bookmarkStart w:id="124" w:name="xdx_98B_eus-gaap--TemporaryEquityAccreti"/>
            <w:bookmarkEnd w:id="124"/>
          </w:p>
        </w:tc>
        <w:tc>
          <w:tcPr>
            <w:tcW w:w="694" w:type="dxa"/>
            <w:tcBorders/>
            <w:shd w:fill="CCEEFF" w:val="clear"/>
            <w:vAlign w:val="center"/>
          </w:tcPr>
          <w:p>
            <w:pPr>
              <w:pStyle w:val="TableContents"/>
              <w:bidi w:val="0"/>
              <w:spacing w:before="0" w:after="283"/>
              <w:jc w:val="right"/>
              <w:rPr/>
            </w:pPr>
            <w:r>
              <w:rPr/>
              <w:t>709</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2"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(709</w:t>
            </w:r>
          </w:p>
        </w:tc>
        <w:tc>
          <w:tcPr>
            <w:tcW w:w="110" w:type="dxa"/>
            <w:tcBorders/>
            <w:shd w:fill="CCEEFF" w:val="clear"/>
            <w:vAlign w:val="center"/>
          </w:tcPr>
          <w:p>
            <w:pPr>
              <w:pStyle w:val="TableContents"/>
              <w:bidi w:val="0"/>
              <w:spacing w:before="0" w:after="283"/>
              <w:jc w:val="left"/>
              <w:rPr/>
            </w:pPr>
            <w:r>
              <w:rPr/>
              <w:t>)</w:t>
            </w:r>
            <w:bookmarkStart w:id="125" w:name="xdx_403_eus-gaap--OtherComprehensiveInco"/>
            <w:bookmarkEnd w:id="125"/>
          </w:p>
        </w:tc>
      </w:tr>
      <w:tr>
        <w:trPr/>
        <w:tc>
          <w:tcPr>
            <w:tcW w:w="1340" w:type="dxa"/>
            <w:tcBorders/>
            <w:shd w:fill="FFFFFF" w:val="clear"/>
            <w:vAlign w:val="center"/>
          </w:tcPr>
          <w:p>
            <w:pPr>
              <w:pStyle w:val="TableContents"/>
              <w:bidi w:val="0"/>
              <w:spacing w:before="0" w:after="283"/>
              <w:jc w:val="left"/>
              <w:rPr/>
            </w:pPr>
            <w:r>
              <w:rPr/>
              <w:t>Unrealized loss on available for sale debt securities</w:t>
            </w:r>
          </w:p>
        </w:tc>
        <w:tc>
          <w:tcPr>
            <w:tcW w:w="3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pPr>
            <w:r>
              <w:rPr/>
              <w:t>(74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1160" w:type="dxa"/>
            <w:tcBorders/>
            <w:shd w:fill="FFFFFF" w:val="clear"/>
            <w:vAlign w:val="center"/>
          </w:tcPr>
          <w:p>
            <w:pPr>
              <w:pStyle w:val="TableContents"/>
              <w:bidi w:val="0"/>
              <w:spacing w:before="0" w:after="283"/>
              <w:jc w:val="right"/>
              <w:rPr/>
            </w:pPr>
            <w:r>
              <w:rPr/>
              <w:t>(74</w:t>
            </w:r>
          </w:p>
        </w:tc>
        <w:tc>
          <w:tcPr>
            <w:tcW w:w="110" w:type="dxa"/>
            <w:tcBorders/>
            <w:shd w:fill="FFFFFF" w:val="clear"/>
            <w:vAlign w:val="center"/>
          </w:tcPr>
          <w:p>
            <w:pPr>
              <w:pStyle w:val="TableContents"/>
              <w:bidi w:val="0"/>
              <w:spacing w:before="0" w:after="283"/>
              <w:jc w:val="left"/>
              <w:rPr/>
            </w:pPr>
            <w:r>
              <w:rPr/>
              <w:t>)</w:t>
            </w:r>
            <w:bookmarkStart w:id="126" w:name="xdx_404_eus-gaap--NetIncomeLoss_pn3n3_zj"/>
            <w:bookmarkEnd w:id="126"/>
          </w:p>
        </w:tc>
      </w:tr>
      <w:tr>
        <w:trPr/>
        <w:tc>
          <w:tcPr>
            <w:tcW w:w="1340" w:type="dxa"/>
            <w:tcBorders/>
            <w:shd w:fill="CCEEFF" w:val="clear"/>
            <w:vAlign w:val="center"/>
          </w:tcPr>
          <w:p>
            <w:pPr>
              <w:pStyle w:val="TableContents"/>
              <w:bidi w:val="0"/>
              <w:spacing w:before="0" w:after="283"/>
              <w:jc w:val="left"/>
              <w:rPr/>
            </w:pPr>
            <w:r>
              <w:rPr/>
              <w:t>Net loss</w:t>
            </w:r>
          </w:p>
        </w:tc>
        <w:tc>
          <w:tcPr>
            <w:tcW w:w="3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CCEEFF" w:val="clear"/>
            <w:tcMar>
              <w:bottom w:w="28" w:type="dxa"/>
            </w:tcMar>
            <w:vAlign w:val="center"/>
          </w:tcPr>
          <w:p>
            <w:pPr>
              <w:pStyle w:val="TableContents"/>
              <w:bidi w:val="0"/>
              <w:spacing w:before="0" w:after="283"/>
              <w:jc w:val="right"/>
              <w:rPr/>
            </w:pPr>
            <w:r>
              <w:rPr/>
              <w:t>(1,211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5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5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CCEEFF" w:val="clear"/>
            <w:tcMar>
              <w:bottom w:w="28" w:type="dxa"/>
            </w:tcMar>
            <w:vAlign w:val="center"/>
          </w:tcPr>
          <w:p>
            <w:pPr>
              <w:pStyle w:val="TableContents"/>
              <w:bidi w:val="0"/>
              <w:spacing w:before="0" w:after="283"/>
              <w:jc w:val="right"/>
              <w:rPr/>
            </w:pPr>
            <w:r>
              <w:rPr/>
              <w:t>(1,211</w:t>
            </w:r>
          </w:p>
        </w:tc>
        <w:tc>
          <w:tcPr>
            <w:tcW w:w="110" w:type="dxa"/>
            <w:tcBorders/>
            <w:shd w:fill="CCEEFF" w:val="clear"/>
            <w:vAlign w:val="center"/>
          </w:tcPr>
          <w:p>
            <w:pPr>
              <w:pStyle w:val="TableContents"/>
              <w:bidi w:val="0"/>
              <w:spacing w:before="0" w:after="283"/>
              <w:jc w:val="left"/>
              <w:rPr/>
            </w:pPr>
            <w:r>
              <w:rPr/>
              <w:t>)</w:t>
            </w:r>
            <w:bookmarkStart w:id="127" w:name="xdx_434_c20250101__20250331_eus-gaap--St"/>
            <w:bookmarkEnd w:id="127"/>
          </w:p>
        </w:tc>
      </w:tr>
      <w:tr>
        <w:trPr/>
        <w:tc>
          <w:tcPr>
            <w:tcW w:w="1340" w:type="dxa"/>
            <w:tcBorders/>
            <w:shd w:fill="FFFFFF" w:val="clear"/>
            <w:vAlign w:val="center"/>
          </w:tcPr>
          <w:p>
            <w:pPr>
              <w:pStyle w:val="TableContents"/>
              <w:bidi w:val="0"/>
              <w:spacing w:before="0" w:after="283"/>
              <w:jc w:val="left"/>
              <w:rPr>
                <w:b/>
              </w:rPr>
            </w:pPr>
            <w:r>
              <w:rPr>
                <w:b/>
              </w:rPr>
              <w:t>Balance at March 31, 2025</w:t>
            </w:r>
          </w:p>
        </w:tc>
        <w:tc>
          <w:tcPr>
            <w:tcW w:w="3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28" w:name="xdx_987_eus-gaap--TemporaryEquitySharesO"/>
            <w:bookmarkEnd w:id="128"/>
          </w:p>
        </w:tc>
        <w:tc>
          <w:tcPr>
            <w:tcW w:w="614" w:type="dxa"/>
            <w:tcBorders>
              <w:bottom w:val="double" w:sz="6" w:space="0" w:color="000000"/>
            </w:tcBorders>
            <w:shd w:fill="FFFFFF" w:val="clear"/>
            <w:tcMar>
              <w:bottom w:w="28" w:type="dxa"/>
            </w:tcMar>
            <w:vAlign w:val="center"/>
          </w:tcPr>
          <w:p>
            <w:pPr>
              <w:pStyle w:val="TableContents"/>
              <w:bidi w:val="0"/>
              <w:spacing w:before="0" w:after="283"/>
              <w:jc w:val="right"/>
              <w:rPr/>
            </w:pPr>
            <w:r>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29" w:name="xdx_98F_eus-gaap--TemporaryEquityCarryin"/>
            <w:bookmarkEnd w:id="129"/>
          </w:p>
        </w:tc>
        <w:tc>
          <w:tcPr>
            <w:tcW w:w="694" w:type="dxa"/>
            <w:tcBorders>
              <w:bottom w:val="double" w:sz="6" w:space="0" w:color="000000"/>
            </w:tcBorders>
            <w:shd w:fill="FFFFFF" w:val="clear"/>
            <w:tcMar>
              <w:bottom w:w="28" w:type="dxa"/>
            </w:tcMar>
            <w:vAlign w:val="center"/>
          </w:tcPr>
          <w:p>
            <w:pPr>
              <w:pStyle w:val="TableContents"/>
              <w:bidi w:val="0"/>
              <w:spacing w:before="0" w:after="283"/>
              <w:jc w:val="right"/>
              <w:rPr/>
            </w:pPr>
            <w:r>
              <w:rPr/>
              <w:t>36,164</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30" w:name="xdx_98A_eus-gaap--SharesOutstanding_iE_p"/>
            <w:bookmarkEnd w:id="130"/>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16,096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1,183,904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pPr>
            <w:r>
              <w:rPr/>
              <w:t>(1,179,626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58" w:type="dxa"/>
            <w:tcBorders>
              <w:bottom w:val="double" w:sz="6" w:space="0" w:color="000000"/>
            </w:tcBorders>
            <w:shd w:fill="FFFFFF" w:val="clear"/>
            <w:tcMar>
              <w:bottom w:w="28" w:type="dxa"/>
            </w:tcMar>
            <w:vAlign w:val="center"/>
          </w:tcPr>
          <w:p>
            <w:pPr>
              <w:pStyle w:val="TableContents"/>
              <w:bidi w:val="0"/>
              <w:spacing w:before="0" w:after="283"/>
              <w:jc w:val="right"/>
              <w:rPr/>
            </w:pPr>
            <w:r>
              <w:rPr/>
              <w:t>592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FFFFFF" w:val="clear"/>
            <w:tcMar>
              <w:bottom w:w="28" w:type="dxa"/>
            </w:tcMar>
            <w:vAlign w:val="center"/>
          </w:tcPr>
          <w:p>
            <w:pPr>
              <w:pStyle w:val="TableContents"/>
              <w:bidi w:val="0"/>
              <w:spacing w:before="0" w:after="283"/>
              <w:jc w:val="right"/>
              <w:rPr/>
            </w:pPr>
            <w:r>
              <w:rPr/>
              <w:t>4,894</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1380" w:type="dxa"/>
        <w:jc w:val="left"/>
        <w:tblInd w:w="0" w:type="dxa"/>
        <w:tblLayout w:type="fixed"/>
        <w:tblCellMar>
          <w:top w:w="0" w:type="dxa"/>
          <w:left w:w="0" w:type="dxa"/>
          <w:bottom w:w="0" w:type="dxa"/>
          <w:right w:w="0" w:type="dxa"/>
        </w:tblCellMar>
      </w:tblPr>
      <w:tblGrid>
        <w:gridCol w:w="1340"/>
        <w:gridCol w:w="335"/>
        <w:gridCol w:w="96"/>
        <w:gridCol w:w="614"/>
        <w:gridCol w:w="60"/>
        <w:gridCol w:w="60"/>
        <w:gridCol w:w="166"/>
        <w:gridCol w:w="694"/>
        <w:gridCol w:w="60"/>
        <w:gridCol w:w="60"/>
        <w:gridCol w:w="60"/>
        <w:gridCol w:w="680"/>
        <w:gridCol w:w="60"/>
        <w:gridCol w:w="60"/>
        <w:gridCol w:w="301"/>
        <w:gridCol w:w="559"/>
        <w:gridCol w:w="60"/>
        <w:gridCol w:w="60"/>
        <w:gridCol w:w="140"/>
        <w:gridCol w:w="980"/>
        <w:gridCol w:w="95"/>
        <w:gridCol w:w="60"/>
        <w:gridCol w:w="160"/>
        <w:gridCol w:w="1210"/>
        <w:gridCol w:w="95"/>
        <w:gridCol w:w="60"/>
        <w:gridCol w:w="296"/>
        <w:gridCol w:w="1314"/>
        <w:gridCol w:w="60"/>
        <w:gridCol w:w="60"/>
        <w:gridCol w:w="241"/>
        <w:gridCol w:w="1174"/>
        <w:gridCol w:w="110"/>
      </w:tblGrid>
      <w:tr>
        <w:trPr/>
        <w:tc>
          <w:tcPr>
            <w:tcW w:w="1340" w:type="dxa"/>
            <w:tcBorders/>
            <w:vAlign w:val="center"/>
          </w:tcPr>
          <w:p>
            <w:pPr>
              <w:pStyle w:val="TableContents"/>
              <w:bidi w:val="0"/>
              <w:spacing w:before="0" w:after="283"/>
              <w:jc w:val="center"/>
              <w:rPr/>
            </w:pPr>
            <w:r>
              <w:rPr/>
              <w:t> </w:t>
            </w:r>
          </w:p>
        </w:tc>
        <w:tc>
          <w:tcPr>
            <w:tcW w:w="335" w:type="dxa"/>
            <w:tcBorders/>
            <w:vAlign w:val="center"/>
          </w:tcPr>
          <w:p>
            <w:pPr>
              <w:pStyle w:val="TableContents"/>
              <w:bidi w:val="0"/>
              <w:spacing w:before="0" w:after="283"/>
              <w:jc w:val="center"/>
              <w:rPr/>
            </w:pPr>
            <w:r>
              <w:rPr/>
              <w:t> </w:t>
            </w:r>
          </w:p>
        </w:tc>
        <w:tc>
          <w:tcPr>
            <w:tcW w:w="9595" w:type="dxa"/>
            <w:gridSpan w:val="30"/>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 2024</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center"/>
              <w:rPr/>
            </w:pPr>
            <w:r>
              <w:rPr/>
              <w:t> </w:t>
            </w:r>
          </w:p>
        </w:tc>
        <w:tc>
          <w:tcPr>
            <w:tcW w:w="335" w:type="dxa"/>
            <w:tcBorders/>
            <w:vAlign w:val="center"/>
          </w:tcPr>
          <w:p>
            <w:pPr>
              <w:pStyle w:val="TableContents"/>
              <w:bidi w:val="0"/>
              <w:spacing w:before="0" w:after="283"/>
              <w:jc w:val="center"/>
              <w:rPr/>
            </w:pPr>
            <w:r>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center"/>
              <w:rPr/>
            </w:pPr>
            <w:r>
              <w:rPr/>
              <w:t> </w:t>
            </w:r>
          </w:p>
        </w:tc>
      </w:tr>
      <w:tr>
        <w:trPr/>
        <w:tc>
          <w:tcPr>
            <w:tcW w:w="1340" w:type="dxa"/>
            <w:tcBorders/>
            <w:vAlign w:val="center"/>
          </w:tcPr>
          <w:p>
            <w:pPr>
              <w:pStyle w:val="TableContents"/>
              <w:bidi w:val="0"/>
              <w:spacing w:before="0" w:after="283"/>
              <w:jc w:val="center"/>
              <w:rPr/>
            </w:pPr>
            <w:r>
              <w:rPr/>
              <w:t> </w:t>
            </w:r>
          </w:p>
        </w:tc>
        <w:tc>
          <w:tcPr>
            <w:tcW w:w="335"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Additional Paid-In Capital</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 Deficit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Accumulated Other Comprehensive Income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415" w:type="dxa"/>
            <w:gridSpan w:val="2"/>
            <w:tcBorders>
              <w:bottom w:val="single" w:sz="8" w:space="0" w:color="000000"/>
            </w:tcBorders>
            <w:tcMar>
              <w:bottom w:w="28" w:type="dxa"/>
            </w:tcMar>
            <w:vAlign w:val="center"/>
          </w:tcPr>
          <w:p>
            <w:pPr>
              <w:pStyle w:val="TableContents"/>
              <w:bidi w:val="0"/>
              <w:jc w:val="center"/>
              <w:rPr>
                <w:b/>
              </w:rPr>
            </w:pPr>
            <w:r>
              <w:rPr>
                <w:b/>
              </w:rPr>
              <w:t>Total</w:t>
            </w:r>
          </w:p>
          <w:p>
            <w:pPr>
              <w:pStyle w:val="TableContents"/>
              <w:bidi w:val="0"/>
              <w:spacing w:before="0" w:after="283"/>
              <w:jc w:val="center"/>
              <w:rPr>
                <w:b/>
              </w:rPr>
            </w:pPr>
            <w:r>
              <w:rPr>
                <w:b/>
              </w:rPr>
              <w:t>Stockholders’ Equity</w:t>
            </w:r>
          </w:p>
        </w:tc>
        <w:tc>
          <w:tcPr>
            <w:tcW w:w="110" w:type="dxa"/>
            <w:tcBorders/>
            <w:vAlign w:val="center"/>
          </w:tcPr>
          <w:p>
            <w:pPr>
              <w:pStyle w:val="TableContents"/>
              <w:bidi w:val="0"/>
              <w:spacing w:before="0" w:after="283"/>
              <w:jc w:val="center"/>
              <w:rPr/>
            </w:pPr>
            <w:r>
              <w:rPr/>
              <w:t> </w:t>
            </w:r>
          </w:p>
        </w:tc>
      </w:tr>
      <w:tr>
        <w:trPr/>
        <w:tc>
          <w:tcPr>
            <w:tcW w:w="1340" w:type="dxa"/>
            <w:tcBorders/>
            <w:shd w:fill="CCEEFF" w:val="clear"/>
            <w:vAlign w:val="center"/>
          </w:tcPr>
          <w:p>
            <w:pPr>
              <w:pStyle w:val="TableContents"/>
              <w:bidi w:val="0"/>
              <w:spacing w:before="0" w:after="283"/>
              <w:jc w:val="left"/>
              <w:rPr>
                <w:b/>
              </w:rPr>
            </w:pPr>
            <w:r>
              <w:rPr>
                <w:b/>
              </w:rPr>
              <w:t>Balance at January 1, 2024</w:t>
            </w:r>
          </w:p>
        </w:tc>
        <w:tc>
          <w:tcPr>
            <w:tcW w:w="3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bookmarkStart w:id="131" w:name="xdx_98B_eus-gaap--TemporaryEquityCarryin"/>
            <w:bookmarkEnd w:id="131"/>
          </w:p>
        </w:tc>
        <w:tc>
          <w:tcPr>
            <w:tcW w:w="694" w:type="dxa"/>
            <w:tcBorders/>
            <w:shd w:fill="CCEEFF" w:val="clear"/>
            <w:vAlign w:val="center"/>
          </w:tcPr>
          <w:p>
            <w:pPr>
              <w:pStyle w:val="TableContents"/>
              <w:bidi w:val="0"/>
              <w:spacing w:before="0" w:after="283"/>
              <w:jc w:val="right"/>
              <w:rPr/>
            </w:pPr>
            <w:r>
              <w:rPr/>
              <w:t>32,755</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1,183,804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(1,170,279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w:t>
            </w:r>
          </w:p>
        </w:tc>
        <w:tc>
          <w:tcPr>
            <w:tcW w:w="13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13,549</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Balance at January 1, 2024</w:t>
            </w:r>
          </w:p>
        </w:tc>
        <w:tc>
          <w:tcPr>
            <w:tcW w:w="3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jc w:val="left"/>
              <w:rPr/>
            </w:pPr>
            <w:r>
              <w:rPr/>
              <w:t> </w:t>
            </w:r>
            <w:bookmarkStart w:id="132" w:name="xdx_984_eus-gaap--TemporaryEquitySharesO"/>
            <w:bookmarkEnd w:id="132"/>
          </w:p>
        </w:tc>
        <w:tc>
          <w:tcPr>
            <w:tcW w:w="614"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bookmarkStart w:id="133" w:name="xdx_98A_eus-gaap--TemporaryEquityCarryin"/>
            <w:bookmarkEnd w:id="133"/>
          </w:p>
        </w:tc>
        <w:tc>
          <w:tcPr>
            <w:tcW w:w="694" w:type="dxa"/>
            <w:tcBorders/>
            <w:shd w:fill="CCEEFF" w:val="clear"/>
            <w:vAlign w:val="center"/>
          </w:tcPr>
          <w:p>
            <w:pPr>
              <w:pStyle w:val="TableContents"/>
              <w:bidi w:val="0"/>
              <w:spacing w:before="0" w:after="283"/>
              <w:jc w:val="right"/>
              <w:rPr/>
            </w:pPr>
            <w:r>
              <w:rPr/>
              <w:t>32,755</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1,183,804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(1,170,279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w:t>
            </w:r>
          </w:p>
        </w:tc>
        <w:tc>
          <w:tcPr>
            <w:tcW w:w="13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13,549</w:t>
            </w:r>
          </w:p>
        </w:tc>
        <w:tc>
          <w:tcPr>
            <w:tcW w:w="110" w:type="dxa"/>
            <w:tcBorders/>
            <w:shd w:fill="CCEEFF" w:val="clear"/>
            <w:vAlign w:val="center"/>
          </w:tcPr>
          <w:p>
            <w:pPr>
              <w:pStyle w:val="TableContents"/>
              <w:bidi w:val="0"/>
              <w:spacing w:before="0" w:after="283"/>
              <w:jc w:val="left"/>
              <w:rPr/>
            </w:pPr>
            <w:r>
              <w:rPr/>
              <w:t> </w:t>
            </w:r>
            <w:bookmarkStart w:id="134" w:name="xdx_43A_c20240101__20240331_eus-gaap--St"/>
            <w:bookmarkEnd w:id="134"/>
          </w:p>
        </w:tc>
      </w:tr>
      <w:tr>
        <w:trPr/>
        <w:tc>
          <w:tcPr>
            <w:tcW w:w="1340" w:type="dxa"/>
            <w:tcBorders/>
            <w:shd w:fill="CCEEFF" w:val="clear"/>
            <w:vAlign w:val="center"/>
          </w:tcPr>
          <w:p>
            <w:pPr>
              <w:pStyle w:val="TableContents"/>
              <w:bidi w:val="0"/>
              <w:spacing w:before="0" w:after="283"/>
              <w:jc w:val="left"/>
              <w:rPr>
                <w:b/>
              </w:rPr>
            </w:pPr>
            <w:r>
              <w:rPr>
                <w:b/>
              </w:rPr>
              <w:t>Balance at January 1, 2024</w:t>
            </w:r>
          </w:p>
        </w:tc>
        <w:tc>
          <w:tcPr>
            <w:tcW w:w="3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jc w:val="left"/>
              <w:rPr/>
            </w:pPr>
            <w:r>
              <w:rPr/>
              <w:t> </w:t>
            </w:r>
            <w:bookmarkStart w:id="135" w:name="xdx_984_eus-gaap--TemporaryEquitySharesO"/>
            <w:bookmarkEnd w:id="135"/>
          </w:p>
        </w:tc>
        <w:tc>
          <w:tcPr>
            <w:tcW w:w="614"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bookmarkStart w:id="136" w:name="xdx_98C_eus-gaap--TemporaryEquityCarryin"/>
            <w:bookmarkEnd w:id="136"/>
          </w:p>
        </w:tc>
        <w:tc>
          <w:tcPr>
            <w:tcW w:w="694" w:type="dxa"/>
            <w:tcBorders/>
            <w:shd w:fill="CCEEFF" w:val="clear"/>
            <w:vAlign w:val="center"/>
          </w:tcPr>
          <w:p>
            <w:pPr>
              <w:pStyle w:val="TableContents"/>
              <w:bidi w:val="0"/>
              <w:spacing w:before="0" w:after="283"/>
              <w:jc w:val="right"/>
              <w:rPr/>
            </w:pPr>
            <w:r>
              <w:rPr/>
              <w:t>32,755</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7" w:name="xdx_98B_eus-gaap--SharesOutstanding_iS_p"/>
            <w:bookmarkEnd w:id="137"/>
          </w:p>
        </w:tc>
        <w:tc>
          <w:tcPr>
            <w:tcW w:w="680" w:type="dxa"/>
            <w:tcBorders/>
            <w:shd w:fill="CCEEFF" w:val="clear"/>
            <w:vAlign w:val="center"/>
          </w:tcPr>
          <w:p>
            <w:pPr>
              <w:pStyle w:val="TableContents"/>
              <w:bidi w:val="0"/>
              <w:spacing w:before="0" w:after="283"/>
              <w:jc w:val="right"/>
              <w:rPr/>
            </w:pPr>
            <w:r>
              <w:rPr/>
              <w:t>15,953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1,183,804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(1,170,279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w:t>
            </w:r>
          </w:p>
        </w:tc>
        <w:tc>
          <w:tcPr>
            <w:tcW w:w="13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13,549</w:t>
            </w:r>
          </w:p>
        </w:tc>
        <w:tc>
          <w:tcPr>
            <w:tcW w:w="110" w:type="dxa"/>
            <w:tcBorders/>
            <w:shd w:fill="CCEEFF" w:val="clear"/>
            <w:vAlign w:val="center"/>
          </w:tcPr>
          <w:p>
            <w:pPr>
              <w:pStyle w:val="TableContents"/>
              <w:bidi w:val="0"/>
              <w:spacing w:before="0" w:after="283"/>
              <w:jc w:val="left"/>
              <w:rPr/>
            </w:pPr>
            <w:r>
              <w:rPr/>
              <w:t> </w:t>
            </w:r>
            <w:bookmarkStart w:id="138" w:name="xdx_439_c20240101__20240331_eus-gaap--St"/>
            <w:bookmarkEnd w:id="138"/>
          </w:p>
        </w:tc>
      </w:tr>
      <w:tr>
        <w:trPr/>
        <w:tc>
          <w:tcPr>
            <w:tcW w:w="1340" w:type="dxa"/>
            <w:tcBorders/>
            <w:shd w:fill="CCEEFF" w:val="clear"/>
            <w:vAlign w:val="center"/>
          </w:tcPr>
          <w:p>
            <w:pPr>
              <w:pStyle w:val="TableContents"/>
              <w:bidi w:val="0"/>
              <w:spacing w:before="0" w:after="283"/>
              <w:jc w:val="left"/>
              <w:rPr>
                <w:b/>
              </w:rPr>
            </w:pPr>
            <w:r>
              <w:rPr>
                <w:b/>
              </w:rPr>
              <w:t>Balance</w:t>
            </w:r>
          </w:p>
        </w:tc>
        <w:tc>
          <w:tcPr>
            <w:tcW w:w="3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jc w:val="left"/>
              <w:rPr/>
            </w:pPr>
            <w:r>
              <w:rPr/>
              <w:t> </w:t>
            </w:r>
            <w:bookmarkStart w:id="139" w:name="xdx_987_eus-gaap--TemporaryEquitySharesO"/>
            <w:bookmarkEnd w:id="139"/>
          </w:p>
        </w:tc>
        <w:tc>
          <w:tcPr>
            <w:tcW w:w="614"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bookmarkStart w:id="140" w:name="xdx_983_eus-gaap--TemporaryEquityCarryin"/>
            <w:bookmarkEnd w:id="140"/>
          </w:p>
        </w:tc>
        <w:tc>
          <w:tcPr>
            <w:tcW w:w="694" w:type="dxa"/>
            <w:tcBorders/>
            <w:shd w:fill="CCEEFF" w:val="clear"/>
            <w:vAlign w:val="center"/>
          </w:tcPr>
          <w:p>
            <w:pPr>
              <w:pStyle w:val="TableContents"/>
              <w:bidi w:val="0"/>
              <w:spacing w:before="0" w:after="283"/>
              <w:jc w:val="right"/>
              <w:rPr/>
            </w:pPr>
            <w:r>
              <w:rPr/>
              <w:t>32,755</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1" w:name="xdx_98D_eus-gaap--SharesOutstanding_iS_p"/>
            <w:bookmarkEnd w:id="141"/>
          </w:p>
        </w:tc>
        <w:tc>
          <w:tcPr>
            <w:tcW w:w="680" w:type="dxa"/>
            <w:tcBorders/>
            <w:shd w:fill="CCEEFF" w:val="clear"/>
            <w:vAlign w:val="center"/>
          </w:tcPr>
          <w:p>
            <w:pPr>
              <w:pStyle w:val="TableContents"/>
              <w:bidi w:val="0"/>
              <w:spacing w:before="0" w:after="283"/>
              <w:jc w:val="right"/>
              <w:rPr/>
            </w:pPr>
            <w:r>
              <w:rPr/>
              <w:t>15,953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1,183,804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w:t>
            </w:r>
          </w:p>
        </w:tc>
        <w:tc>
          <w:tcPr>
            <w:tcW w:w="1210" w:type="dxa"/>
            <w:tcBorders/>
            <w:shd w:fill="CCEEFF" w:val="clear"/>
            <w:vAlign w:val="center"/>
          </w:tcPr>
          <w:p>
            <w:pPr>
              <w:pStyle w:val="TableContents"/>
              <w:bidi w:val="0"/>
              <w:spacing w:before="0" w:after="283"/>
              <w:jc w:val="right"/>
              <w:rPr/>
            </w:pPr>
            <w:r>
              <w:rPr/>
              <w:t>(1,170,279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w:t>
            </w:r>
          </w:p>
        </w:tc>
        <w:tc>
          <w:tcPr>
            <w:tcW w:w="13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4" w:type="dxa"/>
            <w:tcBorders/>
            <w:shd w:fill="CCEEFF" w:val="clear"/>
            <w:vAlign w:val="center"/>
          </w:tcPr>
          <w:p>
            <w:pPr>
              <w:pStyle w:val="TableContents"/>
              <w:bidi w:val="0"/>
              <w:spacing w:before="0" w:after="283"/>
              <w:jc w:val="right"/>
              <w:rPr/>
            </w:pPr>
            <w:r>
              <w:rPr/>
              <w:t>13,549</w:t>
            </w:r>
          </w:p>
        </w:tc>
        <w:tc>
          <w:tcPr>
            <w:tcW w:w="110" w:type="dxa"/>
            <w:tcBorders/>
            <w:shd w:fill="CCEEFF" w:val="clear"/>
            <w:vAlign w:val="center"/>
          </w:tcPr>
          <w:p>
            <w:pPr>
              <w:pStyle w:val="TableContents"/>
              <w:bidi w:val="0"/>
              <w:spacing w:before="0" w:after="283"/>
              <w:jc w:val="left"/>
              <w:rPr/>
            </w:pPr>
            <w:r>
              <w:rPr/>
              <w:t> </w:t>
            </w:r>
            <w:bookmarkStart w:id="142" w:name="xdx_400_eus-gaap--StockIssuedDuringPerio"/>
            <w:bookmarkEnd w:id="142"/>
          </w:p>
        </w:tc>
      </w:tr>
      <w:tr>
        <w:trPr/>
        <w:tc>
          <w:tcPr>
            <w:tcW w:w="1340" w:type="dxa"/>
            <w:tcBorders/>
            <w:shd w:fill="FFFFFF" w:val="clear"/>
            <w:vAlign w:val="center"/>
          </w:tcPr>
          <w:p>
            <w:pPr>
              <w:pStyle w:val="TableContents"/>
              <w:bidi w:val="0"/>
              <w:spacing w:before="0" w:after="283"/>
              <w:jc w:val="left"/>
              <w:rPr/>
            </w:pPr>
            <w:r>
              <w:rPr/>
              <w:t>Restricted stock vesting</w:t>
            </w:r>
          </w:p>
        </w:tc>
        <w:tc>
          <w:tcPr>
            <w:tcW w:w="3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69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3" w:name="xdx_982_eus-gaap--StockIssuedDuringPerio"/>
            <w:bookmarkEnd w:id="143"/>
          </w:p>
        </w:tc>
        <w:tc>
          <w:tcPr>
            <w:tcW w:w="680" w:type="dxa"/>
            <w:tcBorders/>
            <w:shd w:fill="FFFFFF" w:val="clear"/>
            <w:vAlign w:val="center"/>
          </w:tcPr>
          <w:p>
            <w:pPr>
              <w:pStyle w:val="TableContents"/>
              <w:bidi w:val="0"/>
              <w:spacing w:before="0" w:after="283"/>
              <w:jc w:val="right"/>
              <w:rPr/>
            </w:pPr>
            <w:r>
              <w:rPr/>
              <w:t>143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(106</w:t>
            </w:r>
          </w:p>
        </w:tc>
        <w:tc>
          <w:tcPr>
            <w:tcW w:w="110" w:type="dxa"/>
            <w:tcBorders/>
            <w:shd w:fill="FFFFFF" w:val="clear"/>
            <w:vAlign w:val="center"/>
          </w:tcPr>
          <w:p>
            <w:pPr>
              <w:pStyle w:val="TableContents"/>
              <w:bidi w:val="0"/>
              <w:spacing w:before="0" w:after="283"/>
              <w:jc w:val="left"/>
              <w:rPr/>
            </w:pPr>
            <w:r>
              <w:rPr/>
              <w:t>)</w:t>
            </w:r>
            <w:bookmarkStart w:id="144" w:name="xdx_408_eus-gaap--AdjustmentsToAdditiona"/>
            <w:bookmarkEnd w:id="144"/>
          </w:p>
        </w:tc>
      </w:tr>
      <w:tr>
        <w:trPr/>
        <w:tc>
          <w:tcPr>
            <w:tcW w:w="1340" w:type="dxa"/>
            <w:tcBorders/>
            <w:shd w:fill="CCEEFF" w:val="clear"/>
            <w:vAlign w:val="center"/>
          </w:tcPr>
          <w:p>
            <w:pPr>
              <w:pStyle w:val="TableContents"/>
              <w:bidi w:val="0"/>
              <w:spacing w:before="0" w:after="283"/>
              <w:jc w:val="left"/>
              <w:rPr/>
            </w:pPr>
            <w:r>
              <w:rPr/>
              <w:t>Stock-based compensation</w:t>
            </w:r>
          </w:p>
        </w:tc>
        <w:tc>
          <w:tcPr>
            <w:tcW w:w="33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shd w:fill="CCEEFF" w:val="clear"/>
            <w:vAlign w:val="center"/>
          </w:tcPr>
          <w:p>
            <w:pPr>
              <w:pStyle w:val="TableContents"/>
              <w:bidi w:val="0"/>
              <w:spacing w:before="0" w:after="283"/>
              <w:jc w:val="left"/>
              <w:rPr/>
            </w:pPr>
            <w:r>
              <w:rPr/>
              <w:t> </w:t>
            </w:r>
          </w:p>
        </w:tc>
        <w:tc>
          <w:tcPr>
            <w:tcW w:w="6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69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12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6" w:type="dxa"/>
            <w:tcBorders/>
            <w:shd w:fill="CCEEFF" w:val="clear"/>
            <w:vAlign w:val="center"/>
          </w:tcPr>
          <w:p>
            <w:pPr>
              <w:pStyle w:val="TableContents"/>
              <w:bidi w:val="0"/>
              <w:spacing w:before="0" w:after="283"/>
              <w:jc w:val="left"/>
              <w:rPr/>
            </w:pPr>
            <w:r>
              <w:rPr/>
              <w:t> </w:t>
            </w:r>
          </w:p>
        </w:tc>
        <w:tc>
          <w:tcPr>
            <w:tcW w:w="13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4" w:type="dxa"/>
            <w:tcBorders/>
            <w:shd w:fill="CCEEFF" w:val="clear"/>
            <w:vAlign w:val="center"/>
          </w:tcPr>
          <w:p>
            <w:pPr>
              <w:pStyle w:val="TableContents"/>
              <w:bidi w:val="0"/>
              <w:spacing w:before="0" w:after="283"/>
              <w:jc w:val="right"/>
              <w:rPr/>
            </w:pPr>
            <w:r>
              <w:rPr/>
              <w:t>3,395</w:t>
            </w:r>
          </w:p>
        </w:tc>
        <w:tc>
          <w:tcPr>
            <w:tcW w:w="110" w:type="dxa"/>
            <w:tcBorders/>
            <w:shd w:fill="CCEEFF" w:val="clear"/>
            <w:vAlign w:val="center"/>
          </w:tcPr>
          <w:p>
            <w:pPr>
              <w:pStyle w:val="TableContents"/>
              <w:bidi w:val="0"/>
              <w:spacing w:before="0" w:after="283"/>
              <w:jc w:val="left"/>
              <w:rPr/>
            </w:pPr>
            <w:r>
              <w:rPr/>
              <w:t> </w:t>
            </w:r>
            <w:bookmarkStart w:id="145" w:name="xdx_404_eus-gaap--TemporaryEquityAccreti"/>
            <w:bookmarkEnd w:id="145"/>
          </w:p>
        </w:tc>
      </w:tr>
      <w:tr>
        <w:trPr/>
        <w:tc>
          <w:tcPr>
            <w:tcW w:w="1340" w:type="dxa"/>
            <w:tcBorders/>
            <w:shd w:fill="FFFFFF" w:val="clear"/>
            <w:vAlign w:val="center"/>
          </w:tcPr>
          <w:p>
            <w:pPr>
              <w:pStyle w:val="TableContents"/>
              <w:bidi w:val="0"/>
              <w:spacing w:before="0" w:after="283"/>
              <w:jc w:val="left"/>
              <w:rPr/>
            </w:pPr>
            <w:r>
              <w:rPr/>
              <w:t>Accrual of Series A Convertible Preferred Stock dividends</w:t>
            </w:r>
          </w:p>
        </w:tc>
        <w:tc>
          <w:tcPr>
            <w:tcW w:w="3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655</w:t>
            </w:r>
          </w:p>
        </w:tc>
        <w:tc>
          <w:tcPr>
            <w:tcW w:w="96" w:type="dxa"/>
            <w:tcBorders/>
            <w:shd w:fill="FFFFFF" w:val="clear"/>
            <w:vAlign w:val="center"/>
          </w:tcPr>
          <w:p>
            <w:pPr>
              <w:pStyle w:val="TableContents"/>
              <w:bidi w:val="0"/>
              <w:spacing w:before="0" w:after="283"/>
              <w:jc w:val="left"/>
              <w:rPr/>
            </w:pPr>
            <w:r>
              <w:rPr/>
              <w:t> </w:t>
            </w:r>
          </w:p>
        </w:tc>
        <w:tc>
          <w:tcPr>
            <w:tcW w:w="6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bookmarkStart w:id="146" w:name="xdx_981_eus-gaap--TemporaryEquityAccreti"/>
            <w:bookmarkEnd w:id="146"/>
          </w:p>
        </w:tc>
        <w:tc>
          <w:tcPr>
            <w:tcW w:w="694" w:type="dxa"/>
            <w:tcBorders/>
            <w:shd w:fill="FFFFFF" w:val="clear"/>
            <w:vAlign w:val="center"/>
          </w:tcPr>
          <w:p>
            <w:pPr>
              <w:pStyle w:val="TableContents"/>
              <w:bidi w:val="0"/>
              <w:spacing w:before="0" w:after="283"/>
              <w:jc w:val="right"/>
              <w:rPr/>
            </w:pPr>
            <w:r>
              <w:rPr/>
              <w:t>655</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12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6" w:type="dxa"/>
            <w:tcBorders/>
            <w:shd w:fill="FFFFFF" w:val="clear"/>
            <w:vAlign w:val="center"/>
          </w:tcPr>
          <w:p>
            <w:pPr>
              <w:pStyle w:val="TableContents"/>
              <w:bidi w:val="0"/>
              <w:spacing w:before="0" w:after="283"/>
              <w:jc w:val="left"/>
              <w:rPr/>
            </w:pPr>
            <w:r>
              <w:rPr/>
              <w:t> </w:t>
            </w:r>
          </w:p>
        </w:tc>
        <w:tc>
          <w:tcPr>
            <w:tcW w:w="13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4" w:type="dxa"/>
            <w:tcBorders/>
            <w:shd w:fill="FFFFFF" w:val="clear"/>
            <w:vAlign w:val="center"/>
          </w:tcPr>
          <w:p>
            <w:pPr>
              <w:pStyle w:val="TableContents"/>
              <w:bidi w:val="0"/>
              <w:spacing w:before="0" w:after="283"/>
              <w:jc w:val="right"/>
              <w:rPr/>
            </w:pPr>
            <w:r>
              <w:rPr/>
              <w:t>(655</w:t>
            </w:r>
          </w:p>
        </w:tc>
        <w:tc>
          <w:tcPr>
            <w:tcW w:w="110" w:type="dxa"/>
            <w:tcBorders/>
            <w:shd w:fill="FFFFFF" w:val="clear"/>
            <w:vAlign w:val="center"/>
          </w:tcPr>
          <w:p>
            <w:pPr>
              <w:pStyle w:val="TableContents"/>
              <w:bidi w:val="0"/>
              <w:spacing w:before="0" w:after="283"/>
              <w:jc w:val="left"/>
              <w:rPr/>
            </w:pPr>
            <w:r>
              <w:rPr/>
              <w:t>)</w:t>
            </w:r>
            <w:bookmarkStart w:id="147" w:name="xdx_405_eus-gaap--NetIncomeLoss_pn3n3_z1"/>
            <w:bookmarkEnd w:id="147"/>
          </w:p>
        </w:tc>
      </w:tr>
      <w:tr>
        <w:trPr/>
        <w:tc>
          <w:tcPr>
            <w:tcW w:w="1340" w:type="dxa"/>
            <w:tcBorders/>
            <w:shd w:fill="CCEEFF" w:val="clear"/>
            <w:vAlign w:val="center"/>
          </w:tcPr>
          <w:p>
            <w:pPr>
              <w:pStyle w:val="TableContents"/>
              <w:bidi w:val="0"/>
              <w:spacing w:before="0" w:after="283"/>
              <w:jc w:val="left"/>
              <w:rPr/>
            </w:pPr>
            <w:r>
              <w:rPr/>
              <w:t>Net loss</w:t>
            </w:r>
          </w:p>
        </w:tc>
        <w:tc>
          <w:tcPr>
            <w:tcW w:w="335"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left w:val="single" w:sz="8" w:space="0" w:color="000000"/>
            </w:tcBorders>
            <w:shd w:fill="CCEEFF" w:val="clear"/>
            <w:tcMar>
              <w:left w:w="28"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0" w:type="dxa"/>
            <w:tcBorders>
              <w:bottom w:val="single" w:sz="8" w:space="0" w:color="000000"/>
            </w:tcBorders>
            <w:shd w:fill="CCEEFF" w:val="clear"/>
            <w:tcMar>
              <w:bottom w:w="28" w:type="dxa"/>
            </w:tcMar>
            <w:vAlign w:val="center"/>
          </w:tcPr>
          <w:p>
            <w:pPr>
              <w:pStyle w:val="TableContents"/>
              <w:bidi w:val="0"/>
              <w:spacing w:before="0" w:after="283"/>
              <w:jc w:val="right"/>
              <w:rPr/>
            </w:pPr>
            <w:r>
              <w:rPr/>
              <w:t>(8,473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4" w:type="dxa"/>
            <w:tcBorders>
              <w:bottom w:val="single" w:sz="8" w:space="0" w:color="000000"/>
            </w:tcBorders>
            <w:shd w:fill="CCEEFF" w:val="clear"/>
            <w:tcMar>
              <w:bottom w:w="28" w:type="dxa"/>
            </w:tcMar>
            <w:vAlign w:val="center"/>
          </w:tcPr>
          <w:p>
            <w:pPr>
              <w:pStyle w:val="TableContents"/>
              <w:bidi w:val="0"/>
              <w:spacing w:before="0" w:after="283"/>
              <w:jc w:val="right"/>
              <w:rPr/>
            </w:pPr>
            <w:r>
              <w:rPr/>
              <w:t>(8,473</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b/>
              </w:rPr>
            </w:pPr>
            <w:r>
              <w:rPr>
                <w:b/>
              </w:rPr>
              <w:t>Balance at March 31, 2024</w:t>
            </w:r>
          </w:p>
        </w:tc>
        <w:tc>
          <w:tcPr>
            <w:tcW w:w="3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14" w:type="dxa"/>
            <w:tcBorders>
              <w:bottom w:val="double" w:sz="6" w:space="0" w:color="000000"/>
            </w:tcBorders>
            <w:shd w:fill="FFFFFF" w:val="clear"/>
            <w:tcMar>
              <w:bottom w:w="28" w:type="dxa"/>
            </w:tcMar>
            <w:vAlign w:val="center"/>
          </w:tcPr>
          <w:p>
            <w:pPr>
              <w:pStyle w:val="TableContents"/>
              <w:bidi w:val="0"/>
              <w:spacing w:before="0" w:after="283"/>
              <w:jc w:val="right"/>
              <w:rPr/>
            </w:pPr>
            <w:r>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48" w:name="xdx_988_eus-gaap--TemporaryEquityCarryin"/>
            <w:bookmarkEnd w:id="148"/>
          </w:p>
        </w:tc>
        <w:tc>
          <w:tcPr>
            <w:tcW w:w="694" w:type="dxa"/>
            <w:tcBorders>
              <w:bottom w:val="double" w:sz="6" w:space="0" w:color="000000"/>
            </w:tcBorders>
            <w:shd w:fill="FFFFFF" w:val="clear"/>
            <w:tcMar>
              <w:bottom w:w="28" w:type="dxa"/>
            </w:tcMar>
            <w:vAlign w:val="center"/>
          </w:tcPr>
          <w:p>
            <w:pPr>
              <w:pStyle w:val="TableContents"/>
              <w:bidi w:val="0"/>
              <w:spacing w:before="0" w:after="283"/>
              <w:jc w:val="right"/>
              <w:rPr/>
            </w:pPr>
            <w:r>
              <w:rPr/>
              <w:t>33,410</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16,096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1,186,438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pPr>
            <w:r>
              <w:rPr/>
              <w:t>(1,178,752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shd w:fill="FFFFFF" w:val="clear"/>
            <w:tcMar>
              <w:bottom w:w="28" w:type="dxa"/>
            </w:tcMar>
            <w:vAlign w:val="center"/>
          </w:tcPr>
          <w:p>
            <w:pPr>
              <w:pStyle w:val="TableContents"/>
              <w:bidi w:val="0"/>
              <w:spacing w:before="0" w:after="283"/>
              <w:jc w:val="right"/>
              <w:rPr/>
            </w:pPr>
            <w:r>
              <w:rPr/>
              <w:t>7,710</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b/>
              </w:rPr>
            </w:pPr>
            <w:r>
              <w:rPr>
                <w:b/>
              </w:rPr>
              <w:t>Balance at March 31, 2024</w:t>
            </w:r>
          </w:p>
        </w:tc>
        <w:tc>
          <w:tcPr>
            <w:tcW w:w="3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49" w:name="xdx_98D_eus-gaap--TemporaryEquitySharesO"/>
            <w:bookmarkEnd w:id="149"/>
          </w:p>
        </w:tc>
        <w:tc>
          <w:tcPr>
            <w:tcW w:w="614" w:type="dxa"/>
            <w:tcBorders>
              <w:bottom w:val="double" w:sz="6" w:space="0" w:color="000000"/>
            </w:tcBorders>
            <w:shd w:fill="FFFFFF" w:val="clear"/>
            <w:tcMar>
              <w:bottom w:w="28" w:type="dxa"/>
            </w:tcMar>
            <w:vAlign w:val="center"/>
          </w:tcPr>
          <w:p>
            <w:pPr>
              <w:pStyle w:val="TableContents"/>
              <w:bidi w:val="0"/>
              <w:spacing w:before="0" w:after="283"/>
              <w:jc w:val="right"/>
              <w:rPr/>
            </w:pPr>
            <w:r>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50" w:name="xdx_983_eus-gaap--TemporaryEquityCarryin"/>
            <w:bookmarkEnd w:id="150"/>
          </w:p>
        </w:tc>
        <w:tc>
          <w:tcPr>
            <w:tcW w:w="694" w:type="dxa"/>
            <w:tcBorders>
              <w:bottom w:val="double" w:sz="6" w:space="0" w:color="000000"/>
            </w:tcBorders>
            <w:shd w:fill="FFFFFF" w:val="clear"/>
            <w:tcMar>
              <w:bottom w:w="28" w:type="dxa"/>
            </w:tcMar>
            <w:vAlign w:val="center"/>
          </w:tcPr>
          <w:p>
            <w:pPr>
              <w:pStyle w:val="TableContents"/>
              <w:bidi w:val="0"/>
              <w:spacing w:before="0" w:after="283"/>
              <w:jc w:val="right"/>
              <w:rPr/>
            </w:pPr>
            <w:r>
              <w:rPr/>
              <w:t>33,410</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16,096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1,186,438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pPr>
            <w:r>
              <w:rPr/>
              <w:t>(1,178,752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shd w:fill="FFFFFF" w:val="clear"/>
            <w:tcMar>
              <w:bottom w:w="28" w:type="dxa"/>
            </w:tcMar>
            <w:vAlign w:val="center"/>
          </w:tcPr>
          <w:p>
            <w:pPr>
              <w:pStyle w:val="TableContents"/>
              <w:bidi w:val="0"/>
              <w:spacing w:before="0" w:after="283"/>
              <w:jc w:val="right"/>
              <w:rPr/>
            </w:pPr>
            <w:r>
              <w:rPr/>
              <w:t>7,710</w:t>
            </w:r>
          </w:p>
        </w:tc>
        <w:tc>
          <w:tcPr>
            <w:tcW w:w="110" w:type="dxa"/>
            <w:tcBorders/>
            <w:shd w:fill="FFFFFF" w:val="clear"/>
            <w:vAlign w:val="center"/>
          </w:tcPr>
          <w:p>
            <w:pPr>
              <w:pStyle w:val="TableContents"/>
              <w:bidi w:val="0"/>
              <w:spacing w:before="0" w:after="283"/>
              <w:jc w:val="left"/>
              <w:rPr/>
            </w:pPr>
            <w:r>
              <w:rPr/>
              <w:t> </w:t>
            </w:r>
            <w:bookmarkStart w:id="151" w:name="xdx_43C_c20240101__20240331_eus-gaap--St"/>
            <w:bookmarkEnd w:id="151"/>
          </w:p>
        </w:tc>
      </w:tr>
      <w:tr>
        <w:trPr/>
        <w:tc>
          <w:tcPr>
            <w:tcW w:w="1340" w:type="dxa"/>
            <w:tcBorders/>
            <w:shd w:fill="FFFFFF" w:val="clear"/>
            <w:vAlign w:val="center"/>
          </w:tcPr>
          <w:p>
            <w:pPr>
              <w:pStyle w:val="TableContents"/>
              <w:bidi w:val="0"/>
              <w:spacing w:before="0" w:after="283"/>
              <w:jc w:val="left"/>
              <w:rPr>
                <w:b/>
              </w:rPr>
            </w:pPr>
            <w:r>
              <w:rPr>
                <w:b/>
              </w:rPr>
              <w:t>Balance at March 31, 2024</w:t>
            </w:r>
          </w:p>
        </w:tc>
        <w:tc>
          <w:tcPr>
            <w:tcW w:w="3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2" w:name="xdx_98F_eus-gaap--TemporaryEquitySharesO"/>
            <w:bookmarkEnd w:id="152"/>
          </w:p>
        </w:tc>
        <w:tc>
          <w:tcPr>
            <w:tcW w:w="614" w:type="dxa"/>
            <w:tcBorders>
              <w:bottom w:val="double" w:sz="6" w:space="0" w:color="000000"/>
            </w:tcBorders>
            <w:shd w:fill="FFFFFF" w:val="clear"/>
            <w:tcMar>
              <w:bottom w:w="28" w:type="dxa"/>
            </w:tcMar>
            <w:vAlign w:val="center"/>
          </w:tcPr>
          <w:p>
            <w:pPr>
              <w:pStyle w:val="TableContents"/>
              <w:bidi w:val="0"/>
              <w:spacing w:before="0" w:after="283"/>
              <w:jc w:val="right"/>
              <w:rPr/>
            </w:pPr>
            <w:r>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53" w:name="xdx_98C_eus-gaap--TemporaryEquityCarryin"/>
            <w:bookmarkEnd w:id="153"/>
          </w:p>
        </w:tc>
        <w:tc>
          <w:tcPr>
            <w:tcW w:w="694" w:type="dxa"/>
            <w:tcBorders>
              <w:bottom w:val="double" w:sz="6" w:space="0" w:color="000000"/>
            </w:tcBorders>
            <w:shd w:fill="FFFFFF" w:val="clear"/>
            <w:tcMar>
              <w:bottom w:w="28" w:type="dxa"/>
            </w:tcMar>
            <w:vAlign w:val="center"/>
          </w:tcPr>
          <w:p>
            <w:pPr>
              <w:pStyle w:val="TableContents"/>
              <w:bidi w:val="0"/>
              <w:spacing w:before="0" w:after="283"/>
              <w:jc w:val="right"/>
              <w:rPr/>
            </w:pPr>
            <w:r>
              <w:rPr/>
              <w:t>33,410</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4" w:name="xdx_98B_eus-gaap--SharesOutstanding_iE_p"/>
            <w:bookmarkEnd w:id="154"/>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16,096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1,186,438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pPr>
            <w:r>
              <w:rPr/>
              <w:t>(1,178,752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shd w:fill="FFFFFF" w:val="clear"/>
            <w:tcMar>
              <w:bottom w:w="28" w:type="dxa"/>
            </w:tcMar>
            <w:vAlign w:val="center"/>
          </w:tcPr>
          <w:p>
            <w:pPr>
              <w:pStyle w:val="TableContents"/>
              <w:bidi w:val="0"/>
              <w:spacing w:before="0" w:after="283"/>
              <w:jc w:val="right"/>
              <w:rPr/>
            </w:pPr>
            <w:r>
              <w:rPr/>
              <w:t>7,710</w:t>
            </w:r>
          </w:p>
        </w:tc>
        <w:tc>
          <w:tcPr>
            <w:tcW w:w="110" w:type="dxa"/>
            <w:tcBorders/>
            <w:shd w:fill="FFFFFF" w:val="clear"/>
            <w:vAlign w:val="center"/>
          </w:tcPr>
          <w:p>
            <w:pPr>
              <w:pStyle w:val="TableContents"/>
              <w:bidi w:val="0"/>
              <w:spacing w:before="0" w:after="283"/>
              <w:jc w:val="left"/>
              <w:rPr/>
            </w:pPr>
            <w:r>
              <w:rPr/>
              <w:t> </w:t>
            </w:r>
            <w:bookmarkStart w:id="155" w:name="xdx_43F_c20240101__20240331_eus-gaap--St"/>
            <w:bookmarkEnd w:id="155"/>
          </w:p>
        </w:tc>
      </w:tr>
      <w:tr>
        <w:trPr/>
        <w:tc>
          <w:tcPr>
            <w:tcW w:w="1340" w:type="dxa"/>
            <w:tcBorders/>
            <w:shd w:fill="FFFFFF" w:val="clear"/>
            <w:vAlign w:val="center"/>
          </w:tcPr>
          <w:p>
            <w:pPr>
              <w:pStyle w:val="TableContents"/>
              <w:bidi w:val="0"/>
              <w:spacing w:before="0" w:after="283"/>
              <w:jc w:val="left"/>
              <w:rPr>
                <w:b/>
              </w:rPr>
            </w:pPr>
            <w:r>
              <w:rPr>
                <w:b/>
              </w:rPr>
              <w:t>Balance</w:t>
            </w:r>
          </w:p>
        </w:tc>
        <w:tc>
          <w:tcPr>
            <w:tcW w:w="33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6" w:name="xdx_988_eus-gaap--TemporaryEquitySharesO"/>
            <w:bookmarkEnd w:id="156"/>
          </w:p>
        </w:tc>
        <w:tc>
          <w:tcPr>
            <w:tcW w:w="614" w:type="dxa"/>
            <w:tcBorders>
              <w:bottom w:val="double" w:sz="6" w:space="0" w:color="000000"/>
            </w:tcBorders>
            <w:shd w:fill="FFFFFF" w:val="clear"/>
            <w:tcMar>
              <w:bottom w:w="28" w:type="dxa"/>
            </w:tcMar>
            <w:vAlign w:val="center"/>
          </w:tcPr>
          <w:p>
            <w:pPr>
              <w:pStyle w:val="TableContents"/>
              <w:bidi w:val="0"/>
              <w:spacing w:before="0" w:after="283"/>
              <w:jc w:val="right"/>
              <w:rPr/>
            </w:pPr>
            <w:r>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157" w:name="xdx_980_eus-gaap--TemporaryEquityCarryin"/>
            <w:bookmarkEnd w:id="157"/>
          </w:p>
        </w:tc>
        <w:tc>
          <w:tcPr>
            <w:tcW w:w="694" w:type="dxa"/>
            <w:tcBorders>
              <w:bottom w:val="double" w:sz="6" w:space="0" w:color="000000"/>
            </w:tcBorders>
            <w:shd w:fill="FFFFFF" w:val="clear"/>
            <w:tcMar>
              <w:bottom w:w="28" w:type="dxa"/>
            </w:tcMar>
            <w:vAlign w:val="center"/>
          </w:tcPr>
          <w:p>
            <w:pPr>
              <w:pStyle w:val="TableContents"/>
              <w:bidi w:val="0"/>
              <w:spacing w:before="0" w:after="283"/>
              <w:jc w:val="right"/>
              <w:rPr/>
            </w:pPr>
            <w:r>
              <w:rPr/>
              <w:t>33,410</w:t>
            </w:r>
          </w:p>
        </w:tc>
        <w:tc>
          <w:tcPr>
            <w:tcW w:w="60" w:type="dxa"/>
            <w:tcBorders/>
            <w:shd w:fill="FFFFFF" w:val="clear"/>
            <w:vAlign w:val="center"/>
          </w:tcPr>
          <w:p>
            <w:pPr>
              <w:pStyle w:val="TableContents"/>
              <w:bidi w:val="0"/>
              <w:spacing w:before="0" w:after="283"/>
              <w:jc w:val="left"/>
              <w:rPr/>
            </w:pPr>
            <w:r>
              <w:rPr/>
              <w:t> </w:t>
            </w:r>
          </w:p>
        </w:tc>
        <w:tc>
          <w:tcPr>
            <w:tcW w:w="60" w:type="dxa"/>
            <w:tcBorders>
              <w:left w:val="single" w:sz="8" w:space="0" w:color="000000"/>
            </w:tcBorders>
            <w:shd w:fill="FFFFFF" w:val="clear"/>
            <w:tcMar>
              <w:left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8" w:name="xdx_98C_eus-gaap--SharesOutstanding_iE_p"/>
            <w:bookmarkEnd w:id="158"/>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16,096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1,186,438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10" w:type="dxa"/>
            <w:tcBorders>
              <w:bottom w:val="double" w:sz="6" w:space="0" w:color="000000"/>
            </w:tcBorders>
            <w:shd w:fill="FFFFFF" w:val="clear"/>
            <w:tcMar>
              <w:bottom w:w="28" w:type="dxa"/>
            </w:tcMar>
            <w:vAlign w:val="center"/>
          </w:tcPr>
          <w:p>
            <w:pPr>
              <w:pStyle w:val="TableContents"/>
              <w:bidi w:val="0"/>
              <w:spacing w:before="0" w:after="283"/>
              <w:jc w:val="right"/>
              <w:rPr/>
            </w:pPr>
            <w:r>
              <w:rPr/>
              <w:t>(1,178,752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1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4" w:type="dxa"/>
            <w:tcBorders>
              <w:bottom w:val="double" w:sz="6" w:space="0" w:color="000000"/>
            </w:tcBorders>
            <w:shd w:fill="FFFFFF" w:val="clear"/>
            <w:tcMar>
              <w:bottom w:w="28" w:type="dxa"/>
            </w:tcMar>
            <w:vAlign w:val="center"/>
          </w:tcPr>
          <w:p>
            <w:pPr>
              <w:pStyle w:val="TableContents"/>
              <w:bidi w:val="0"/>
              <w:spacing w:before="0" w:after="283"/>
              <w:jc w:val="right"/>
              <w:rPr/>
            </w:pPr>
            <w:r>
              <w:rPr/>
              <w:t>7,710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bookmarkStart w:id="159" w:name="a_006"/>
      <w:bookmarkEnd w:id="159"/>
      <w:r>
        <w:rPr>
          <w:rFonts w:ascii="Times New Roman;Times;Serif" w:hAnsi="Times New Roman;Times;Serif"/>
          <w:b/>
          <w:i w:val="false"/>
          <w:caps w:val="false"/>
          <w:smallCaps w:val="false"/>
          <w:sz w:val="20"/>
        </w:rPr>
        <w:t>Condensed Consolidated Statements of Cash Flows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ind w:left="0" w:right="0" w:hanging="0"/>
        <w:jc w:val="left"/>
        <w:rPr>
          <w:sz w:val="4"/>
          <w:szCs w:val="4"/>
        </w:rPr>
      </w:pPr>
      <w:r>
        <w:rPr>
          <w:sz w:val="4"/>
          <w:szCs w:val="4"/>
        </w:rPr>
      </w:r>
      <w:bookmarkStart w:id="160" w:name="xdx_309_112_pn3n3_ze0iGXM4If3l"/>
      <w:bookmarkStart w:id="161" w:name="xdx_309_112_pn3n3_ze0iGXM4If3l"/>
      <w:bookmarkEnd w:id="161"/>
    </w:p>
    <w:tbl>
      <w:tblPr>
        <w:tblW w:w="10205" w:type="dxa"/>
        <w:jc w:val="left"/>
        <w:tblInd w:w="0" w:type="dxa"/>
        <w:tblLayout w:type="fixed"/>
        <w:tblCellMar>
          <w:top w:w="0" w:type="dxa"/>
          <w:left w:w="0" w:type="dxa"/>
          <w:bottom w:w="0" w:type="dxa"/>
          <w:right w:w="0" w:type="dxa"/>
        </w:tblCellMar>
      </w:tblPr>
      <w:tblGrid>
        <w:gridCol w:w="4983"/>
        <w:gridCol w:w="60"/>
        <w:gridCol w:w="417"/>
        <w:gridCol w:w="2030"/>
        <w:gridCol w:w="95"/>
        <w:gridCol w:w="60"/>
        <w:gridCol w:w="417"/>
        <w:gridCol w:w="2030"/>
        <w:gridCol w:w="113"/>
      </w:tblGrid>
      <w:tr>
        <w:trPr/>
        <w:tc>
          <w:tcPr>
            <w:tcW w:w="49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2" w:name="xdx_490_20250101__20250331_zmyY7aAgTrAl"/>
            <w:bookmarkEnd w:id="162"/>
          </w:p>
        </w:tc>
        <w:tc>
          <w:tcPr>
            <w:tcW w:w="24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3" w:name="xdx_494_20240101__20240331_z8FhA53t3dc6"/>
            <w:bookmarkEnd w:id="163"/>
          </w:p>
        </w:tc>
        <w:tc>
          <w:tcPr>
            <w:tcW w:w="24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 ended March 31, 2024</w:t>
            </w:r>
          </w:p>
        </w:tc>
        <w:tc>
          <w:tcPr>
            <w:tcW w:w="113" w:type="dxa"/>
            <w:tcBorders/>
            <w:vAlign w:val="center"/>
          </w:tcPr>
          <w:p>
            <w:pPr>
              <w:pStyle w:val="TableContents"/>
              <w:bidi w:val="0"/>
              <w:spacing w:before="0" w:after="283"/>
              <w:jc w:val="left"/>
              <w:rPr/>
            </w:pPr>
            <w:r>
              <w:rPr/>
              <w:t> </w:t>
            </w:r>
            <w:bookmarkStart w:id="164" w:name="xdx_40C_eus-gaap--NetCashProvidedByUsedI"/>
            <w:bookmarkEnd w:id="164"/>
          </w:p>
        </w:tc>
      </w:tr>
      <w:tr>
        <w:trPr/>
        <w:tc>
          <w:tcPr>
            <w:tcW w:w="4983"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65" w:name="xdx_409_eus-gaap--NetIncomeLoss_i01_maNC"/>
            <w:bookmarkEnd w:id="165"/>
          </w:p>
        </w:tc>
      </w:tr>
      <w:tr>
        <w:trPr/>
        <w:tc>
          <w:tcPr>
            <w:tcW w:w="4983"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w:t>
            </w:r>
          </w:p>
        </w:tc>
        <w:tc>
          <w:tcPr>
            <w:tcW w:w="2030" w:type="dxa"/>
            <w:tcBorders/>
            <w:shd w:fill="FFFFFF" w:val="clear"/>
            <w:vAlign w:val="center"/>
          </w:tcPr>
          <w:p>
            <w:pPr>
              <w:pStyle w:val="TableContents"/>
              <w:bidi w:val="0"/>
              <w:spacing w:before="0" w:after="283"/>
              <w:jc w:val="right"/>
              <w:rPr/>
            </w:pPr>
            <w:r>
              <w:rPr/>
              <w:t>(1,211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w:t>
            </w:r>
          </w:p>
        </w:tc>
        <w:tc>
          <w:tcPr>
            <w:tcW w:w="2030" w:type="dxa"/>
            <w:tcBorders/>
            <w:shd w:fill="FFFFFF" w:val="clear"/>
            <w:vAlign w:val="center"/>
          </w:tcPr>
          <w:p>
            <w:pPr>
              <w:pStyle w:val="TableContents"/>
              <w:bidi w:val="0"/>
              <w:spacing w:before="0" w:after="283"/>
              <w:jc w:val="right"/>
              <w:rPr/>
            </w:pPr>
            <w:r>
              <w:rPr/>
              <w:t>(8,473</w:t>
            </w:r>
          </w:p>
        </w:tc>
        <w:tc>
          <w:tcPr>
            <w:tcW w:w="113" w:type="dxa"/>
            <w:tcBorders/>
            <w:shd w:fill="FFFFFF" w:val="clear"/>
            <w:vAlign w:val="center"/>
          </w:tcPr>
          <w:p>
            <w:pPr>
              <w:pStyle w:val="TableContents"/>
              <w:bidi w:val="0"/>
              <w:spacing w:before="0" w:after="283"/>
              <w:jc w:val="left"/>
              <w:rPr/>
            </w:pPr>
            <w:r>
              <w:rPr/>
              <w:t>)</w:t>
            </w:r>
            <w:bookmarkStart w:id="166" w:name="xdx_408_eus-gaap--AdjustmentsToReconcile"/>
            <w:bookmarkEnd w:id="166"/>
          </w:p>
        </w:tc>
      </w:tr>
      <w:tr>
        <w:trPr/>
        <w:tc>
          <w:tcPr>
            <w:tcW w:w="4983"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67" w:name="xdx_40A_eus-gaap--ShareBasedCompensation"/>
            <w:bookmarkEnd w:id="167"/>
          </w:p>
        </w:tc>
      </w:tr>
      <w:tr>
        <w:trPr/>
        <w:tc>
          <w:tcPr>
            <w:tcW w:w="4983"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3,395</w:t>
            </w:r>
          </w:p>
        </w:tc>
        <w:tc>
          <w:tcPr>
            <w:tcW w:w="113" w:type="dxa"/>
            <w:tcBorders/>
            <w:shd w:fill="FFFFFF" w:val="clear"/>
            <w:vAlign w:val="center"/>
          </w:tcPr>
          <w:p>
            <w:pPr>
              <w:pStyle w:val="TableContents"/>
              <w:bidi w:val="0"/>
              <w:spacing w:before="0" w:after="283"/>
              <w:jc w:val="left"/>
              <w:rPr/>
            </w:pPr>
            <w:r>
              <w:rPr/>
              <w:t> </w:t>
            </w:r>
            <w:bookmarkStart w:id="168" w:name="xdx_40A_eus-gaap--DebtSecuritiesAvailabl"/>
            <w:bookmarkEnd w:id="168"/>
          </w:p>
        </w:tc>
      </w:tr>
      <w:tr>
        <w:trPr/>
        <w:tc>
          <w:tcPr>
            <w:tcW w:w="4983" w:type="dxa"/>
            <w:tcBorders/>
            <w:shd w:fill="CCEEFF" w:val="clear"/>
            <w:vAlign w:val="center"/>
          </w:tcPr>
          <w:p>
            <w:pPr>
              <w:pStyle w:val="TableContents"/>
              <w:bidi w:val="0"/>
              <w:spacing w:before="0" w:after="283"/>
              <w:jc w:val="left"/>
              <w:rPr/>
            </w:pPr>
            <w:r>
              <w:rPr/>
              <w:t>Realized gain on debt securities available for sale</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(229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69" w:name="xdx_407_eus-gaap--IncreaseDecreaseInOper"/>
            <w:bookmarkEnd w:id="169"/>
          </w:p>
        </w:tc>
      </w:tr>
      <w:tr>
        <w:trPr/>
        <w:tc>
          <w:tcPr>
            <w:tcW w:w="4983" w:type="dxa"/>
            <w:tcBorders/>
            <w:shd w:fill="FFFFFF" w:val="clear"/>
            <w:vAlign w:val="center"/>
          </w:tcPr>
          <w:p>
            <w:pPr>
              <w:pStyle w:val="TableContents"/>
              <w:bidi w:val="0"/>
              <w:spacing w:before="0" w:after="283"/>
              <w:jc w:val="left"/>
              <w:rPr/>
            </w:pPr>
            <w:r>
              <w:rPr/>
              <w:t>Change in operating assets and liabilities:</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70" w:name="xdx_404_eus-gaap--IncreaseDecreaseInPrep"/>
            <w:bookmarkEnd w:id="170"/>
          </w:p>
        </w:tc>
      </w:tr>
      <w:tr>
        <w:trPr/>
        <w:tc>
          <w:tcPr>
            <w:tcW w:w="4983" w:type="dxa"/>
            <w:tcBorders/>
            <w:shd w:fill="CCEEFF" w:val="clear"/>
            <w:vAlign w:val="center"/>
          </w:tcPr>
          <w:p>
            <w:pPr>
              <w:pStyle w:val="TableContents"/>
              <w:bidi w:val="0"/>
              <w:spacing w:before="0" w:after="283"/>
              <w:jc w:val="left"/>
              <w:rPr/>
            </w:pPr>
            <w:r>
              <w:rPr/>
              <w:t>Prepaid insurance and other assets</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3,372</w:t>
            </w:r>
          </w:p>
        </w:tc>
        <w:tc>
          <w:tcPr>
            <w:tcW w:w="113" w:type="dxa"/>
            <w:tcBorders/>
            <w:shd w:fill="CCEEFF" w:val="clear"/>
            <w:vAlign w:val="center"/>
          </w:tcPr>
          <w:p>
            <w:pPr>
              <w:pStyle w:val="TableContents"/>
              <w:bidi w:val="0"/>
              <w:spacing w:before="0" w:after="283"/>
              <w:jc w:val="left"/>
              <w:rPr/>
            </w:pPr>
            <w:r>
              <w:rPr/>
              <w:t> </w:t>
            </w:r>
            <w:bookmarkStart w:id="171" w:name="xdx_40D_eus-gaap--IncreaseDecreaseInAcco"/>
            <w:bookmarkEnd w:id="171"/>
          </w:p>
        </w:tc>
      </w:tr>
      <w:tr>
        <w:trPr/>
        <w:tc>
          <w:tcPr>
            <w:tcW w:w="4983"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1,541</w:t>
            </w:r>
          </w:p>
        </w:tc>
        <w:tc>
          <w:tcPr>
            <w:tcW w:w="113" w:type="dxa"/>
            <w:tcBorders/>
            <w:shd w:fill="FFFFFF" w:val="clear"/>
            <w:vAlign w:val="center"/>
          </w:tcPr>
          <w:p>
            <w:pPr>
              <w:pStyle w:val="TableContents"/>
              <w:bidi w:val="0"/>
              <w:spacing w:before="0" w:after="283"/>
              <w:jc w:val="left"/>
              <w:rPr/>
            </w:pPr>
            <w:r>
              <w:rPr/>
              <w:t> </w:t>
            </w:r>
            <w:bookmarkStart w:id="172" w:name="xdx_40B_ecustom--IncreaseDecreaseAccrued"/>
            <w:bookmarkEnd w:id="172"/>
          </w:p>
        </w:tc>
      </w:tr>
      <w:tr>
        <w:trPr/>
        <w:tc>
          <w:tcPr>
            <w:tcW w:w="4983" w:type="dxa"/>
            <w:tcBorders/>
            <w:shd w:fill="CCEEFF" w:val="clear"/>
            <w:vAlign w:val="center"/>
          </w:tcPr>
          <w:p>
            <w:pPr>
              <w:pStyle w:val="TableContents"/>
              <w:bidi w:val="0"/>
              <w:spacing w:before="0" w:after="283"/>
              <w:jc w:val="left"/>
              <w:rPr/>
            </w:pPr>
            <w:r>
              <w:rPr/>
              <w:t>Accrued legal and professional</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(209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(4,818</w:t>
            </w:r>
          </w:p>
        </w:tc>
        <w:tc>
          <w:tcPr>
            <w:tcW w:w="113" w:type="dxa"/>
            <w:tcBorders/>
            <w:shd w:fill="CCEEFF" w:val="clear"/>
            <w:vAlign w:val="center"/>
          </w:tcPr>
          <w:p>
            <w:pPr>
              <w:pStyle w:val="TableContents"/>
              <w:bidi w:val="0"/>
              <w:spacing w:before="0" w:after="283"/>
              <w:jc w:val="left"/>
              <w:rPr/>
            </w:pPr>
            <w:r>
              <w:rPr/>
              <w:t>)</w:t>
            </w:r>
            <w:bookmarkStart w:id="173" w:name="xdx_402_ecustom--IncreaseDecreaseInAccru"/>
            <w:bookmarkEnd w:id="173"/>
          </w:p>
        </w:tc>
      </w:tr>
      <w:tr>
        <w:trPr/>
        <w:tc>
          <w:tcPr>
            <w:tcW w:w="4983" w:type="dxa"/>
            <w:tcBorders/>
            <w:shd w:fill="FFFFFF" w:val="clear"/>
            <w:vAlign w:val="center"/>
          </w:tcPr>
          <w:p>
            <w:pPr>
              <w:pStyle w:val="TableContents"/>
              <w:bidi w:val="0"/>
              <w:spacing w:before="0" w:after="283"/>
              <w:jc w:val="left"/>
              <w:rPr/>
            </w:pPr>
            <w:r>
              <w:rPr/>
              <w:t>Accrued expenses and other current liabilities and liabilities subject to compromise</w:t>
            </w:r>
          </w:p>
        </w:tc>
        <w:tc>
          <w:tcPr>
            <w:tcW w:w="60" w:type="dxa"/>
            <w:tcBorders/>
            <w:shd w:fill="FFFFFF" w:val="clear"/>
            <w:vAlign w:val="center"/>
          </w:tcPr>
          <w:p>
            <w:pPr>
              <w:pStyle w:val="TableContents"/>
              <w:bidi w:val="0"/>
              <w:spacing w:before="0" w:after="283"/>
              <w:jc w:val="left"/>
              <w:rPr/>
            </w:pPr>
            <w:r>
              <w:rPr/>
              <w:t> </w:t>
            </w:r>
          </w:p>
        </w:tc>
        <w:tc>
          <w:tcPr>
            <w:tcW w:w="4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30" w:type="dxa"/>
            <w:tcBorders>
              <w:bottom w:val="single" w:sz="8" w:space="0" w:color="000000"/>
            </w:tcBorders>
            <w:shd w:fill="FFFFFF" w:val="clear"/>
            <w:tcMar>
              <w:bottom w:w="28" w:type="dxa"/>
            </w:tcMar>
            <w:vAlign w:val="center"/>
          </w:tcPr>
          <w:p>
            <w:pPr>
              <w:pStyle w:val="TableContents"/>
              <w:bidi w:val="0"/>
              <w:spacing w:before="0" w:after="283"/>
              <w:jc w:val="right"/>
              <w:rPr/>
            </w:pPr>
            <w:r>
              <w:rPr/>
              <w:t>(318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030" w:type="dxa"/>
            <w:tcBorders>
              <w:bottom w:val="single" w:sz="8" w:space="0" w:color="000000"/>
            </w:tcBorders>
            <w:shd w:fill="FFFFFF" w:val="clear"/>
            <w:tcMar>
              <w:bottom w:w="28" w:type="dxa"/>
            </w:tcMar>
            <w:vAlign w:val="center"/>
          </w:tcPr>
          <w:p>
            <w:pPr>
              <w:pStyle w:val="TableContents"/>
              <w:bidi w:val="0"/>
              <w:spacing w:before="0" w:after="283"/>
              <w:jc w:val="right"/>
              <w:rPr/>
            </w:pPr>
            <w:r>
              <w:rPr/>
              <w:t>(4,572</w:t>
            </w:r>
          </w:p>
        </w:tc>
        <w:tc>
          <w:tcPr>
            <w:tcW w:w="113" w:type="dxa"/>
            <w:tcBorders/>
            <w:shd w:fill="FFFFFF" w:val="clear"/>
            <w:vAlign w:val="center"/>
          </w:tcPr>
          <w:p>
            <w:pPr>
              <w:pStyle w:val="TableContents"/>
              <w:bidi w:val="0"/>
              <w:spacing w:before="0" w:after="283"/>
              <w:jc w:val="left"/>
              <w:rPr/>
            </w:pPr>
            <w:r>
              <w:rPr/>
              <w:t>)</w:t>
            </w:r>
            <w:bookmarkStart w:id="174" w:name="xdx_40A_eus-gaap--NetCashProvidedByUsedI"/>
            <w:bookmarkEnd w:id="174"/>
          </w:p>
        </w:tc>
      </w:tr>
      <w:tr>
        <w:trPr/>
        <w:tc>
          <w:tcPr>
            <w:tcW w:w="4983"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41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2030" w:type="dxa"/>
            <w:tcBorders>
              <w:bottom w:val="single" w:sz="8" w:space="0" w:color="000000"/>
            </w:tcBorders>
            <w:shd w:fill="CCEEFF" w:val="clear"/>
            <w:tcMar>
              <w:bottom w:w="28" w:type="dxa"/>
            </w:tcMar>
            <w:vAlign w:val="center"/>
          </w:tcPr>
          <w:p>
            <w:pPr>
              <w:pStyle w:val="TableContents"/>
              <w:bidi w:val="0"/>
              <w:spacing w:before="0" w:after="283"/>
              <w:jc w:val="right"/>
              <w:rPr/>
            </w:pPr>
            <w:r>
              <w:rPr/>
              <w:t>(1,840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41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2030" w:type="dxa"/>
            <w:tcBorders>
              <w:bottom w:val="single" w:sz="8" w:space="0" w:color="000000"/>
            </w:tcBorders>
            <w:shd w:fill="CCEEFF" w:val="clear"/>
            <w:tcMar>
              <w:bottom w:w="28" w:type="dxa"/>
            </w:tcMar>
            <w:vAlign w:val="center"/>
          </w:tcPr>
          <w:p>
            <w:pPr>
              <w:pStyle w:val="TableContents"/>
              <w:bidi w:val="0"/>
              <w:spacing w:before="0" w:after="283"/>
              <w:jc w:val="right"/>
              <w:rPr/>
            </w:pPr>
            <w:r>
              <w:rPr/>
              <w:t>(9,555</w:t>
            </w:r>
          </w:p>
        </w:tc>
        <w:tc>
          <w:tcPr>
            <w:tcW w:w="113" w:type="dxa"/>
            <w:tcBorders/>
            <w:shd w:fill="CCEEFF" w:val="clear"/>
            <w:vAlign w:val="center"/>
          </w:tcPr>
          <w:p>
            <w:pPr>
              <w:pStyle w:val="TableContents"/>
              <w:bidi w:val="0"/>
              <w:spacing w:before="0" w:after="283"/>
              <w:jc w:val="left"/>
              <w:rPr/>
            </w:pPr>
            <w:r>
              <w:rPr/>
              <w:t>)</w:t>
            </w:r>
          </w:p>
        </w:tc>
      </w:tr>
      <w:tr>
        <w:trPr/>
        <w:tc>
          <w:tcPr>
            <w:tcW w:w="49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75" w:name="xdx_409_eus-gaap--NetCashProvidedByUsedI"/>
            <w:bookmarkEnd w:id="175"/>
          </w:p>
        </w:tc>
      </w:tr>
      <w:tr>
        <w:trPr/>
        <w:tc>
          <w:tcPr>
            <w:tcW w:w="4983"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76" w:name="xdx_408_eus-gaap--ProceedsFromMaturities"/>
            <w:bookmarkEnd w:id="176"/>
          </w:p>
        </w:tc>
      </w:tr>
      <w:tr>
        <w:trPr/>
        <w:tc>
          <w:tcPr>
            <w:tcW w:w="4983" w:type="dxa"/>
            <w:tcBorders/>
            <w:shd w:fill="FFFFFF" w:val="clear"/>
            <w:vAlign w:val="center"/>
          </w:tcPr>
          <w:p>
            <w:pPr>
              <w:pStyle w:val="TableContents"/>
              <w:bidi w:val="0"/>
              <w:spacing w:before="0" w:after="283"/>
              <w:jc w:val="left"/>
              <w:rPr/>
            </w:pPr>
            <w:r>
              <w:rPr/>
              <w:t>Maturities of short-term investments</w:t>
            </w:r>
          </w:p>
        </w:tc>
        <w:tc>
          <w:tcPr>
            <w:tcW w:w="60" w:type="dxa"/>
            <w:tcBorders/>
            <w:shd w:fill="FFFFFF" w:val="clear"/>
            <w:vAlign w:val="center"/>
          </w:tcPr>
          <w:p>
            <w:pPr>
              <w:pStyle w:val="TableContents"/>
              <w:bidi w:val="0"/>
              <w:spacing w:before="0" w:after="283"/>
              <w:jc w:val="left"/>
              <w:rPr/>
            </w:pPr>
            <w:r>
              <w:rPr/>
              <w:t> </w:t>
            </w:r>
          </w:p>
        </w:tc>
        <w:tc>
          <w:tcPr>
            <w:tcW w:w="41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2030" w:type="dxa"/>
            <w:tcBorders>
              <w:bottom w:val="single" w:sz="8" w:space="0" w:color="000000"/>
            </w:tcBorders>
            <w:shd w:fill="FFFFFF" w:val="clear"/>
            <w:tcMar>
              <w:bottom w:w="28" w:type="dxa"/>
            </w:tcMar>
            <w:vAlign w:val="center"/>
          </w:tcPr>
          <w:p>
            <w:pPr>
              <w:pStyle w:val="TableContents"/>
              <w:bidi w:val="0"/>
              <w:spacing w:before="0" w:after="283"/>
              <w:jc w:val="right"/>
              <w:rPr/>
            </w:pPr>
            <w:r>
              <w:rPr/>
              <w:t>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20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77" w:name="xdx_40F_eus-gaap--NetCashProvidedByUsedI"/>
            <w:bookmarkEnd w:id="177"/>
          </w:p>
        </w:tc>
      </w:tr>
      <w:tr>
        <w:trPr/>
        <w:tc>
          <w:tcPr>
            <w:tcW w:w="4983" w:type="dxa"/>
            <w:tcBorders/>
            <w:shd w:fill="CCEEFF" w:val="clear"/>
            <w:vAlign w:val="center"/>
          </w:tcPr>
          <w:p>
            <w:pPr>
              <w:pStyle w:val="TableContents"/>
              <w:bidi w:val="0"/>
              <w:spacing w:before="0" w:after="283"/>
              <w:jc w:val="left"/>
              <w:rPr/>
            </w:pPr>
            <w:r>
              <w:rPr/>
              <w:t>Net cash provided by investing activities</w:t>
            </w:r>
          </w:p>
        </w:tc>
        <w:tc>
          <w:tcPr>
            <w:tcW w:w="60" w:type="dxa"/>
            <w:tcBorders/>
            <w:shd w:fill="CCEEFF" w:val="clear"/>
            <w:vAlign w:val="center"/>
          </w:tcPr>
          <w:p>
            <w:pPr>
              <w:pStyle w:val="TableContents"/>
              <w:bidi w:val="0"/>
              <w:spacing w:before="0" w:after="283"/>
              <w:jc w:val="left"/>
              <w:rPr/>
            </w:pPr>
            <w:r>
              <w:rPr/>
              <w:t> </w:t>
            </w:r>
          </w:p>
        </w:tc>
        <w:tc>
          <w:tcPr>
            <w:tcW w:w="41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2030" w:type="dxa"/>
            <w:tcBorders>
              <w:bottom w:val="single" w:sz="8" w:space="0" w:color="000000"/>
            </w:tcBorders>
            <w:shd w:fill="CCEEFF" w:val="clear"/>
            <w:tcMar>
              <w:bottom w:w="28" w:type="dxa"/>
            </w:tcMar>
            <w:vAlign w:val="center"/>
          </w:tcPr>
          <w:p>
            <w:pPr>
              <w:pStyle w:val="TableContents"/>
              <w:bidi w:val="0"/>
              <w:spacing w:before="0" w:after="283"/>
              <w:jc w:val="right"/>
              <w:rPr/>
            </w:pPr>
            <w:r>
              <w:rPr/>
              <w:t>10,000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20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49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78" w:name="xdx_40E_eus-gaap--NetCashProvidedByUsedI"/>
            <w:bookmarkEnd w:id="178"/>
          </w:p>
        </w:tc>
      </w:tr>
      <w:tr>
        <w:trPr/>
        <w:tc>
          <w:tcPr>
            <w:tcW w:w="4983"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79" w:name="xdx_406_eus-gaap--PaymentsRelatedToTaxWi"/>
            <w:bookmarkEnd w:id="179"/>
          </w:p>
        </w:tc>
      </w:tr>
      <w:tr>
        <w:trPr/>
        <w:tc>
          <w:tcPr>
            <w:tcW w:w="4983" w:type="dxa"/>
            <w:tcBorders/>
            <w:shd w:fill="FFFFFF" w:val="clear"/>
            <w:vAlign w:val="center"/>
          </w:tcPr>
          <w:p>
            <w:pPr>
              <w:pStyle w:val="TableContents"/>
              <w:bidi w:val="0"/>
              <w:spacing w:before="0" w:after="283"/>
              <w:jc w:val="left"/>
              <w:rPr/>
            </w:pPr>
            <w:r>
              <w:rPr/>
              <w:t>Tax withholding payments related to net settled restricted stock compensation</w:t>
            </w:r>
          </w:p>
        </w:tc>
        <w:tc>
          <w:tcPr>
            <w:tcW w:w="60" w:type="dxa"/>
            <w:tcBorders/>
            <w:shd w:fill="FFFFFF" w:val="clear"/>
            <w:vAlign w:val="center"/>
          </w:tcPr>
          <w:p>
            <w:pPr>
              <w:pStyle w:val="TableContents"/>
              <w:bidi w:val="0"/>
              <w:spacing w:before="0" w:after="283"/>
              <w:jc w:val="left"/>
              <w:rPr/>
            </w:pPr>
            <w:r>
              <w:rPr/>
              <w:t> </w:t>
            </w:r>
          </w:p>
        </w:tc>
        <w:tc>
          <w:tcPr>
            <w:tcW w:w="41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203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2030" w:type="dxa"/>
            <w:tcBorders>
              <w:bottom w:val="single" w:sz="8" w:space="0" w:color="000000"/>
            </w:tcBorders>
            <w:shd w:fill="FFFFFF" w:val="clear"/>
            <w:tcMar>
              <w:bottom w:w="28" w:type="dxa"/>
            </w:tcMar>
            <w:vAlign w:val="center"/>
          </w:tcPr>
          <w:p>
            <w:pPr>
              <w:pStyle w:val="TableContents"/>
              <w:bidi w:val="0"/>
              <w:spacing w:before="0" w:after="283"/>
              <w:jc w:val="right"/>
              <w:rPr/>
            </w:pPr>
            <w:r>
              <w:rPr/>
              <w:t>(106</w:t>
            </w:r>
          </w:p>
        </w:tc>
        <w:tc>
          <w:tcPr>
            <w:tcW w:w="113" w:type="dxa"/>
            <w:tcBorders/>
            <w:shd w:fill="FFFFFF" w:val="clear"/>
            <w:vAlign w:val="center"/>
          </w:tcPr>
          <w:p>
            <w:pPr>
              <w:pStyle w:val="TableContents"/>
              <w:bidi w:val="0"/>
              <w:spacing w:before="0" w:after="283"/>
              <w:jc w:val="left"/>
              <w:rPr/>
            </w:pPr>
            <w:r>
              <w:rPr/>
              <w:t>)</w:t>
            </w:r>
            <w:bookmarkStart w:id="180" w:name="xdx_40D_eus-gaap--NetCashProvidedByUsedI"/>
            <w:bookmarkEnd w:id="180"/>
          </w:p>
        </w:tc>
      </w:tr>
      <w:tr>
        <w:trPr/>
        <w:tc>
          <w:tcPr>
            <w:tcW w:w="4983" w:type="dxa"/>
            <w:tcBorders/>
            <w:shd w:fill="CCEEFF" w:val="clear"/>
            <w:vAlign w:val="center"/>
          </w:tcPr>
          <w:p>
            <w:pPr>
              <w:pStyle w:val="TableContents"/>
              <w:bidi w:val="0"/>
              <w:spacing w:before="0" w:after="283"/>
              <w:jc w:val="left"/>
              <w:rPr/>
            </w:pPr>
            <w:r>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41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20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bottom w:val="single" w:sz="8" w:space="0" w:color="000000"/>
            </w:tcBorders>
            <w:shd w:fill="CCEEFF" w:val="clear"/>
            <w:tcMar>
              <w:bottom w:w="28" w:type="dxa"/>
            </w:tcMar>
            <w:vAlign w:val="center"/>
          </w:tcPr>
          <w:p>
            <w:pPr>
              <w:pStyle w:val="TableContents"/>
              <w:bidi w:val="0"/>
              <w:spacing w:before="0" w:after="283"/>
              <w:jc w:val="left"/>
              <w:rPr/>
            </w:pPr>
            <w:r>
              <w:rPr/>
              <w:t>$</w:t>
            </w:r>
          </w:p>
        </w:tc>
        <w:tc>
          <w:tcPr>
            <w:tcW w:w="2030" w:type="dxa"/>
            <w:tcBorders>
              <w:bottom w:val="single" w:sz="8" w:space="0" w:color="000000"/>
            </w:tcBorders>
            <w:shd w:fill="CCEEFF" w:val="clear"/>
            <w:tcMar>
              <w:bottom w:w="28" w:type="dxa"/>
            </w:tcMar>
            <w:vAlign w:val="center"/>
          </w:tcPr>
          <w:p>
            <w:pPr>
              <w:pStyle w:val="TableContents"/>
              <w:bidi w:val="0"/>
              <w:spacing w:before="0" w:after="283"/>
              <w:jc w:val="right"/>
              <w:rPr/>
            </w:pPr>
            <w:r>
              <w:rPr/>
              <w:t>(106</w:t>
            </w:r>
          </w:p>
        </w:tc>
        <w:tc>
          <w:tcPr>
            <w:tcW w:w="113" w:type="dxa"/>
            <w:tcBorders/>
            <w:shd w:fill="CCEEFF" w:val="clear"/>
            <w:vAlign w:val="center"/>
          </w:tcPr>
          <w:p>
            <w:pPr>
              <w:pStyle w:val="TableContents"/>
              <w:bidi w:val="0"/>
              <w:spacing w:before="0" w:after="283"/>
              <w:jc w:val="left"/>
              <w:rPr/>
            </w:pPr>
            <w:r>
              <w:rPr/>
              <w:t>)</w:t>
            </w:r>
          </w:p>
        </w:tc>
      </w:tr>
      <w:tr>
        <w:trPr/>
        <w:tc>
          <w:tcPr>
            <w:tcW w:w="49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81" w:name="xdx_407_eus-gaap--EffectOfExchangeRateOn"/>
            <w:bookmarkEnd w:id="181"/>
          </w:p>
        </w:tc>
      </w:tr>
      <w:tr>
        <w:trPr/>
        <w:tc>
          <w:tcPr>
            <w:tcW w:w="4983" w:type="dxa"/>
            <w:tcBorders/>
            <w:shd w:fill="CCEEFF" w:val="clear"/>
            <w:vAlign w:val="center"/>
          </w:tcPr>
          <w:p>
            <w:pPr>
              <w:pStyle w:val="TableContents"/>
              <w:bidi w:val="0"/>
              <w:spacing w:before="0" w:after="283"/>
              <w:jc w:val="left"/>
              <w:rPr/>
            </w:pPr>
            <w:r>
              <w:rPr/>
              <w:t>Cash and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82" w:name="xdx_40C_eus-gaap--CashCashEquivalentsRes"/>
            <w:bookmarkEnd w:id="182"/>
          </w:p>
        </w:tc>
      </w:tr>
      <w:tr>
        <w:trPr/>
        <w:tc>
          <w:tcPr>
            <w:tcW w:w="4983" w:type="dxa"/>
            <w:tcBorders/>
            <w:shd w:fill="FFFFFF" w:val="clear"/>
            <w:vAlign w:val="center"/>
          </w:tcPr>
          <w:p>
            <w:pPr>
              <w:pStyle w:val="TableContents"/>
              <w:bidi w:val="0"/>
              <w:spacing w:before="0" w:after="283"/>
              <w:jc w:val="left"/>
              <w:rPr/>
            </w:pPr>
            <w:r>
              <w:rPr/>
              <w:t>Net change during the period</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w:t>
            </w:r>
          </w:p>
        </w:tc>
        <w:tc>
          <w:tcPr>
            <w:tcW w:w="2030" w:type="dxa"/>
            <w:tcBorders/>
            <w:shd w:fill="FFFFFF" w:val="clear"/>
            <w:vAlign w:val="center"/>
          </w:tcPr>
          <w:p>
            <w:pPr>
              <w:pStyle w:val="TableContents"/>
              <w:bidi w:val="0"/>
              <w:spacing w:before="0" w:after="283"/>
              <w:jc w:val="right"/>
              <w:rPr/>
            </w:pPr>
            <w:r>
              <w:rPr/>
              <w:t>8,160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w:t>
            </w:r>
          </w:p>
        </w:tc>
        <w:tc>
          <w:tcPr>
            <w:tcW w:w="2030" w:type="dxa"/>
            <w:tcBorders/>
            <w:shd w:fill="FFFFFF" w:val="clear"/>
            <w:vAlign w:val="center"/>
          </w:tcPr>
          <w:p>
            <w:pPr>
              <w:pStyle w:val="TableContents"/>
              <w:bidi w:val="0"/>
              <w:spacing w:before="0" w:after="283"/>
              <w:jc w:val="right"/>
              <w:rPr/>
            </w:pPr>
            <w:r>
              <w:rPr/>
              <w:t>(9,661</w:t>
            </w:r>
          </w:p>
        </w:tc>
        <w:tc>
          <w:tcPr>
            <w:tcW w:w="113" w:type="dxa"/>
            <w:tcBorders/>
            <w:shd w:fill="FFFFFF" w:val="clear"/>
            <w:vAlign w:val="center"/>
          </w:tcPr>
          <w:p>
            <w:pPr>
              <w:pStyle w:val="TableContents"/>
              <w:bidi w:val="0"/>
              <w:spacing w:before="0" w:after="283"/>
              <w:jc w:val="left"/>
              <w:rPr/>
            </w:pPr>
            <w:r>
              <w:rPr/>
              <w:t>)</w:t>
            </w:r>
            <w:bookmarkStart w:id="183" w:name="xdx_409_eus-gaap--CashCashEquivalentsRes"/>
            <w:bookmarkEnd w:id="183"/>
          </w:p>
        </w:tc>
      </w:tr>
      <w:tr>
        <w:trPr/>
        <w:tc>
          <w:tcPr>
            <w:tcW w:w="4983" w:type="dxa"/>
            <w:tcBorders/>
            <w:shd w:fill="CCEEFF" w:val="clear"/>
            <w:vAlign w:val="center"/>
          </w:tcPr>
          <w:p>
            <w:pPr>
              <w:pStyle w:val="TableContents"/>
              <w:bidi w:val="0"/>
              <w:spacing w:before="0" w:after="283"/>
              <w:jc w:val="left"/>
              <w:rPr/>
            </w:pPr>
            <w:r>
              <w:rPr/>
              <w:t>Balance, beginning of period</w:t>
            </w:r>
          </w:p>
        </w:tc>
        <w:tc>
          <w:tcPr>
            <w:tcW w:w="60" w:type="dxa"/>
            <w:tcBorders/>
            <w:shd w:fill="CCEEFF" w:val="clear"/>
            <w:vAlign w:val="center"/>
          </w:tcPr>
          <w:p>
            <w:pPr>
              <w:pStyle w:val="TableContents"/>
              <w:bidi w:val="0"/>
              <w:spacing w:before="0" w:after="283"/>
              <w:jc w:val="left"/>
              <w:rPr/>
            </w:pPr>
            <w:r>
              <w:rPr/>
              <w:t> </w:t>
            </w:r>
          </w:p>
        </w:tc>
        <w:tc>
          <w:tcPr>
            <w:tcW w:w="4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30" w:type="dxa"/>
            <w:tcBorders>
              <w:bottom w:val="single" w:sz="8" w:space="0" w:color="000000"/>
            </w:tcBorders>
            <w:shd w:fill="CCEEFF" w:val="clear"/>
            <w:tcMar>
              <w:bottom w:w="28" w:type="dxa"/>
            </w:tcMar>
            <w:vAlign w:val="center"/>
          </w:tcPr>
          <w:p>
            <w:pPr>
              <w:pStyle w:val="TableContents"/>
              <w:bidi w:val="0"/>
              <w:spacing w:before="0" w:after="283"/>
              <w:jc w:val="right"/>
              <w:rPr/>
            </w:pPr>
            <w:r>
              <w:rPr/>
              <w:t>23,095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030" w:type="dxa"/>
            <w:tcBorders>
              <w:bottom w:val="single" w:sz="8" w:space="0" w:color="000000"/>
            </w:tcBorders>
            <w:shd w:fill="CCEEFF" w:val="clear"/>
            <w:tcMar>
              <w:bottom w:w="28" w:type="dxa"/>
            </w:tcMar>
            <w:vAlign w:val="center"/>
          </w:tcPr>
          <w:p>
            <w:pPr>
              <w:pStyle w:val="TableContents"/>
              <w:bidi w:val="0"/>
              <w:spacing w:before="0" w:after="283"/>
              <w:jc w:val="right"/>
              <w:rPr/>
            </w:pPr>
            <w:r>
              <w:rPr/>
              <w:t>87,096</w:t>
            </w:r>
          </w:p>
        </w:tc>
        <w:tc>
          <w:tcPr>
            <w:tcW w:w="113" w:type="dxa"/>
            <w:tcBorders/>
            <w:shd w:fill="CCEEFF" w:val="clear"/>
            <w:vAlign w:val="center"/>
          </w:tcPr>
          <w:p>
            <w:pPr>
              <w:pStyle w:val="TableContents"/>
              <w:bidi w:val="0"/>
              <w:spacing w:before="0" w:after="283"/>
              <w:jc w:val="left"/>
              <w:rPr/>
            </w:pPr>
            <w:r>
              <w:rPr/>
              <w:t> </w:t>
            </w:r>
            <w:bookmarkStart w:id="184" w:name="xdx_407_eus-gaap--CashCashEquivalentsRes"/>
            <w:bookmarkEnd w:id="184"/>
          </w:p>
        </w:tc>
      </w:tr>
      <w:tr>
        <w:trPr/>
        <w:tc>
          <w:tcPr>
            <w:tcW w:w="4983" w:type="dxa"/>
            <w:tcBorders/>
            <w:shd w:fill="FFFFFF" w:val="clear"/>
            <w:vAlign w:val="center"/>
          </w:tcPr>
          <w:p>
            <w:pPr>
              <w:pStyle w:val="TableContents"/>
              <w:bidi w:val="0"/>
              <w:spacing w:before="0" w:after="283"/>
              <w:jc w:val="left"/>
              <w:rPr/>
            </w:pPr>
            <w:r>
              <w:rPr/>
              <w:t>Balance, end of period</w:t>
            </w:r>
          </w:p>
        </w:tc>
        <w:tc>
          <w:tcPr>
            <w:tcW w:w="60" w:type="dxa"/>
            <w:tcBorders/>
            <w:shd w:fill="FFFFFF" w:val="cle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030" w:type="dxa"/>
            <w:tcBorders>
              <w:bottom w:val="double" w:sz="6" w:space="0" w:color="000000"/>
            </w:tcBorders>
            <w:shd w:fill="FFFFFF" w:val="clear"/>
            <w:tcMar>
              <w:bottom w:w="28" w:type="dxa"/>
            </w:tcMar>
            <w:vAlign w:val="center"/>
          </w:tcPr>
          <w:p>
            <w:pPr>
              <w:pStyle w:val="TableContents"/>
              <w:bidi w:val="0"/>
              <w:spacing w:before="0" w:after="283"/>
              <w:jc w:val="right"/>
              <w:rPr/>
            </w:pPr>
            <w:r>
              <w:rPr/>
              <w:t>31,255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030" w:type="dxa"/>
            <w:tcBorders>
              <w:bottom w:val="double" w:sz="6" w:space="0" w:color="000000"/>
            </w:tcBorders>
            <w:shd w:fill="FFFFFF" w:val="clear"/>
            <w:tcMar>
              <w:bottom w:w="28" w:type="dxa"/>
            </w:tcMar>
            <w:vAlign w:val="center"/>
          </w:tcPr>
          <w:p>
            <w:pPr>
              <w:pStyle w:val="TableContents"/>
              <w:bidi w:val="0"/>
              <w:spacing w:before="0" w:after="283"/>
              <w:jc w:val="right"/>
              <w:rPr/>
            </w:pPr>
            <w:r>
              <w:rPr/>
              <w:t>77,435</w:t>
            </w:r>
          </w:p>
        </w:tc>
        <w:tc>
          <w:tcPr>
            <w:tcW w:w="113" w:type="dxa"/>
            <w:tcBorders/>
            <w:shd w:fill="FFFFFF" w:val="clear"/>
            <w:vAlign w:val="center"/>
          </w:tcPr>
          <w:p>
            <w:pPr>
              <w:pStyle w:val="TableContents"/>
              <w:bidi w:val="0"/>
              <w:spacing w:before="0" w:after="283"/>
              <w:jc w:val="left"/>
              <w:rPr/>
            </w:pPr>
            <w:r>
              <w:rPr/>
              <w:t> </w:t>
            </w:r>
          </w:p>
        </w:tc>
      </w:tr>
      <w:tr>
        <w:trPr/>
        <w:tc>
          <w:tcPr>
            <w:tcW w:w="498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shd w:fill="CCEEFF" w:val="clear"/>
            <w:vAlign w:val="center"/>
          </w:tcPr>
          <w:p>
            <w:pPr>
              <w:pStyle w:val="TableContents"/>
              <w:bidi w:val="0"/>
              <w:spacing w:before="0" w:after="283"/>
              <w:jc w:val="left"/>
              <w:rPr/>
            </w:pPr>
            <w:r>
              <w:rPr/>
              <w:t> </w:t>
            </w:r>
          </w:p>
        </w:tc>
        <w:tc>
          <w:tcPr>
            <w:tcW w:w="2030" w:type="dxa"/>
            <w:tcBorders/>
            <w:shd w:fill="CCEEFF" w:val="clear"/>
            <w:vAlign w:val="center"/>
          </w:tcPr>
          <w:p>
            <w:pPr>
              <w:pStyle w:val="TableContents"/>
              <w:bidi w:val="0"/>
              <w:spacing w:before="0" w:after="283"/>
              <w:jc w:val="right"/>
              <w:rPr/>
            </w:pPr>
            <w:r>
              <w:rPr/>
              <w:t> </w:t>
            </w:r>
          </w:p>
        </w:tc>
        <w:tc>
          <w:tcPr>
            <w:tcW w:w="113" w:type="dxa"/>
            <w:tcBorders/>
            <w:shd w:fill="CCEEFF" w:val="clear"/>
            <w:vAlign w:val="center"/>
          </w:tcPr>
          <w:p>
            <w:pPr>
              <w:pStyle w:val="TableContents"/>
              <w:bidi w:val="0"/>
              <w:spacing w:before="0" w:after="283"/>
              <w:jc w:val="left"/>
              <w:rPr/>
            </w:pPr>
            <w:r>
              <w:rPr/>
              <w:t> </w:t>
            </w:r>
            <w:bookmarkStart w:id="185" w:name="xdx_40D_eus-gaap--SupplementalCashFlowIn"/>
            <w:bookmarkEnd w:id="185"/>
          </w:p>
        </w:tc>
      </w:tr>
      <w:tr>
        <w:trPr/>
        <w:tc>
          <w:tcPr>
            <w:tcW w:w="4983"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shd w:fill="FFFFFF" w:val="clear"/>
            <w:vAlign w:val="center"/>
          </w:tcPr>
          <w:p>
            <w:pPr>
              <w:pStyle w:val="TableContents"/>
              <w:bidi w:val="0"/>
              <w:spacing w:before="0" w:after="283"/>
              <w:jc w:val="left"/>
              <w:rPr/>
            </w:pPr>
            <w:r>
              <w:rPr/>
              <w:t> </w:t>
            </w:r>
          </w:p>
        </w:tc>
        <w:tc>
          <w:tcPr>
            <w:tcW w:w="2030"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86" w:name="xdx_404_eus-gaap--InterestPaidNet_i01_zP"/>
            <w:bookmarkEnd w:id="186"/>
          </w:p>
        </w:tc>
      </w:tr>
      <w:tr>
        <w:trPr/>
        <w:tc>
          <w:tcPr>
            <w:tcW w:w="4983" w:type="dxa"/>
            <w:tcBorders/>
            <w:shd w:fill="CCEEFF" w:val="clear"/>
            <w:vAlign w:val="center"/>
          </w:tcPr>
          <w:p>
            <w:pPr>
              <w:pStyle w:val="TableContents"/>
              <w:bidi w:val="0"/>
              <w:spacing w:before="0" w:after="283"/>
              <w:jc w:val="left"/>
              <w:rPr/>
            </w:pPr>
            <w:r>
              <w:rPr/>
              <w:t>Cash paid for interest, net of amounts capitalized</w:t>
            </w:r>
          </w:p>
        </w:tc>
        <w:tc>
          <w:tcPr>
            <w:tcW w:w="60" w:type="dxa"/>
            <w:tcBorders/>
            <w:shd w:fill="CCEEFF" w:val="clear"/>
            <w:vAlign w:val="center"/>
          </w:tcPr>
          <w:p>
            <w:pPr>
              <w:pStyle w:val="TableContents"/>
              <w:bidi w:val="0"/>
              <w:spacing w:before="0" w:after="283"/>
              <w:jc w:val="left"/>
              <w:rPr/>
            </w:pPr>
            <w:r>
              <w:rPr/>
              <w:t> </w:t>
            </w:r>
          </w:p>
        </w:tc>
        <w:tc>
          <w:tcPr>
            <w:tcW w:w="4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03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03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87" w:name="xdx_40D_eus-gaap--IncomeTaxesPaidNet_i01"/>
            <w:bookmarkEnd w:id="187"/>
          </w:p>
        </w:tc>
      </w:tr>
      <w:tr>
        <w:trPr/>
        <w:tc>
          <w:tcPr>
            <w:tcW w:w="4983"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03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203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bookmarkStart w:id="188" w:name="xdx_40D_ecustom--PaymentForDebtorReorgan"/>
            <w:bookmarkEnd w:id="188"/>
          </w:p>
        </w:tc>
      </w:tr>
      <w:tr>
        <w:trPr/>
        <w:tc>
          <w:tcPr>
            <w:tcW w:w="4983" w:type="dxa"/>
            <w:tcBorders/>
            <w:shd w:fill="CCEEFF" w:val="clear"/>
            <w:vAlign w:val="center"/>
          </w:tcPr>
          <w:p>
            <w:pPr>
              <w:pStyle w:val="TableContents"/>
              <w:bidi w:val="0"/>
              <w:spacing w:before="0" w:after="283"/>
              <w:jc w:val="left"/>
              <w:rPr/>
            </w:pPr>
            <w:r>
              <w:rPr/>
              <w:t>Cash paid for reorganization items</w:t>
            </w:r>
          </w:p>
        </w:tc>
        <w:tc>
          <w:tcPr>
            <w:tcW w:w="60" w:type="dxa"/>
            <w:tcBorders/>
            <w:shd w:fill="CCEEFF" w:val="clear"/>
            <w:vAlign w:val="center"/>
          </w:tcPr>
          <w:p>
            <w:pPr>
              <w:pStyle w:val="TableContents"/>
              <w:bidi w:val="0"/>
              <w:spacing w:before="0" w:after="283"/>
              <w:jc w:val="left"/>
              <w:rPr/>
            </w:pPr>
            <w:r>
              <w:rPr/>
              <w:t> </w:t>
            </w:r>
          </w:p>
        </w:tc>
        <w:tc>
          <w:tcPr>
            <w:tcW w:w="4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03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2030" w:type="dxa"/>
            <w:tcBorders>
              <w:bottom w:val="double" w:sz="6" w:space="0" w:color="000000"/>
            </w:tcBorders>
            <w:shd w:fill="CCEEFF" w:val="clear"/>
            <w:tcMar>
              <w:bottom w:w="28" w:type="dxa"/>
            </w:tcMar>
            <w:vAlign w:val="center"/>
          </w:tcPr>
          <w:p>
            <w:pPr>
              <w:pStyle w:val="TableContents"/>
              <w:bidi w:val="0"/>
              <w:spacing w:before="0" w:after="283"/>
              <w:jc w:val="right"/>
              <w:rPr/>
            </w:pPr>
            <w:r>
              <w:rPr/>
              <w:t>5,600</w:t>
            </w:r>
          </w:p>
        </w:tc>
        <w:tc>
          <w:tcPr>
            <w:tcW w:w="11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Notes to Condensed Consolidated Financial Statements</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bookmarkStart w:id="189" w:name="a_007"/>
      <w:bookmarkEnd w:id="189"/>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190" w:name="xdx_805_eus-gaap--OrganizationConsolidat"/>
      <w:bookmarkEnd w:id="190"/>
      <w:r>
        <w:rPr>
          <w:rFonts w:ascii="Times New Roman;Times;Serif" w:hAnsi="Times New Roman;Times;Serif"/>
          <w:b/>
          <w:i w:val="false"/>
          <w:caps w:val="false"/>
          <w:smallCaps w:val="false"/>
          <w:sz w:val="20"/>
        </w:rPr>
        <w:t xml:space="preserve">NOTE 1 - </w:t>
      </w:r>
      <w:bookmarkStart w:id="191" w:name="xdx_827_zBHrIagHmiBc"/>
      <w:bookmarkEnd w:id="191"/>
      <w:r>
        <w:rPr>
          <w:rFonts w:ascii="Times New Roman;Times;Serif" w:hAnsi="Times New Roman;Times;Serif"/>
          <w:b/>
          <w:i w:val="false"/>
          <w:caps w:val="false"/>
          <w:smallCaps w:val="false"/>
          <w:sz w:val="20"/>
        </w:rPr>
        <w:t>DESCRIPTION OF ORGANIZATION AND BUSINESS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Overview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Lordstown Motors Corp., a Delaware corporation, together with its subsidiaries (“Lordstown,” the “Company,” or the “Debtors”), filed voluntary petitions for relief (the “Chapter 11 Cases”) under Chapter 11 of the United States Bankruptcy Code (the “Bankruptcy Code”) in the United States Bankruptcy Court for the District of Delaware (the “Bankruptcy Court”).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Chapter 11 Cases, the Company ceased production and sales of its flagship vehicle, the Endurance, and new program development. Furthermore, the Company continued its cost-cutting actions that included significant personnel reductions. On September 29, 2023, the Company entered into the LandX Asset Purchase Agreement (as defined below) to sell specified assets related to the design, production and sale of electric light duty vehicles focused on the commercial fleet market free and clear of liens, claims, encumbrances, and other interests. The purchaser assumed certain specified liabilities of the Company for a total purchase price of $</w:t>
      </w:r>
      <w:bookmarkStart w:id="192" w:name="xdx_90D_eus-gaap--PaymentsToAcquireProdu"/>
      <w:bookmarkEnd w:id="192"/>
      <w:r>
        <w:rPr>
          <w:rFonts w:ascii="Times New Roman;Times;Serif" w:hAnsi="Times New Roman;Times;Serif"/>
          <w:b w:val="false"/>
          <w:i w:val="false"/>
          <w:caps w:val="false"/>
          <w:smallCaps w:val="false"/>
          <w:sz w:val="20"/>
        </w:rPr>
        <w:t>10.2 million in cash in a transaction that closed on October 27, 2023 (discussed below under “Sale of Certain Assets to LandX”). The Company’s remaining assets following the closing of the LandX Asset Purchase Agreement consist largely of cash on hand, the claims asserted in the Foxconn Litigation (as defined below), claims that the Company may have against other parties, as well as net operating loss (“NOL”) carryforwards and other tax attributes.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emergence from bankruptcy, the near-term operations of the Company consist of (a) claims administration under the Second Modified First Amended Joint Plan of Lordstown Motors Corp. and Its Affiliated Debtors (the “Plan”), (b) addressing the Foxconn Litigation, (c) prosecuting, pursuing, compromising, settling, or otherwise disposing of other retained causes of action, (d) defending the Company against any counterclaims and (e) filing Exchange Act reports and satisfying other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the Company may explore potential business opportunities, including strategic alternatives or business combinations. No assurances can be made that the Company will be successful in prosecuting any claim or cause of action or that any strategic alternative or business combination will be identified and/or would result in profitable operations or the ability to preserve any value from the NOLs. The Company anticipates that the prosecution of claims and causes of action and the evaluation and pursuit of potential strategic alternatives will be costly, complex, and risky. As of the date of this report, the Company has neither entered into a definitive agreement with any party, nor has the Company engaged in any specific discussions with any potential business combination candidate regarding business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the context indicates otherwise, all shares of the Company’s Class A common stock are presented after giving effect to the </w:t>
      </w:r>
      <w:bookmarkStart w:id="193" w:name="xdx_901_eus-gaap--StockholdersEquityReve"/>
      <w:bookmarkEnd w:id="193"/>
      <w:r>
        <w:rPr>
          <w:rFonts w:ascii="Times New Roman;Times;Serif" w:hAnsi="Times New Roman;Times;Serif"/>
          <w:b w:val="false"/>
          <w:i w:val="false"/>
          <w:caps w:val="false"/>
          <w:smallCaps w:val="false"/>
          <w:sz w:val="20"/>
        </w:rPr>
        <w:t>1:15 reverse stock split of the outstanding Class A common stock, which became effective on May 24,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of Certain Assets to LandX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2023, the Company entered into an Asset Purchase Agreement (the “LandX Asset Purchase Agreement”) with LAS Capital LLC and Mr. Stephen S. Burns, an individual, as guarantor of certain obligations of LAS Capital under the LandX Asset Purchase Agreement. The LandX Asset Purchase Agreement was assigned to LAS Capital’s affiliate, LandX Motors Inc. (the assignee and “Purchaser”) and approved by the Bankruptcy Court on October 18, 2023. The closing of the transactions contemplated by the LandX Asset Purchase Agreement occurred on October 27, 2023, at which time the Purchaser acquired certain assets held for sale related to the design, production and sale of electric light duty vehicles focused on the commercial fleet market free and clear of liens, claims, encumbrances, and other interests, assumed certain specified liabilities, and paid $</w:t>
      </w:r>
      <w:bookmarkStart w:id="194" w:name="xdx_908_eus-gaap--PaymentsToAcquireBusin"/>
      <w:bookmarkEnd w:id="194"/>
      <w:r>
        <w:rPr>
          <w:rFonts w:ascii="Times New Roman;Times;Serif" w:hAnsi="Times New Roman;Times;Serif"/>
          <w:b w:val="false"/>
          <w:i w:val="false"/>
          <w:caps w:val="false"/>
          <w:smallCaps w:val="false"/>
          <w:sz w:val="20"/>
        </w:rPr>
        <w:t>10.2 million in cash. Following consummation of the sale, the Company’s investment banker was paid a transaction fee of $</w:t>
      </w:r>
      <w:bookmarkStart w:id="195" w:name="xdx_90E_eus-gaap--PaymentsForFees_pn5n6_"/>
      <w:bookmarkEnd w:id="195"/>
      <w:r>
        <w:rPr>
          <w:rFonts w:ascii="Times New Roman;Times;Serif" w:hAnsi="Times New Roman;Times;Serif"/>
          <w:b w:val="false"/>
          <w:i w:val="false"/>
          <w:caps w:val="false"/>
          <w:smallCaps w:val="false"/>
          <w:sz w:val="20"/>
        </w:rPr>
        <w:t>2.0 million after crediting certain other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Emergence From Bankruptcy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2023, the Debtors filed a Joint Plan of Lordstown Motors Corp. and Its Affiliated Debtors and a related proposed disclosure statement, which were amended and modified on each of October 24, 2023, October 29, 2023, and October 30, 2023. On January 31, 2024, the Debtors filed the Plan. The modifications to the Plan since the previously filed version incorporated, among other things, a settlement (the “Ohio Securities Litigation Settlement”) of claims against the Debtors and certain directors and officers of the Debtors that were serving in such roles as of December 12, 2023, asserted in, or on the same or similar basis as those claims asserted in, the securities class action captioned In re Lordstown Motors Corp. Securities Litigation (the “Ohio Securities Litigation”). The Plan also included, as a condition to confirmation of the Plan, that the SEC approve an offer of settlement submitted by the Debtors to resolve the SEC Claim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5, 2024, the Bankruptcy Court entered a confirmation order confirming the Plan. Following the entry of the confirmation order and all conditions to effectiveness of the Plan being satisfied, the Debtors emerged from bankruptcy on March 14, 2024 under the name “Nu Ride Inc.” Upon emergence, the SEC Claim was deemed withdrawn pursuant to the terms of the settlement with the SEC and the confirmation order. Upon emergence, a new Board of Directors was appointed pursuant to the Plan and all remaining full-time employees, including the Company’s pre-emergence executive officers, were terminated. Some of those employees continue to provide services to the Company as consultants. The Company’s Chief Executive Officer, who is its sole executive officer, was elected by the new Board of Directors in accordance with the Plan, as of the Company’s emergence.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Foxconn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commenced an adversary proceeding against Foxconn (the “Foxconn Litigation”) in the Bankruptcy Court seeking relief for fraudulent and tortious conduct as well as breaches of the Investment Agreement (as defined below) and other agreements, the parties’ joint venture agreement, the Foxconn APA (as defined below), and the CMA (as defined below) that the Company believes were committed by Foxconn. As set forth in the complaint relating to the adversary proceeding, the Company believes Foxconn’s actions have caused substantial harm to the Company’s operations and prospects and caused significant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 The Company believes that the Foxconn Adversary Motion to Dismiss is without merit and, on November 6, 2023, the Company filed an opposition to Foxconn’s Adversary Motion to Dismiss. Foxconn filed a reply in support of the Foxconn Adversary Motion to Dismiss on November 30, 2023. On December 7, 2023, the Company and its equity committee (the “Equity Committee”) filed a notice of completion of briefing, which provided that the briefing of the Foxconn Adversary Motion to Dismiss has been completed and such motion is ready for disposition.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 2024, the Bankruptcy Court entered an opinion and order partially denying and partially granting the Foxconn Adversary Motion to Dismiss, which was subsequently amended on October 1, 2024. Nine of the Company’s claims survived the motion to dismiss on the grounds that the Company pled viable claims against Foxconn and the claims were not subject to mandatory arbitration. The Court also dismissed two of the Company’s claims in favor of arbitration. The order is presently being appealed by Foxconn. The Bankruptcy Court has stayed litigation of the claims that it ruled were not subject to arbitration pending that appeal. The Court also allowed that the two dismissed claims should proceed to arbitration. The Company is vigorously pursuing this litigation. Any net proceeds from the Foxconn Litigation may enhance the recoveries for holders of claims and equity interests of shareholders (“Interests”), as set forth in the Plan. However, no assurances can be provided as to the Company having sufficient resources to pursue the Foxconn Litigation, the outcome or recoveries,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Note 7 - Commitments and Contingencies - Foxconn Litigation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 and 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are presented in conformity with accounting principles generally accepted in the United States of America (“GAAP”) and pursuant to the rules and regulations of the Securities and Exchange Commission. The condensed consolidated financial statements include the accounts and operations of the Company and its wholly owned subsidiary. All intercompany accounts and transactions are eliminated upon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cash and cash equivalents of approximately $</w:t>
      </w:r>
      <w:bookmarkStart w:id="196" w:name="xdx_90D_eus-gaap--CashCashEquivalentsAnd"/>
      <w:bookmarkEnd w:id="196"/>
      <w:r>
        <w:rPr>
          <w:rFonts w:ascii="Times New Roman;Times;Serif" w:hAnsi="Times New Roman;Times;Serif"/>
          <w:b w:val="false"/>
          <w:i w:val="false"/>
          <w:caps w:val="false"/>
          <w:smallCaps w:val="false"/>
          <w:sz w:val="20"/>
        </w:rPr>
        <w:t>28.0 million, excluding restricted cash of approximately $</w:t>
      </w:r>
      <w:bookmarkStart w:id="197" w:name="xdx_904_eus-gaap--RestrictedCash_iI_pn5n"/>
      <w:bookmarkEnd w:id="197"/>
      <w:r>
        <w:rPr>
          <w:rFonts w:ascii="Times New Roman;Times;Serif" w:hAnsi="Times New Roman;Times;Serif"/>
          <w:b w:val="false"/>
          <w:i w:val="false"/>
          <w:caps w:val="false"/>
          <w:smallCaps w:val="false"/>
          <w:sz w:val="20"/>
        </w:rPr>
        <w:t>3.2 million and restricted short-term investments of approximately $</w:t>
      </w:r>
      <w:bookmarkStart w:id="198" w:name="xdx_908_eus-gaap--RestrictedCashAndInves"/>
      <w:bookmarkEnd w:id="198"/>
      <w:r>
        <w:rPr>
          <w:rFonts w:ascii="Times New Roman;Times;Serif" w:hAnsi="Times New Roman;Times;Serif"/>
          <w:b w:val="false"/>
          <w:i w:val="false"/>
          <w:caps w:val="false"/>
          <w:smallCaps w:val="false"/>
          <w:sz w:val="20"/>
        </w:rPr>
        <w:t>19.9 million, and an accumulated deficit of $</w:t>
      </w:r>
      <w:bookmarkStart w:id="199" w:name="xdx_909_eus-gaap--RetainedEarningsAccumu"/>
      <w:bookmarkEnd w:id="199"/>
      <w:r>
        <w:rPr>
          <w:rFonts w:ascii="Times New Roman;Times;Serif" w:hAnsi="Times New Roman;Times;Serif"/>
          <w:b w:val="false"/>
          <w:i w:val="false"/>
          <w:caps w:val="false"/>
          <w:smallCaps w:val="false"/>
          <w:sz w:val="20"/>
        </w:rPr>
        <w:t>1.2 billion at March 31, 2025, and a net loss of $</w:t>
      </w:r>
      <w:bookmarkStart w:id="200" w:name="xdx_904_eus-gaap--NetIncomeLoss_iN_pn5n6"/>
      <w:bookmarkEnd w:id="200"/>
      <w:r>
        <w:rPr>
          <w:rFonts w:ascii="Times New Roman;Times;Serif" w:hAnsi="Times New Roman;Times;Serif"/>
          <w:b w:val="false"/>
          <w:i w:val="false"/>
          <w:caps w:val="false"/>
          <w:smallCaps w:val="false"/>
          <w:sz w:val="20"/>
        </w:rPr>
        <w:t>1.2 million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liquidity and ability to continue as a going concern is dependent upon, among other things: (i) the resolution of significant contingent and other claims, liabilities and (ii) the outcome of the Company’s efforts to realize value, if any, from its retained causes of action, including the Foxconn Litigation, and other remaining assets. The Company intends to explore potential business opportunities, including strategic alternatives or business combinations, including those that would preserve the value of the Company’s NOLs.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management believes that the Company will have sufficient working capital to meet its needs through the date one year from this filing. Over this time period, the Company will be using its restricted short-term investments to pay for settled claims and both its cash and cash equivalents and unrestricted short-term investments for paying existing accrued expenses and legal and consulting fees expected to be incurred.</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1" w:name="xdx_803_eus-gaap--SignificantAccountingP"/>
      <w:bookmarkEnd w:id="201"/>
      <w:r>
        <w:rPr>
          <w:rFonts w:ascii="Times New Roman;Times;Serif" w:hAnsi="Times New Roman;Times;Serif"/>
          <w:b/>
          <w:i w:val="false"/>
          <w:caps w:val="false"/>
          <w:smallCaps w:val="false"/>
          <w:sz w:val="20"/>
        </w:rPr>
        <w:t xml:space="preserve">NOTE 2 - </w:t>
      </w:r>
      <w:bookmarkStart w:id="202" w:name="xdx_823_zH5TKk7phhBa"/>
      <w:bookmarkEnd w:id="202"/>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3" w:name="xdx_869_z918ML0MQW6j"/>
      <w:bookmarkStart w:id="204" w:name="xdx_844_eus-gaap--UseOfEstimates_zDZbsgn"/>
      <w:bookmarkEnd w:id="203"/>
      <w:bookmarkEnd w:id="204"/>
      <w:r>
        <w:rPr>
          <w:rFonts w:ascii="Times New Roman;Times;Serif" w:hAnsi="Times New Roman;Times;Serif"/>
          <w:b/>
          <w:i w:val="false"/>
          <w:caps w:val="false"/>
          <w:smallCaps w:val="false"/>
          <w:sz w:val="20"/>
        </w:rPr>
        <w:t>Use of Estimates in Financial Statement Preparation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preparation of condensed consolidated financial statements in accordance with GAAP is based on the selection and application of accounting policies that require us to make significant estimates and assumptions that affect the reported amounts in the condensed consolidated financial statements, and related disclosures in the accompanying notes to the financial statements. Actual results could differ from those estimates. Estimates and assumptions are periodically reviewed and the effects of changes are reflected in the condensed consolidated financial statements in the period they are determined to be necessary. The Chapter 11 Cases may result in ongoing, additional changes in facts and circumstances that may cause the Company’s estimates and assumptions to change, potentially materially. The Company undertakes no obligation to update or revise any of the disclosures, whether as a result of new information, future events or otherwise, except as may be required under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There have been no material changes to the critical accounting policies and estimates described in the Company’s Annual Report on Form 10-K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5" w:name="xdx_86A_zMtkAyDnW1r4"/>
      <w:bookmarkStart w:id="206" w:name="xdx_84F_ecustom--FreshStartAccountingPol"/>
      <w:bookmarkEnd w:id="205"/>
      <w:bookmarkEnd w:id="206"/>
      <w:r>
        <w:rPr>
          <w:rFonts w:ascii="Times New Roman;Times;Serif" w:hAnsi="Times New Roman;Times;Serif"/>
          <w:b/>
          <w:i w:val="false"/>
          <w:caps w:val="false"/>
          <w:smallCaps w:val="false"/>
          <w:sz w:val="20"/>
        </w:rPr>
        <w:t>Fresh Start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Upon emergence from bankruptcy, the Company assessed the requirements of fresh start accounting as required in Accounting Standards Codification 852: </w:t>
      </w:r>
      <w:r>
        <w:rPr>
          <w:rFonts w:ascii="Times New Roman;Times;Serif" w:hAnsi="Times New Roman;Times;Serif"/>
          <w:b w:val="false"/>
          <w:i/>
          <w:caps w:val="false"/>
          <w:smallCaps w:val="false"/>
          <w:sz w:val="20"/>
        </w:rPr>
        <w:t>Reorganizations</w:t>
      </w:r>
      <w:r>
        <w:rPr>
          <w:rFonts w:ascii="Times New Roman;Times;Serif" w:hAnsi="Times New Roman;Times;Serif"/>
          <w:b w:val="false"/>
          <w:i w:val="false"/>
          <w:caps w:val="false"/>
          <w:smallCaps w:val="false"/>
          <w:sz w:val="20"/>
        </w:rPr>
        <w:t xml:space="preserve"> (ASC 852). Based on the Company’s assessment, management concluded that the Company does not qualify for fresh start accounting under ASC 852 upon emergence from bankruptcy. Management’s conclusion was based on the fact that the total of all post-petition liabilities and reserve for allowed claims did not exceed the reorganization value, and the holders of existing voting shares immediately prior to confirmation did not lose control of the entity, as defined as receiving less than 50% of the emerging entity’s voting shares. Accordingly, the Company continued to apply GAAP in the ongoing preparation of its financial statements post emergence.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07" w:name="xdx_867_zaGcIL76sHI1"/>
      <w:bookmarkStart w:id="208" w:name="xdx_84E_eus-gaap--SegmentReportingPolicy"/>
      <w:bookmarkEnd w:id="207"/>
      <w:bookmarkEnd w:id="208"/>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identified as components of an enterprise about which discrete financial information is available for evaluation by the chief operating decision-maker (“CODM”) in deciding resource allocation and assessing performance. The Company has determined that its CODM is its Chief Executive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as </w:t>
      </w:r>
      <w:bookmarkStart w:id="209" w:name="xdx_90D_eus-gaap--NumberOfReportableSegm"/>
      <w:bookmarkEnd w:id="209"/>
      <w:r>
        <w:rPr>
          <w:rFonts w:ascii="Times New Roman;Times;Serif" w:hAnsi="Times New Roman;Times;Serif"/>
          <w:b w:val="false"/>
          <w:i w:val="false"/>
          <w:caps w:val="false"/>
          <w:smallCaps w:val="false"/>
          <w:sz w:val="20"/>
        </w:rPr>
        <w:t>one operating segment with a focus on (a) claims administration under its Plan, (b) prosecuting, pursuing, compromising, settling, or otherwise disposing of litigation and other retained causes of action including the Foxconn litigation, (c) defending the Company against any counterclaims, (d) maintaining and managing the NOL and (e) filing SEC required reports and satisfying other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CODM manages and allocates resources to the operations of the Company on a consolidated basis. This enables the CODM to assess the Company’s overall level of available resources and determine how best to deploy these resources in line with the Company’s long-term company-wide strategic goals. Given the Company does not currently generate revenue, the CODM assesses performance of the Company’s single segment and allocation of resources based on consolidated net loss as well as total selling, general, and administrative expenses. The CODM utilizes these metrics in order to assess the Company’s cash burn. Total net loss as well as selling, general, and administrative expenses are used to monitor budget versus actual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Significant segment expenses are consistent with those presented on the </w:t>
      </w:r>
      <w:r>
        <w:rPr>
          <w:rFonts w:ascii="Times New Roman;Times;Serif" w:hAnsi="Times New Roman;Times;Serif"/>
          <w:b w:val="false"/>
          <w:i w:val="false"/>
          <w:caps w:val="false"/>
          <w:smallCaps w:val="false"/>
          <w:sz w:val="20"/>
          <w:shd w:fill="FFFFFF" w:val="clear"/>
        </w:rPr>
        <w:t xml:space="preserve">condensed </w:t>
      </w:r>
      <w:r>
        <w:rPr>
          <w:rFonts w:ascii="Times New Roman;Times;Serif" w:hAnsi="Times New Roman;Times;Serif"/>
          <w:b w:val="false"/>
          <w:i w:val="false"/>
          <w:caps w:val="false"/>
          <w:smallCaps w:val="false"/>
          <w:sz w:val="20"/>
        </w:rPr>
        <w:t xml:space="preserve">consolidated statements of operations and comprehensive loss. The measure of segment assets is reported on the </w:t>
      </w:r>
      <w:r>
        <w:rPr>
          <w:rFonts w:ascii="Times New Roman;Times;Serif" w:hAnsi="Times New Roman;Times;Serif"/>
          <w:b w:val="false"/>
          <w:i w:val="false"/>
          <w:caps w:val="false"/>
          <w:smallCaps w:val="false"/>
          <w:sz w:val="20"/>
          <w:shd w:fill="FFFFFF" w:val="clear"/>
        </w:rPr>
        <w:t xml:space="preserve">condensed </w:t>
      </w:r>
      <w:r>
        <w:rPr>
          <w:rFonts w:ascii="Times New Roman;Times;Serif" w:hAnsi="Times New Roman;Times;Serif"/>
          <w:b w:val="false"/>
          <w:i w:val="false"/>
          <w:caps w:val="false"/>
          <w:smallCaps w:val="false"/>
          <w:sz w:val="20"/>
        </w:rPr>
        <w:t>consolidated balance sheets as total assets.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0" w:name="xdx_860_zXUXU9WU7Wjg"/>
      <w:bookmarkStart w:id="211" w:name="xdx_84A_ecustom--CashCashEquivalentsShor"/>
      <w:bookmarkEnd w:id="210"/>
      <w:bookmarkEnd w:id="211"/>
      <w:r>
        <w:rPr>
          <w:rFonts w:ascii="Times New Roman;Times;Serif" w:hAnsi="Times New Roman;Times;Serif"/>
          <w:b/>
          <w:i w:val="false"/>
          <w:caps w:val="false"/>
          <w:smallCaps w:val="false"/>
          <w:sz w:val="20"/>
        </w:rPr>
        <w:t>Cash, Cash Equivalents, Restricted Cash, Short-term Investments, and Restricted 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includes cash equivalents which are highly liquid investments that are readily convertible to cash. The Company considers all liquid investments with original maturities of three months or less to be cash equivalents. In general, investments with original maturities of greater than three months and remaining maturities of less than one year are classified as short-term investments. The Company maintains its cash in bank deposit and securities accounts that exceed federally insured limits. The Company has not experienced significant losses in such accounts and management believes it is not exposed to material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short-term investments consist of U.S. treasury notes and bills and U.S. government and prime asset money market funds. The short-term investments are accounted for as available-for-sale securities. The market risk related to these investments is insignificant given that the short-term investments held are highly liquid investment-grade fixed-income securities. The Company records changes in allowance for expected credit loss in other income (expense). There has been no allowance for expected credit losses recorded during any of the periods presented. See Note 3 for further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and restricted short-term investment balances represent the cash reserves as required by the Plan. Restricted short-term investments have been invested in short-term available for sale securities, which consist primarily of U.S. treasury notes and bills and U.S. government and prime asset money market funds. Under the Plan, the Company established an escrow for the payment of certain professional fees incurred in connection with the Chapter 11 Cases (“Professional Fee Escrow”). The Professional Fee Escrow was established based upon estimates and assumptions as of the date the Company emerged from bankruptcy. Therefore, the actual obligations may be more or less than the amount escrowed. To the extent the Professional Fee Escrow is insufficient, the Company will be required to use its available unrestricted cash to settle its obligations. In the event the Professional Fee Escrow exceeds the Company’s obligations, funds will be returned to the Company and become unrestricted. The obligations were fully paid in August 2024 and the remainder of the Professional Fee Escrow was released from restriction. The Plan also required the Company to establish a $</w:t>
      </w:r>
      <w:bookmarkStart w:id="212" w:name="xdx_905_ecustom--ReserveForClaimsOfGener"/>
      <w:bookmarkEnd w:id="212"/>
      <w:r>
        <w:rPr>
          <w:rFonts w:ascii="Times New Roman;Times;Serif" w:hAnsi="Times New Roman;Times;Serif"/>
          <w:b w:val="false"/>
          <w:i w:val="false"/>
          <w:caps w:val="false"/>
          <w:smallCaps w:val="false"/>
          <w:sz w:val="20"/>
        </w:rPr>
        <w:t>45 million reserve for allowed and disputed claims of general unsecured creditors (the “Claims Reserve”), including interest (although there can be no assurance the Company will be able to pay such claims in full, with interest). As of March 31, 2025, $</w:t>
      </w:r>
      <w:bookmarkStart w:id="213" w:name="xdx_90E_eus-gaap--EscrowDeposit_iI_pn5n6"/>
      <w:bookmarkEnd w:id="213"/>
      <w:r>
        <w:rPr>
          <w:rFonts w:ascii="Times New Roman;Times;Serif" w:hAnsi="Times New Roman;Times;Serif"/>
          <w:b w:val="false"/>
          <w:i w:val="false"/>
          <w:caps w:val="false"/>
          <w:smallCaps w:val="false"/>
          <w:sz w:val="20"/>
        </w:rPr>
        <w:t>22.3 million was included in restricted cash and short-term investments, which represents the initial Claims Reserve of $</w:t>
      </w:r>
      <w:bookmarkStart w:id="214" w:name="xdx_900_ecustom--ReserveForClaimsOfGener"/>
      <w:bookmarkEnd w:id="214"/>
      <w:r>
        <w:rPr>
          <w:rFonts w:ascii="Times New Roman;Times;Serif" w:hAnsi="Times New Roman;Times;Serif"/>
          <w:b w:val="false"/>
          <w:i w:val="false"/>
          <w:caps w:val="false"/>
          <w:smallCaps w:val="false"/>
          <w:sz w:val="20"/>
        </w:rPr>
        <w:t>45 million, less $</w:t>
      </w:r>
      <w:bookmarkStart w:id="215" w:name="xdx_901_eus-gaap--EscrowDeposit_iI_pn5n6"/>
      <w:bookmarkEnd w:id="215"/>
      <w:r>
        <w:rPr>
          <w:rFonts w:ascii="Times New Roman;Times;Serif" w:hAnsi="Times New Roman;Times;Serif"/>
          <w:b w:val="false"/>
          <w:i w:val="false"/>
          <w:caps w:val="false"/>
          <w:smallCaps w:val="false"/>
          <w:sz w:val="20"/>
        </w:rPr>
        <w:t>22.7 million which was released from the Claims Reserve related to the claims reconciliation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6" w:name="xdx_866_zBfrtReBk1Sf"/>
      <w:bookmarkStart w:id="217" w:name="xdx_84C_ecustom--LiabilitiesSubjectToCom"/>
      <w:bookmarkEnd w:id="216"/>
      <w:bookmarkEnd w:id="217"/>
      <w:r>
        <w:rPr>
          <w:rFonts w:ascii="Times New Roman;Times;Serif" w:hAnsi="Times New Roman;Times;Serif"/>
          <w:b/>
          <w:i w:val="false"/>
          <w:caps w:val="false"/>
          <w:smallCaps w:val="false"/>
          <w:sz w:val="20"/>
        </w:rPr>
        <w:t>Liabilities Subject to Compromise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accompanying </w:t>
      </w:r>
      <w:r>
        <w:rPr>
          <w:rFonts w:ascii="Times New Roman;Times;Serif" w:hAnsi="Times New Roman;Times;Serif"/>
          <w:b w:val="false"/>
          <w:i w:val="false"/>
          <w:caps w:val="false"/>
          <w:smallCaps w:val="false"/>
          <w:sz w:val="20"/>
          <w:shd w:fill="FFFFFF" w:val="clear"/>
        </w:rPr>
        <w:t xml:space="preserve">condensed </w:t>
      </w:r>
      <w:r>
        <w:rPr>
          <w:rFonts w:ascii="Times New Roman;Times;Serif" w:hAnsi="Times New Roman;Times;Serif"/>
          <w:b w:val="false"/>
          <w:i w:val="false"/>
          <w:caps w:val="false"/>
          <w:smallCaps w:val="false"/>
          <w:sz w:val="20"/>
        </w:rPr>
        <w:t>consolidated balance sheets, the “Liabilities subject to compromise” line is reflective of expected allowed claim amounts in accordance with ASC 852-10 and are subject to change materially based on the continued consideration of claims that may be modified, allowed, or disallowed. Refer to Note 7 - Commitments and Contingencies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18" w:name="xdx_86C_z5En9J8EFSX1"/>
      <w:bookmarkStart w:id="219" w:name="xdx_844_eus-gaap--CompensationRelatedCos"/>
      <w:bookmarkEnd w:id="218"/>
      <w:bookmarkEnd w:id="219"/>
      <w:r>
        <w:rPr>
          <w:rFonts w:ascii="Times New Roman;Times;Serif" w:hAnsi="Times New Roman;Times;Serif"/>
          <w:b/>
          <w:i w:val="false"/>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records stock-based compensation in accordance with ASC Topic 718, </w:t>
      </w:r>
      <w:r>
        <w:rPr>
          <w:rFonts w:ascii="Times New Roman;Times;Serif" w:hAnsi="Times New Roman;Times;Serif"/>
          <w:b w:val="false"/>
          <w:i/>
          <w:caps w:val="false"/>
          <w:smallCaps w:val="false"/>
          <w:sz w:val="20"/>
        </w:rPr>
        <w:t>Accounting for Stock-Based Compensation</w:t>
      </w:r>
      <w:r>
        <w:rPr>
          <w:rFonts w:ascii="Times New Roman;Times;Serif" w:hAnsi="Times New Roman;Times;Serif"/>
          <w:b w:val="false"/>
          <w:i w:val="false"/>
          <w:caps w:val="false"/>
          <w:smallCaps w:val="false"/>
          <w:sz w:val="20"/>
        </w:rPr>
        <w:t xml:space="preserve"> (ASC Topic 718), which establishes a fair value-based method of accounting for stock-based compensation plans. In accordance with ASC Topic 718, the cost of stock-based awards issued to employees and non-employees over the awards vesting period is measured on the grant date based on the fair value. For options, the fair value is determined using the Black-Scholes option pricing model, which incorporates assumptions regarding the expected volatility, expected option life and risk-free interest rate. The resulting amount is charged to expense on the straight-line basis over the period in which the Company expects to receive the benefit, which is generally the vesting period. Further, pursuant to ASU 2016-09 - Compensation - Stock Compensation (Topic 718), the Company has elected to account for forfeitures as they occur. See Note 6 - Stock Based Compensation.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0" w:name="xdx_868_zUCrBaE515lb"/>
      <w:bookmarkStart w:id="221" w:name="xdx_84D_ecustom--ReorganizationUnderChap"/>
      <w:bookmarkEnd w:id="220"/>
      <w:bookmarkEnd w:id="221"/>
      <w:r>
        <w:rPr>
          <w:rFonts w:ascii="Times New Roman;Times;Serif" w:hAnsi="Times New Roman;Times;Serif"/>
          <w:b/>
          <w:i w:val="false"/>
          <w:caps w:val="false"/>
          <w:smallCaps w:val="false"/>
          <w:sz w:val="20"/>
        </w:rPr>
        <w:t>Reorganization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Reorganization items of $</w:t>
      </w:r>
      <w:bookmarkStart w:id="222" w:name="xdx_90B_eus-gaap--DebtorReorganizationIt"/>
      <w:bookmarkEnd w:id="222"/>
      <w:r>
        <w:rPr>
          <w:rFonts w:ascii="Times New Roman;Times;Serif" w:hAnsi="Times New Roman;Times;Serif"/>
          <w:b w:val="false"/>
          <w:i w:val="false"/>
          <w:caps w:val="false"/>
          <w:smallCaps w:val="false"/>
          <w:sz w:val="20"/>
        </w:rPr>
        <w:t>0 and $</w:t>
      </w:r>
      <w:bookmarkStart w:id="223" w:name="xdx_909_eus-gaap--DebtorReorganizationIt"/>
      <w:bookmarkEnd w:id="223"/>
      <w:r>
        <w:rPr>
          <w:rFonts w:ascii="Times New Roman;Times;Serif" w:hAnsi="Times New Roman;Times;Serif"/>
          <w:b w:val="false"/>
          <w:i w:val="false"/>
          <w:caps w:val="false"/>
          <w:smallCaps w:val="false"/>
          <w:sz w:val="20"/>
        </w:rPr>
        <w:t>4.8 million for the three months ended March 31, 2025 and 2024, respectively, represent the expenses directly and incrementally resulting from the Chapter 11 Cases and are separately reported as Reorganization items in the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4" w:name="xdx_86B_zCkhNY2rTHcg"/>
      <w:bookmarkStart w:id="225" w:name="xdx_84E_eus-gaap--IncomeTaxPolicyTextBlo"/>
      <w:bookmarkEnd w:id="224"/>
      <w:bookmarkEnd w:id="225"/>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Income taxes are recorded in accordance with ASC Topic 740, </w:t>
      </w:r>
      <w:r>
        <w:rPr>
          <w:rFonts w:ascii="Times New Roman;Times;Serif" w:hAnsi="Times New Roman;Times;Serif"/>
          <w:b w:val="false"/>
          <w:i/>
          <w:caps w:val="false"/>
          <w:smallCaps w:val="false"/>
          <w:sz w:val="20"/>
        </w:rPr>
        <w:t>Income Taxes</w:t>
      </w:r>
      <w:r>
        <w:rPr>
          <w:rFonts w:ascii="Times New Roman;Times;Serif" w:hAnsi="Times New Roman;Times;Serif"/>
          <w:b w:val="false"/>
          <w:i w:val="false"/>
          <w:caps w:val="false"/>
          <w:smallCaps w:val="false"/>
          <w:sz w:val="20"/>
        </w:rPr>
        <w:t xml:space="preserve"> (ASC Topic 740). Deferred tax assets and liabilities are determined based on the difference between the condensed consolidated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uncertain tax positions in accordance with the provisions of ASC Topic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6" w:name="xdx_864_zCEMSFx6f7e8"/>
      <w:bookmarkStart w:id="227" w:name="xdx_847_eus-gaap--PriorPeriodReclassific"/>
      <w:bookmarkEnd w:id="226"/>
      <w:bookmarkEnd w:id="227"/>
      <w:r>
        <w:rPr>
          <w:rFonts w:ascii="Times New Roman;Times;Serif" w:hAnsi="Times New Roman;Times;Serif"/>
          <w:b/>
          <w:i w:val="false"/>
          <w:caps w:val="false"/>
          <w:smallCaps w:val="false"/>
          <w:sz w:val="20"/>
        </w:rPr>
        <w:t>Reclassifications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reclassifications have been made in the presentation of the prior period statement of operations and comprehensive income related to reorganization expenses to conform with the March 31, 2025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28" w:name="xdx_863_z9DM4OQdTvB8"/>
      <w:bookmarkStart w:id="229" w:name="xdx_840_ecustom--RecentlyIssuedAccountin"/>
      <w:bookmarkEnd w:id="228"/>
      <w:bookmarkEnd w:id="229"/>
      <w:r>
        <w:rPr>
          <w:rFonts w:ascii="Times New Roman;Times;Serif" w:hAnsi="Times New Roman;Times;Serif"/>
          <w:b/>
          <w:i w:val="false"/>
          <w:caps w:val="false"/>
          <w:smallCaps w:val="false"/>
          <w:sz w:val="20"/>
        </w:rPr>
        <w:t>Recently Issued Accounting Standards Not Yet Adopted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Income Taxes (Topic 740) - Improvements to Income Tax Disclosures</w:t>
      </w:r>
      <w:r>
        <w:rPr>
          <w:rFonts w:ascii="Times New Roman;Times;Serif" w:hAnsi="Times New Roman;Times;Serif"/>
          <w:b w:val="false"/>
          <w:i w:val="false"/>
          <w:caps w:val="false"/>
          <w:smallCaps w:val="false"/>
          <w:sz w:val="20"/>
        </w:rPr>
        <w:t>. This ASU requires that reporting entities disclose specific categories in the effective tax rate reconciliation as well as information about income taxes paid. The authoritative guidance is effective for annual periods beginning after December 15, 2024, with early adoption permitted. The Company does not expect the effect of this new guidance to have a material impact on the Company’s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 - Reporting Comprehensive Income - Expense Disaggregation Disclosures (Subtopic 220-40)</w:t>
      </w:r>
      <w:r>
        <w:rPr>
          <w:rFonts w:ascii="Times New Roman;Times;Serif" w:hAnsi="Times New Roman;Times;Serif"/>
          <w:b w:val="false"/>
          <w:i w:val="false"/>
          <w:caps w:val="false"/>
          <w:smallCaps w:val="false"/>
          <w:sz w:val="20"/>
        </w:rPr>
        <w:t xml:space="preserve">. This ASU requires public business entities to provide disclosure of additional information about certain identified costs and expenses on both an interim and annual basis. In January 2025, the FASB issued ASU 2025-01, </w:t>
      </w:r>
      <w:r>
        <w:rPr>
          <w:rFonts w:ascii="Times New Roman;Times;Serif" w:hAnsi="Times New Roman;Times;Serif"/>
          <w:b w:val="false"/>
          <w:i/>
          <w:caps w:val="false"/>
          <w:smallCaps w:val="false"/>
          <w:sz w:val="20"/>
        </w:rPr>
        <w:t xml:space="preserve">Income Statement - Reporting Comprehensive Income - Expense Disaggregation Disclosures (Subtopic 220-40); Clarifying the Effective Date. </w:t>
      </w:r>
      <w:r>
        <w:rPr>
          <w:rFonts w:ascii="Times New Roman;Times;Serif" w:hAnsi="Times New Roman;Times;Serif"/>
          <w:b w:val="false"/>
          <w:i w:val="false"/>
          <w:caps w:val="false"/>
          <w:smallCaps w:val="false"/>
          <w:sz w:val="20"/>
        </w:rPr>
        <w:t>This ASU provided clarification regarding the effective dates of annual and interim disclosure requirements presented in ASU 2024-03. Upon consideration of the clarification in ASU 2025-01, the guidance in ASU 2024-03 is effective for annual reporting periods beginning after December 15, 2026, and interim periods beginning within annual reporting periods beginning after December 15, 2027. The Company is currently evaluating the effect of this new guidance on the Company’s condensed consolidated financial statements.</w:t>
      </w:r>
    </w:p>
    <w:p>
      <w:pPr>
        <w:pStyle w:val="TextBody"/>
        <w:bidi w:val="0"/>
        <w:spacing w:before="0" w:after="0"/>
        <w:ind w:left="0" w:right="0" w:hanging="0"/>
        <w:jc w:val="both"/>
        <w:rPr>
          <w:caps w:val="false"/>
          <w:smallCaps w:val="false"/>
        </w:rPr>
      </w:pPr>
      <w:bookmarkStart w:id="230" w:name="xdx_854_zPWbYaBf30u2"/>
      <w:bookmarkEnd w:id="230"/>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1" w:name="xdx_80B_eus-gaap--FairValueDisclosuresTe"/>
      <w:bookmarkEnd w:id="231"/>
      <w:r>
        <w:rPr>
          <w:rFonts w:ascii="Times New Roman;Times;Serif" w:hAnsi="Times New Roman;Times;Serif"/>
          <w:b/>
          <w:i w:val="false"/>
          <w:caps w:val="false"/>
          <w:smallCaps w:val="false"/>
          <w:sz w:val="20"/>
        </w:rPr>
        <w:t xml:space="preserve">NOTE 3 - </w:t>
      </w:r>
      <w:bookmarkStart w:id="232" w:name="xdx_820_zGTOsfLMl744"/>
      <w:bookmarkEnd w:id="232"/>
      <w:r>
        <w:rPr>
          <w:rFonts w:ascii="Times New Roman;Times;Serif" w:hAnsi="Times New Roman;Times;Serif"/>
          <w:b/>
          <w:i w:val="false"/>
          <w:caps w:val="false"/>
          <w:smallCaps w:val="false"/>
          <w:sz w:val="20"/>
        </w:rPr>
        <w:t>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Recurring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the accounting guidance in ASC Topic 820,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xml:space="preserve">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and December 31, 2024, the Company had short-term investments which were U.S. treasury bills and notes that are classified as Level I. The valuation inputs for the short-term investments are based upon quoted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Simultaneously with the closing of the Initial Public Offering, the Sponsor and the anchor investor purchased warrants (the “Private Placement Warrants”), which will expire on October 23, 2025. In connection with the Foxconn Transactions and the closing of the Asset Purchase Agreement, the Company issued warrants to Foxconn that were exercisable until May 11, 2025 (the “Foxconn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2025 and December 31, 2024</w:t>
      </w:r>
      <w:r>
        <w:rPr>
          <w:rFonts w:ascii="Times New Roman;Times;Serif" w:hAnsi="Times New Roman;Times;Serif"/>
          <w:b w:val="false"/>
          <w:i w:val="false"/>
          <w:caps w:val="false"/>
          <w:smallCaps w:val="false"/>
          <w:sz w:val="20"/>
          <w:shd w:fill="FFFFFF" w:val="clear"/>
        </w:rPr>
        <w:t>, following the Reverse Stock Split, the Company h</w:t>
      </w:r>
      <w:r>
        <w:rPr>
          <w:rFonts w:ascii="Times New Roman;Times;Serif" w:hAnsi="Times New Roman;Times;Serif"/>
          <w:b w:val="false"/>
          <w:i w:val="false"/>
          <w:caps w:val="false"/>
          <w:smallCaps w:val="false"/>
          <w:sz w:val="20"/>
        </w:rPr>
        <w:t xml:space="preserve">ad </w:t>
      </w:r>
      <w:bookmarkStart w:id="233" w:name="xdx_903_eus-gaap--ClassOfWarrantOrRightO"/>
      <w:bookmarkStart w:id="234" w:name="xdx_904_eus-gaap--ClassOfWarrantOrRightO"/>
      <w:bookmarkEnd w:id="233"/>
      <w:bookmarkEnd w:id="234"/>
      <w:r>
        <w:rPr>
          <w:rFonts w:ascii="Times New Roman;Times;Serif" w:hAnsi="Times New Roman;Times;Serif"/>
          <w:b w:val="false"/>
          <w:i w:val="false"/>
          <w:caps w:val="false"/>
          <w:smallCaps w:val="false"/>
          <w:sz w:val="20"/>
        </w:rPr>
        <w:t>0.113 million Foxconn Warrants with an exercise price of $</w:t>
      </w:r>
      <w:bookmarkStart w:id="235" w:name="xdx_906_eus-gaap--ClassOfWarrantOrRightE"/>
      <w:bookmarkStart w:id="236" w:name="xdx_905_eus-gaap--ClassOfWarrantOrRightE"/>
      <w:bookmarkEnd w:id="235"/>
      <w:bookmarkEnd w:id="236"/>
      <w:r>
        <w:rPr>
          <w:rFonts w:ascii="Times New Roman;Times;Serif" w:hAnsi="Times New Roman;Times;Serif"/>
          <w:b w:val="false"/>
          <w:i w:val="false"/>
          <w:caps w:val="false"/>
          <w:smallCaps w:val="false"/>
          <w:sz w:val="20"/>
        </w:rPr>
        <w:t xml:space="preserve">157.50 and </w:t>
      </w:r>
      <w:bookmarkStart w:id="237" w:name="xdx_909_eus-gaap--ClassOfWarrantOrRightO"/>
      <w:bookmarkStart w:id="238" w:name="xdx_90A_eus-gaap--ClassOfWarrantOrRightO"/>
      <w:bookmarkEnd w:id="237"/>
      <w:bookmarkEnd w:id="238"/>
      <w:r>
        <w:rPr>
          <w:rFonts w:ascii="Times New Roman;Times;Serif" w:hAnsi="Times New Roman;Times;Serif"/>
          <w:b w:val="false"/>
          <w:i w:val="false"/>
          <w:caps w:val="false"/>
          <w:smallCaps w:val="false"/>
          <w:sz w:val="20"/>
        </w:rPr>
        <w:t>0.153 million Private Placement Warrants with a strike price of $</w:t>
      </w:r>
      <w:bookmarkStart w:id="239" w:name="xdx_903_eus-gaap--ClassOfWarrantOrRightE"/>
      <w:bookmarkStart w:id="240" w:name="xdx_909_eus-gaap--ClassOfWarrantOrRightE"/>
      <w:bookmarkEnd w:id="239"/>
      <w:bookmarkEnd w:id="240"/>
      <w:r>
        <w:rPr>
          <w:rFonts w:ascii="Times New Roman;Times;Serif" w:hAnsi="Times New Roman;Times;Serif"/>
          <w:b w:val="false"/>
          <w:i w:val="false"/>
          <w:caps w:val="false"/>
          <w:smallCaps w:val="false"/>
          <w:sz w:val="20"/>
        </w:rPr>
        <w:t>172.50. The fair value of the Foxconn Warrants was $</w:t>
      </w:r>
      <w:bookmarkStart w:id="241" w:name="xdx_907_eus-gaap--DerivativeLiabilities_"/>
      <w:bookmarkStart w:id="242" w:name="xdx_90D_eus-gaap--DerivativeLiabilities_"/>
      <w:bookmarkEnd w:id="241"/>
      <w:bookmarkEnd w:id="242"/>
      <w:r>
        <w:rPr>
          <w:rFonts w:ascii="Times New Roman;Times;Serif" w:hAnsi="Times New Roman;Times;Serif"/>
          <w:b w:val="false"/>
          <w:i w:val="false"/>
          <w:caps w:val="false"/>
          <w:smallCaps w:val="false"/>
          <w:sz w:val="20"/>
        </w:rPr>
        <w:t>0.3 million at issuance. The Private Placement Warrants and the Foxconn Warrants were classif</w:t>
      </w:r>
      <w:r>
        <w:rPr>
          <w:rFonts w:ascii="Times New Roman;Times;Serif" w:hAnsi="Times New Roman;Times;Serif"/>
          <w:b w:val="false"/>
          <w:i w:val="false"/>
          <w:caps w:val="false"/>
          <w:smallCaps w:val="false"/>
          <w:sz w:val="20"/>
          <w:shd w:fill="FFFFFF" w:val="clear"/>
        </w:rPr>
        <w:t xml:space="preserve">ied as a liability with any changes in the fair value recognized immediately in the condensed consolidated statements of operations and comprehensive loss. As a result of the Chapter 11 Cases, the fair value of the Company’s warrants was deemed to be </w:t>
      </w:r>
      <w:bookmarkStart w:id="243" w:name="xdx_904_eus-gaap--DerivativeLiabilities_"/>
      <w:bookmarkEnd w:id="243"/>
      <w:r>
        <w:rPr>
          <w:rFonts w:ascii="Times New Roman;Times;Serif" w:hAnsi="Times New Roman;Times;Serif"/>
          <w:b w:val="false"/>
          <w:i w:val="false"/>
          <w:caps w:val="false"/>
          <w:smallCaps w:val="false"/>
          <w:sz w:val="20"/>
          <w:shd w:fill="FFFFFF" w:val="clear"/>
        </w:rPr>
        <w:t xml:space="preserve">zero and adjusted accordingly in 2023. The fair value of the Company’s warrants remains </w:t>
      </w:r>
      <w:bookmarkStart w:id="244" w:name="xdx_90D_eus-gaap--DerivativeLiabilities_"/>
      <w:bookmarkEnd w:id="244"/>
      <w:r>
        <w:rPr>
          <w:rFonts w:ascii="Times New Roman;Times;Serif" w:hAnsi="Times New Roman;Times;Serif"/>
          <w:b w:val="false"/>
          <w:i w:val="false"/>
          <w:caps w:val="false"/>
          <w:smallCaps w:val="false"/>
          <w:sz w:val="20"/>
          <w:shd w:fill="FFFFFF" w:val="clear"/>
        </w:rPr>
        <w:t>zero as of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bookmarkStart w:id="245" w:name="xdx_899_eus-gaap--ScheduleOfFairValueAss"/>
      <w:bookmarkEnd w:id="245"/>
      <w:r>
        <w:rPr>
          <w:rFonts w:ascii="Times New Roman;Times;Serif" w:hAnsi="Times New Roman;Times;Serif"/>
          <w:b w:val="false"/>
          <w:i w:val="false"/>
          <w:caps w:val="false"/>
          <w:smallCaps w:val="false"/>
          <w:sz w:val="20"/>
          <w:shd w:fill="FFFFFF" w:val="clear"/>
        </w:rPr>
        <w:t>The following tables summarizes the valuation of our financial instruments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46" w:name="xdx_8BE_z80hkamoy8I5"/>
      <w:bookmarkEnd w:id="246"/>
      <w:r>
        <w:rPr>
          <w:rFonts w:ascii="Times New Roman;Times;Serif" w:hAnsi="Times New Roman;Times;Serif"/>
          <w:b w:val="false"/>
          <w:i w:val="false"/>
          <w:caps w:val="false"/>
          <w:smallCaps w:val="false"/>
          <w:sz w:val="20"/>
        </w:rPr>
        <w:t>SUMMARY OF VALUATION OF FINANCIAL INSTRUMENTS</w:t>
      </w:r>
      <w:r>
        <w:rPr>
          <w:rFonts w:ascii="Times New Roman;Times;Serif" w:hAnsi="Times New Roman;Times;Serif"/>
          <w:b w:val="false"/>
          <w:i w:val="false"/>
          <w:caps w:val="false"/>
          <w:smallCaps w:val="false"/>
          <w:sz w:val="20"/>
          <w:shd w:fill="FFFFFF" w:val="clear"/>
        </w:rPr>
        <w:t> </w:t>
      </w:r>
    </w:p>
    <w:tbl>
      <w:tblPr>
        <w:tblW w:w="10205" w:type="dxa"/>
        <w:jc w:val="left"/>
        <w:tblInd w:w="0" w:type="dxa"/>
        <w:tblLayout w:type="fixed"/>
        <w:tblCellMar>
          <w:top w:w="0" w:type="dxa"/>
          <w:left w:w="0" w:type="dxa"/>
          <w:bottom w:w="0" w:type="dxa"/>
          <w:right w:w="0" w:type="dxa"/>
        </w:tblCellMar>
      </w:tblPr>
      <w:tblGrid>
        <w:gridCol w:w="2309"/>
        <w:gridCol w:w="60"/>
        <w:gridCol w:w="140"/>
        <w:gridCol w:w="680"/>
        <w:gridCol w:w="60"/>
        <w:gridCol w:w="60"/>
        <w:gridCol w:w="355"/>
        <w:gridCol w:w="1727"/>
        <w:gridCol w:w="60"/>
        <w:gridCol w:w="60"/>
        <w:gridCol w:w="646"/>
        <w:gridCol w:w="1481"/>
        <w:gridCol w:w="60"/>
        <w:gridCol w:w="60"/>
        <w:gridCol w:w="636"/>
        <w:gridCol w:w="1731"/>
        <w:gridCol w:w="80"/>
      </w:tblGrid>
      <w:tr>
        <w:trPr/>
        <w:tc>
          <w:tcPr>
            <w:tcW w:w="23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7" w:name="xdx_493_20250331__us-gaap--FairValueByMe"/>
            <w:bookmarkEnd w:id="247"/>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8" w:name="xdx_490_20250331__us-gaap--FairValueByFa"/>
            <w:bookmarkEnd w:id="248"/>
          </w:p>
        </w:tc>
        <w:tc>
          <w:tcPr>
            <w:tcW w:w="2082" w:type="dxa"/>
            <w:gridSpan w:val="2"/>
            <w:tcBorders>
              <w:bottom w:val="single" w:sz="8" w:space="0" w:color="000000"/>
            </w:tcBorders>
            <w:tcMar>
              <w:bottom w:w="28" w:type="dxa"/>
            </w:tcMar>
            <w:vAlign w:val="center"/>
          </w:tcPr>
          <w:p>
            <w:pPr>
              <w:pStyle w:val="TableContents"/>
              <w:bidi w:val="0"/>
              <w:spacing w:before="0" w:after="283"/>
              <w:jc w:val="center"/>
              <w:rPr/>
            </w:pPr>
            <w:r>
              <w:rPr/>
              <w:t>Quoted prices in active markets (Level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9" w:name="xdx_497_20250331__us-gaap--FairValueByFa"/>
            <w:bookmarkEnd w:id="249"/>
          </w:p>
        </w:tc>
        <w:tc>
          <w:tcPr>
            <w:tcW w:w="2127" w:type="dxa"/>
            <w:gridSpan w:val="2"/>
            <w:tcBorders>
              <w:bottom w:val="single" w:sz="8" w:space="0" w:color="000000"/>
            </w:tcBorders>
            <w:tcMar>
              <w:bottom w:w="28" w:type="dxa"/>
            </w:tcMar>
            <w:vAlign w:val="center"/>
          </w:tcPr>
          <w:p>
            <w:pPr>
              <w:pStyle w:val="TableContents"/>
              <w:bidi w:val="0"/>
              <w:spacing w:before="0" w:after="283"/>
              <w:jc w:val="center"/>
              <w:rPr/>
            </w:pPr>
            <w:r>
              <w:rPr/>
              <w:t>Prices with observable inputs (Level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0" w:name="xdx_49D_20250331__us-gaap--FairValueByFa"/>
            <w:bookmarkEnd w:id="250"/>
          </w:p>
        </w:tc>
        <w:tc>
          <w:tcPr>
            <w:tcW w:w="2367" w:type="dxa"/>
            <w:gridSpan w:val="2"/>
            <w:tcBorders>
              <w:bottom w:val="single" w:sz="8" w:space="0" w:color="000000"/>
            </w:tcBorders>
            <w:tcMar>
              <w:bottom w:w="28" w:type="dxa"/>
            </w:tcMar>
            <w:vAlign w:val="center"/>
          </w:tcPr>
          <w:p>
            <w:pPr>
              <w:pStyle w:val="TableContents"/>
              <w:bidi w:val="0"/>
              <w:spacing w:before="0" w:after="283"/>
              <w:jc w:val="center"/>
              <w:rPr/>
            </w:pPr>
            <w:r>
              <w:rPr/>
              <w:t>Prices with unobservable inputs (Level 3)</w:t>
            </w:r>
          </w:p>
        </w:tc>
        <w:tc>
          <w:tcPr>
            <w:tcW w:w="80" w:type="dxa"/>
            <w:tcBorders/>
            <w:vAlign w:val="center"/>
          </w:tcPr>
          <w:p>
            <w:pPr>
              <w:pStyle w:val="TableContents"/>
              <w:bidi w:val="0"/>
              <w:spacing w:before="0" w:after="283"/>
              <w:jc w:val="left"/>
              <w:rPr/>
            </w:pPr>
            <w:r>
              <w:rPr/>
              <w:t> </w:t>
            </w:r>
          </w:p>
        </w:tc>
      </w:tr>
      <w:tr>
        <w:trPr/>
        <w:tc>
          <w:tcPr>
            <w:tcW w:w="2309" w:type="dxa"/>
            <w:tcBorders/>
            <w:shd w:fill="CCEEFF" w:val="clear"/>
            <w:vAlign w:val="center"/>
          </w:tcPr>
          <w:p>
            <w:pPr>
              <w:pStyle w:val="TableContents"/>
              <w:bidi w:val="0"/>
              <w:spacing w:before="0" w:after="283"/>
              <w:jc w:val="left"/>
              <w:rPr>
                <w:b/>
              </w:rPr>
            </w:pPr>
            <w:r>
              <w:rPr>
                <w:b/>
              </w:rPr>
              <w:t>March 31,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72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173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bookmarkStart w:id="251" w:name="xdx_40A_eus-gaap--CashAndCashEquivalents"/>
            <w:bookmarkEnd w:id="251"/>
          </w:p>
        </w:tc>
      </w:tr>
      <w:tr>
        <w:trPr/>
        <w:tc>
          <w:tcPr>
            <w:tcW w:w="2309" w:type="dxa"/>
            <w:tcBorders/>
            <w:shd w:fill="FFFFFF" w:val="clear"/>
            <w:vAlign w:val="center"/>
          </w:tcPr>
          <w:p>
            <w:pPr>
              <w:pStyle w:val="TableContents"/>
              <w:bidi w:val="0"/>
              <w:spacing w:before="0" w:after="283"/>
              <w:jc w:val="left"/>
              <w:rPr/>
            </w:pPr>
            <w:r>
              <w:rPr/>
              <w:t>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31,255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5" w:type="dxa"/>
            <w:tcBorders/>
            <w:shd w:fill="FFFFFF" w:val="clear"/>
            <w:vAlign w:val="center"/>
          </w:tcPr>
          <w:p>
            <w:pPr>
              <w:pStyle w:val="TableContents"/>
              <w:bidi w:val="0"/>
              <w:spacing w:before="0" w:after="283"/>
              <w:jc w:val="left"/>
              <w:rPr/>
            </w:pPr>
            <w:r>
              <w:rPr/>
              <w:t>$</w:t>
            </w:r>
          </w:p>
        </w:tc>
        <w:tc>
          <w:tcPr>
            <w:tcW w:w="1727" w:type="dxa"/>
            <w:tcBorders/>
            <w:shd w:fill="FFFFFF" w:val="clear"/>
            <w:vAlign w:val="center"/>
          </w:tcPr>
          <w:p>
            <w:pPr>
              <w:pStyle w:val="TableContents"/>
              <w:bidi w:val="0"/>
              <w:spacing w:before="0" w:after="283"/>
              <w:jc w:val="right"/>
              <w:rPr/>
            </w:pPr>
            <w:r>
              <w:rPr/>
              <w:t>31,255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6" w:type="dxa"/>
            <w:tcBorders/>
            <w:shd w:fill="FFFFFF" w:val="clear"/>
            <w:vAlign w:val="center"/>
          </w:tcPr>
          <w:p>
            <w:pPr>
              <w:pStyle w:val="TableContents"/>
              <w:bidi w:val="0"/>
              <w:spacing w:before="0" w:after="283"/>
              <w:jc w:val="left"/>
              <w:rPr/>
            </w:pPr>
            <w:r>
              <w:rPr/>
              <w:t>$</w:t>
            </w:r>
          </w:p>
        </w:tc>
        <w:tc>
          <w:tcPr>
            <w:tcW w:w="148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36" w:type="dxa"/>
            <w:tcBorders/>
            <w:shd w:fill="FFFFFF" w:val="clear"/>
            <w:vAlign w:val="center"/>
          </w:tcPr>
          <w:p>
            <w:pPr>
              <w:pStyle w:val="TableContents"/>
              <w:bidi w:val="0"/>
              <w:spacing w:before="0" w:after="283"/>
              <w:jc w:val="left"/>
              <w:rPr/>
            </w:pPr>
            <w:r>
              <w:rPr/>
              <w:t>$</w:t>
            </w:r>
          </w:p>
        </w:tc>
        <w:tc>
          <w:tcPr>
            <w:tcW w:w="1731"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bookmarkStart w:id="252" w:name="xdx_400_eus-gaap--AvailableForSaleSecuri"/>
            <w:bookmarkEnd w:id="252"/>
          </w:p>
        </w:tc>
      </w:tr>
      <w:tr>
        <w:trPr/>
        <w:tc>
          <w:tcPr>
            <w:tcW w:w="2309" w:type="dxa"/>
            <w:tcBorders/>
            <w:shd w:fill="CCEEFF" w:val="clear"/>
            <w:vAlign w:val="center"/>
          </w:tcPr>
          <w:p>
            <w:pPr>
              <w:pStyle w:val="TableContents"/>
              <w:bidi w:val="0"/>
              <w:spacing w:before="0" w:after="283"/>
              <w:jc w:val="left"/>
              <w:rPr/>
            </w:pPr>
            <w:r>
              <w:rPr/>
              <w:t>United States government treasury bills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19,896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5" w:type="dxa"/>
            <w:tcBorders/>
            <w:shd w:fill="CCEEFF" w:val="clear"/>
            <w:vAlign w:val="center"/>
          </w:tcPr>
          <w:p>
            <w:pPr>
              <w:pStyle w:val="TableContents"/>
              <w:bidi w:val="0"/>
              <w:spacing w:before="0" w:after="283"/>
              <w:jc w:val="left"/>
              <w:rPr/>
            </w:pPr>
            <w:r>
              <w:rPr/>
              <w:t> </w:t>
            </w:r>
          </w:p>
        </w:tc>
        <w:tc>
          <w:tcPr>
            <w:tcW w:w="1727" w:type="dxa"/>
            <w:tcBorders/>
            <w:shd w:fill="CCEEFF" w:val="clear"/>
            <w:vAlign w:val="center"/>
          </w:tcPr>
          <w:p>
            <w:pPr>
              <w:pStyle w:val="TableContents"/>
              <w:bidi w:val="0"/>
              <w:spacing w:before="0" w:after="283"/>
              <w:jc w:val="right"/>
              <w:rPr/>
            </w:pPr>
            <w:r>
              <w:rPr/>
              <w:t>19,896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6" w:type="dxa"/>
            <w:tcBorders/>
            <w:shd w:fill="CCEEFF" w:val="clear"/>
            <w:vAlign w:val="center"/>
          </w:tcPr>
          <w:p>
            <w:pPr>
              <w:pStyle w:val="TableContents"/>
              <w:bidi w:val="0"/>
              <w:spacing w:before="0" w:after="283"/>
              <w:jc w:val="left"/>
              <w:rPr/>
            </w:pPr>
            <w:r>
              <w:rPr/>
              <w:t> </w:t>
            </w:r>
          </w:p>
        </w:tc>
        <w:tc>
          <w:tcPr>
            <w:tcW w:w="14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36" w:type="dxa"/>
            <w:tcBorders/>
            <w:shd w:fill="CCEEFF" w:val="clear"/>
            <w:vAlign w:val="center"/>
          </w:tcPr>
          <w:p>
            <w:pPr>
              <w:pStyle w:val="TableContents"/>
              <w:bidi w:val="0"/>
              <w:spacing w:before="0" w:after="283"/>
              <w:jc w:val="left"/>
              <w:rPr/>
            </w:pPr>
            <w:r>
              <w:rPr/>
              <w:t> </w:t>
            </w:r>
          </w:p>
        </w:tc>
        <w:tc>
          <w:tcPr>
            <w:tcW w:w="1731"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4"/>
        <w:gridCol w:w="60"/>
        <w:gridCol w:w="140"/>
        <w:gridCol w:w="680"/>
        <w:gridCol w:w="60"/>
        <w:gridCol w:w="60"/>
        <w:gridCol w:w="360"/>
        <w:gridCol w:w="1750"/>
        <w:gridCol w:w="60"/>
        <w:gridCol w:w="60"/>
        <w:gridCol w:w="653"/>
        <w:gridCol w:w="1498"/>
        <w:gridCol w:w="60"/>
        <w:gridCol w:w="60"/>
        <w:gridCol w:w="642"/>
        <w:gridCol w:w="1749"/>
        <w:gridCol w:w="79"/>
      </w:tblGrid>
      <w:tr>
        <w:trPr/>
        <w:tc>
          <w:tcPr>
            <w:tcW w:w="223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3" w:name="xdx_49B_20241231__us-gaap--FairValueByMe"/>
            <w:bookmarkEnd w:id="253"/>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4" w:name="xdx_49A_20241231__us-gaap--FairValueByFa"/>
            <w:bookmarkEnd w:id="254"/>
          </w:p>
        </w:tc>
        <w:tc>
          <w:tcPr>
            <w:tcW w:w="2110" w:type="dxa"/>
            <w:gridSpan w:val="2"/>
            <w:tcBorders>
              <w:bottom w:val="single" w:sz="8" w:space="0" w:color="000000"/>
            </w:tcBorders>
            <w:tcMar>
              <w:bottom w:w="28" w:type="dxa"/>
            </w:tcMar>
            <w:vAlign w:val="center"/>
          </w:tcPr>
          <w:p>
            <w:pPr>
              <w:pStyle w:val="TableContents"/>
              <w:bidi w:val="0"/>
              <w:spacing w:before="0" w:after="283"/>
              <w:jc w:val="center"/>
              <w:rPr/>
            </w:pPr>
            <w:r>
              <w:rPr/>
              <w:t>Quoted prices in active markets (Level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5" w:name="xdx_499_20241231__us-gaap--FairValueByFa"/>
            <w:bookmarkEnd w:id="255"/>
          </w:p>
        </w:tc>
        <w:tc>
          <w:tcPr>
            <w:tcW w:w="2151" w:type="dxa"/>
            <w:gridSpan w:val="2"/>
            <w:tcBorders>
              <w:bottom w:val="single" w:sz="8" w:space="0" w:color="000000"/>
            </w:tcBorders>
            <w:tcMar>
              <w:bottom w:w="28" w:type="dxa"/>
            </w:tcMar>
            <w:vAlign w:val="center"/>
          </w:tcPr>
          <w:p>
            <w:pPr>
              <w:pStyle w:val="TableContents"/>
              <w:bidi w:val="0"/>
              <w:spacing w:before="0" w:after="283"/>
              <w:jc w:val="center"/>
              <w:rPr/>
            </w:pPr>
            <w:r>
              <w:rPr/>
              <w:t>Prices with observable inputs (Level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6" w:name="xdx_49F_20241231__us-gaap--FairValueByFa"/>
            <w:bookmarkEnd w:id="256"/>
          </w:p>
        </w:tc>
        <w:tc>
          <w:tcPr>
            <w:tcW w:w="2391" w:type="dxa"/>
            <w:gridSpan w:val="2"/>
            <w:tcBorders>
              <w:bottom w:val="single" w:sz="8" w:space="0" w:color="000000"/>
            </w:tcBorders>
            <w:tcMar>
              <w:bottom w:w="28" w:type="dxa"/>
            </w:tcMar>
            <w:vAlign w:val="center"/>
          </w:tcPr>
          <w:p>
            <w:pPr>
              <w:pStyle w:val="TableContents"/>
              <w:bidi w:val="0"/>
              <w:spacing w:before="0" w:after="283"/>
              <w:jc w:val="center"/>
              <w:rPr/>
            </w:pPr>
            <w:r>
              <w:rPr/>
              <w:t>Prices with unobservable inputs (Level 3)</w:t>
            </w:r>
          </w:p>
        </w:tc>
        <w:tc>
          <w:tcPr>
            <w:tcW w:w="79" w:type="dxa"/>
            <w:tcBorders/>
            <w:vAlign w:val="center"/>
          </w:tcPr>
          <w:p>
            <w:pPr>
              <w:pStyle w:val="TableContents"/>
              <w:bidi w:val="0"/>
              <w:spacing w:before="0" w:after="283"/>
              <w:jc w:val="left"/>
              <w:rPr/>
            </w:pPr>
            <w:r>
              <w:rPr/>
              <w:t> </w:t>
            </w:r>
          </w:p>
        </w:tc>
      </w:tr>
      <w:tr>
        <w:trPr/>
        <w:tc>
          <w:tcPr>
            <w:tcW w:w="2234" w:type="dxa"/>
            <w:tcBorders/>
            <w:shd w:fill="CCEEFF" w:val="clear"/>
            <w:vAlign w:val="center"/>
          </w:tcPr>
          <w:p>
            <w:pPr>
              <w:pStyle w:val="TableContents"/>
              <w:bidi w:val="0"/>
              <w:spacing w:before="0" w:after="283"/>
              <w:jc w:val="left"/>
              <w:rPr>
                <w:b/>
              </w:rPr>
            </w:pPr>
            <w:r>
              <w:rPr>
                <w:b/>
              </w:rPr>
              <w:t>December 31,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 </w:t>
            </w:r>
          </w:p>
        </w:tc>
        <w:tc>
          <w:tcPr>
            <w:tcW w:w="79" w:type="dxa"/>
            <w:tcBorders/>
            <w:shd w:fill="CCEEFF" w:val="clear"/>
            <w:vAlign w:val="center"/>
          </w:tcPr>
          <w:p>
            <w:pPr>
              <w:pStyle w:val="TableContents"/>
              <w:bidi w:val="0"/>
              <w:spacing w:before="0" w:after="283"/>
              <w:jc w:val="left"/>
              <w:rPr/>
            </w:pPr>
            <w:r>
              <w:rPr/>
              <w:t> </w:t>
            </w:r>
            <w:bookmarkStart w:id="257" w:name="xdx_40A_eus-gaap--CashAndCashEquivalents"/>
            <w:bookmarkEnd w:id="257"/>
          </w:p>
        </w:tc>
      </w:tr>
      <w:tr>
        <w:trPr/>
        <w:tc>
          <w:tcPr>
            <w:tcW w:w="2234"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23,095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60" w:type="dxa"/>
            <w:tcBorders/>
            <w:shd w:fill="FFFFFF" w:val="clear"/>
            <w:vAlign w:val="center"/>
          </w:tcPr>
          <w:p>
            <w:pPr>
              <w:pStyle w:val="TableContents"/>
              <w:bidi w:val="0"/>
              <w:spacing w:before="0" w:after="283"/>
              <w:jc w:val="left"/>
              <w:rPr/>
            </w:pPr>
            <w:r>
              <w:rPr/>
              <w:t>$</w:t>
            </w:r>
          </w:p>
        </w:tc>
        <w:tc>
          <w:tcPr>
            <w:tcW w:w="1750" w:type="dxa"/>
            <w:tcBorders/>
            <w:shd w:fill="FFFFFF" w:val="clear"/>
            <w:vAlign w:val="center"/>
          </w:tcPr>
          <w:p>
            <w:pPr>
              <w:pStyle w:val="TableContents"/>
              <w:bidi w:val="0"/>
              <w:spacing w:before="0" w:after="283"/>
              <w:jc w:val="right"/>
              <w:rPr/>
            </w:pPr>
            <w:r>
              <w:rPr/>
              <w:t>23,095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left"/>
              <w:rPr/>
            </w:pPr>
            <w:r>
              <w:rPr/>
              <w:t>$</w:t>
            </w:r>
          </w:p>
        </w:tc>
        <w:tc>
          <w:tcPr>
            <w:tcW w:w="149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left"/>
              <w:rPr/>
            </w:pPr>
            <w:r>
              <w:rPr/>
              <w:t>$</w:t>
            </w:r>
          </w:p>
        </w:tc>
        <w:tc>
          <w:tcPr>
            <w:tcW w:w="1749" w:type="dxa"/>
            <w:tcBorders/>
            <w:shd w:fill="FFFFFF" w:val="clear"/>
            <w:vAlign w:val="center"/>
          </w:tcPr>
          <w:p>
            <w:pPr>
              <w:pStyle w:val="TableContents"/>
              <w:bidi w:val="0"/>
              <w:spacing w:before="0" w:after="283"/>
              <w:jc w:val="right"/>
              <w:rPr/>
            </w:pPr>
            <w:r>
              <w:rPr/>
              <w:t>  —</w:t>
            </w:r>
          </w:p>
        </w:tc>
        <w:tc>
          <w:tcPr>
            <w:tcW w:w="79" w:type="dxa"/>
            <w:tcBorders/>
            <w:shd w:fill="FFFFFF" w:val="clear"/>
            <w:vAlign w:val="center"/>
          </w:tcPr>
          <w:p>
            <w:pPr>
              <w:pStyle w:val="TableContents"/>
              <w:bidi w:val="0"/>
              <w:spacing w:before="0" w:after="283"/>
              <w:jc w:val="left"/>
              <w:rPr/>
            </w:pPr>
            <w:r>
              <w:rPr/>
              <w:t> </w:t>
            </w:r>
            <w:bookmarkStart w:id="258" w:name="xdx_400_eus-gaap--AvailableForSaleSecuri"/>
            <w:bookmarkEnd w:id="258"/>
          </w:p>
        </w:tc>
      </w:tr>
      <w:tr>
        <w:trPr/>
        <w:tc>
          <w:tcPr>
            <w:tcW w:w="2234" w:type="dxa"/>
            <w:tcBorders/>
            <w:shd w:fill="CCEEFF" w:val="clear"/>
            <w:vAlign w:val="center"/>
          </w:tcPr>
          <w:p>
            <w:pPr>
              <w:pStyle w:val="TableContents"/>
              <w:bidi w:val="0"/>
              <w:spacing w:before="0" w:after="283"/>
              <w:jc w:val="left"/>
              <w:rPr/>
            </w:pPr>
            <w:r>
              <w:rPr/>
              <w:t>United States government treasury bills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60" w:type="dxa"/>
            <w:tcBorders/>
            <w:shd w:fill="CCEEFF" w:val="clear"/>
            <w:vAlign w:val="center"/>
          </w:tcPr>
          <w:p>
            <w:pPr>
              <w:pStyle w:val="TableContents"/>
              <w:bidi w:val="0"/>
              <w:spacing w:before="0" w:after="283"/>
              <w:jc w:val="left"/>
              <w:rPr/>
            </w:pPr>
            <w:r>
              <w:rPr/>
              <w:t> </w:t>
            </w:r>
          </w:p>
        </w:tc>
        <w:tc>
          <w:tcPr>
            <w:tcW w:w="1750" w:type="dxa"/>
            <w:tcBorders/>
            <w:shd w:fill="CCEEFF" w:val="clear"/>
            <w:vAlign w:val="center"/>
          </w:tcPr>
          <w:p>
            <w:pPr>
              <w:pStyle w:val="TableContents"/>
              <w:bidi w:val="0"/>
              <w:spacing w:before="0" w:after="283"/>
              <w:jc w:val="right"/>
              <w:rPr/>
            </w:pPr>
            <w:r>
              <w:rPr/>
              <w:t>29,741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3" w:type="dxa"/>
            <w:tcBorders/>
            <w:shd w:fill="CCEEFF" w:val="clear"/>
            <w:vAlign w:val="center"/>
          </w:tcPr>
          <w:p>
            <w:pPr>
              <w:pStyle w:val="TableContents"/>
              <w:bidi w:val="0"/>
              <w:spacing w:before="0" w:after="283"/>
              <w:jc w:val="left"/>
              <w:rPr/>
            </w:pPr>
            <w:r>
              <w:rPr/>
              <w:t> </w:t>
            </w:r>
          </w:p>
        </w:tc>
        <w:tc>
          <w:tcPr>
            <w:tcW w:w="149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right"/>
              <w:rPr/>
            </w:pPr>
            <w:r>
              <w:rPr/>
              <w:t>—</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259" w:name="xdx_8A8_zY0ND6uXu2p9"/>
      <w:bookmarkEnd w:id="25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bookmarkStart w:id="260" w:name="xdx_895_eus-gaap--DebtSecuritiesAvailabl"/>
      <w:bookmarkEnd w:id="260"/>
      <w:r>
        <w:rPr>
          <w:rFonts w:ascii="Times New Roman;Times;Serif" w:hAnsi="Times New Roman;Times;Serif"/>
          <w:b w:val="false"/>
          <w:i w:val="false"/>
          <w:caps w:val="false"/>
          <w:smallCaps w:val="false"/>
          <w:sz w:val="20"/>
          <w:shd w:fill="FFFFFF" w:val="clear"/>
        </w:rPr>
        <w:t>The following table summarizes the amortized cost and fair value of available-for-sale securities (in thousands):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261" w:name="xdx_8B3_zfgImfMjzlhg"/>
      <w:bookmarkEnd w:id="261"/>
      <w:r>
        <w:rPr>
          <w:rFonts w:ascii="Times New Roman;Times;Serif" w:hAnsi="Times New Roman;Times;Serif"/>
          <w:b w:val="false"/>
          <w:i w:val="false"/>
          <w:caps w:val="false"/>
          <w:smallCaps w:val="false"/>
          <w:sz w:val="20"/>
        </w:rPr>
        <w:t>SCHEDULE OF AMORTIZED COST AND FAIR VALUE OF AVAILABLE FOR SALE SECURITIES</w:t>
      </w:r>
      <w:r>
        <w:rPr>
          <w:rFonts w:ascii="Times New Roman;Times;Serif" w:hAnsi="Times New Roman;Times;Serif"/>
          <w:b w:val="false"/>
          <w:i w:val="false"/>
          <w:caps w:val="false"/>
          <w:smallCaps w:val="false"/>
          <w:sz w:val="20"/>
          <w:shd w:fill="FFFFFF" w:val="clear"/>
        </w:rPr>
        <w:t> </w:t>
      </w:r>
    </w:p>
    <w:tbl>
      <w:tblPr>
        <w:tblW w:w="10205" w:type="dxa"/>
        <w:jc w:val="left"/>
        <w:tblInd w:w="0" w:type="dxa"/>
        <w:tblLayout w:type="fixed"/>
        <w:tblCellMar>
          <w:top w:w="0" w:type="dxa"/>
          <w:left w:w="0" w:type="dxa"/>
          <w:bottom w:w="0" w:type="dxa"/>
          <w:right w:w="0" w:type="dxa"/>
        </w:tblCellMar>
      </w:tblPr>
      <w:tblGrid>
        <w:gridCol w:w="2196"/>
        <w:gridCol w:w="60"/>
        <w:gridCol w:w="240"/>
        <w:gridCol w:w="1169"/>
        <w:gridCol w:w="60"/>
        <w:gridCol w:w="60"/>
        <w:gridCol w:w="236"/>
        <w:gridCol w:w="1152"/>
        <w:gridCol w:w="60"/>
        <w:gridCol w:w="60"/>
        <w:gridCol w:w="583"/>
        <w:gridCol w:w="1085"/>
        <w:gridCol w:w="60"/>
        <w:gridCol w:w="60"/>
        <w:gridCol w:w="483"/>
        <w:gridCol w:w="1161"/>
        <w:gridCol w:w="95"/>
        <w:gridCol w:w="60"/>
        <w:gridCol w:w="1325"/>
      </w:tblGrid>
      <w:tr>
        <w:trPr/>
        <w:tc>
          <w:tcPr>
            <w:tcW w:w="219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9" w:type="dxa"/>
            <w:gridSpan w:val="2"/>
            <w:tcBorders>
              <w:bottom w:val="single" w:sz="8" w:space="0" w:color="000000"/>
            </w:tcBorders>
            <w:tcMar>
              <w:bottom w:w="28" w:type="dxa"/>
            </w:tcMar>
            <w:vAlign w:val="center"/>
          </w:tcPr>
          <w:p>
            <w:pPr>
              <w:pStyle w:val="TableContents"/>
              <w:bidi w:val="0"/>
              <w:spacing w:before="0" w:after="283"/>
              <w:jc w:val="center"/>
              <w:rPr/>
            </w:pPr>
            <w:r>
              <w:rPr/>
              <w:t>Amortized 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8" w:type="dxa"/>
            <w:gridSpan w:val="2"/>
            <w:tcBorders>
              <w:bottom w:val="single" w:sz="8" w:space="0" w:color="000000"/>
            </w:tcBorders>
            <w:tcMar>
              <w:bottom w:w="28" w:type="dxa"/>
            </w:tcMar>
            <w:vAlign w:val="center"/>
          </w:tcPr>
          <w:p>
            <w:pPr>
              <w:pStyle w:val="TableContents"/>
              <w:bidi w:val="0"/>
              <w:spacing w:before="0" w:after="283"/>
              <w:jc w:val="center"/>
              <w:rPr/>
            </w:pPr>
            <w:r>
              <w:rPr/>
              <w:t>Aggregate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8" w:type="dxa"/>
            <w:gridSpan w:val="2"/>
            <w:tcBorders>
              <w:bottom w:val="single" w:sz="8" w:space="0" w:color="000000"/>
            </w:tcBorders>
            <w:tcMar>
              <w:bottom w:w="28" w:type="dxa"/>
            </w:tcMar>
            <w:vAlign w:val="center"/>
          </w:tcPr>
          <w:p>
            <w:pPr>
              <w:pStyle w:val="TableContents"/>
              <w:bidi w:val="0"/>
              <w:spacing w:before="0" w:after="283"/>
              <w:jc w:val="center"/>
              <w:rPr/>
            </w:pPr>
            <w:r>
              <w:rPr/>
              <w:t>Allowance for credit 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4" w:type="dxa"/>
            <w:gridSpan w:val="2"/>
            <w:tcBorders>
              <w:bottom w:val="single" w:sz="8" w:space="0" w:color="000000"/>
            </w:tcBorders>
            <w:tcMar>
              <w:bottom w:w="28" w:type="dxa"/>
            </w:tcMar>
            <w:vAlign w:val="center"/>
          </w:tcPr>
          <w:p>
            <w:pPr>
              <w:pStyle w:val="TableContents"/>
              <w:bidi w:val="0"/>
              <w:spacing w:before="0" w:after="283"/>
              <w:jc w:val="center"/>
              <w:rPr/>
            </w:pPr>
            <w:r>
              <w:rPr/>
              <w:t>Unrealized Gains (Losses)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bottom w:val="single" w:sz="8" w:space="0" w:color="000000"/>
            </w:tcBorders>
            <w:tcMar>
              <w:bottom w:w="28" w:type="dxa"/>
            </w:tcMar>
            <w:vAlign w:val="center"/>
          </w:tcPr>
          <w:p>
            <w:pPr>
              <w:pStyle w:val="TableContents"/>
              <w:bidi w:val="0"/>
              <w:spacing w:before="0" w:after="283"/>
              <w:jc w:val="center"/>
              <w:rPr/>
            </w:pPr>
            <w:r>
              <w:rPr/>
              <w:t>Maturity Date Range</w:t>
            </w:r>
          </w:p>
        </w:tc>
      </w:tr>
      <w:tr>
        <w:trPr/>
        <w:tc>
          <w:tcPr>
            <w:tcW w:w="2196" w:type="dxa"/>
            <w:tcBorders/>
            <w:shd w:fill="CCEEFF" w:val="clear"/>
            <w:vAlign w:val="center"/>
          </w:tcPr>
          <w:p>
            <w:pPr>
              <w:pStyle w:val="TableContents"/>
              <w:bidi w:val="0"/>
              <w:spacing w:before="0" w:after="283"/>
              <w:jc w:val="left"/>
              <w:rPr>
                <w:b/>
              </w:rPr>
            </w:pPr>
            <w:r>
              <w:rPr>
                <w:b/>
              </w:rPr>
              <w:t>March 31, 2025</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1169"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11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83" w:type="dxa"/>
            <w:tcBorders/>
            <w:shd w:fill="CCEEFF" w:val="clear"/>
            <w:vAlign w:val="center"/>
          </w:tcPr>
          <w:p>
            <w:pPr>
              <w:pStyle w:val="TableContents"/>
              <w:bidi w:val="0"/>
              <w:spacing w:before="0" w:after="283"/>
              <w:jc w:val="left"/>
              <w:rPr/>
            </w:pPr>
            <w:r>
              <w:rPr/>
              <w:t> </w:t>
            </w:r>
          </w:p>
        </w:tc>
        <w:tc>
          <w:tcPr>
            <w:tcW w:w="108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3"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pPr>
            <w:r>
              <w:rPr/>
              <w:t> </w:t>
            </w:r>
          </w:p>
        </w:tc>
      </w:tr>
      <w:tr>
        <w:trPr/>
        <w:tc>
          <w:tcPr>
            <w:tcW w:w="2196" w:type="dxa"/>
            <w:tcBorders/>
            <w:shd w:fill="FFFFFF" w:val="clear"/>
            <w:vAlign w:val="center"/>
          </w:tcPr>
          <w:p>
            <w:pPr>
              <w:pStyle w:val="TableContents"/>
              <w:bidi w:val="0"/>
              <w:spacing w:before="0" w:after="283"/>
              <w:jc w:val="left"/>
              <w:rPr/>
            </w:pPr>
            <w:r>
              <w:rPr/>
              <w:t>United States government treasury bills</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w:t>
            </w:r>
            <w:bookmarkStart w:id="262" w:name="xdx_98D_ecustom--AvailableForSaleSecurit"/>
            <w:bookmarkEnd w:id="262"/>
          </w:p>
        </w:tc>
        <w:tc>
          <w:tcPr>
            <w:tcW w:w="1169" w:type="dxa"/>
            <w:tcBorders/>
            <w:shd w:fill="FFFFFF" w:val="clear"/>
            <w:vAlign w:val="center"/>
          </w:tcPr>
          <w:p>
            <w:pPr>
              <w:pStyle w:val="TableContents"/>
              <w:bidi w:val="0"/>
              <w:spacing w:before="0" w:after="283"/>
              <w:jc w:val="right"/>
              <w:rPr/>
            </w:pPr>
            <w:r>
              <w:rPr/>
              <w:t>19,888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w:t>
            </w:r>
            <w:bookmarkStart w:id="263" w:name="xdx_984_eus-gaap--AvailableForSaleSecuri"/>
            <w:bookmarkEnd w:id="263"/>
          </w:p>
        </w:tc>
        <w:tc>
          <w:tcPr>
            <w:tcW w:w="1152" w:type="dxa"/>
            <w:tcBorders/>
            <w:shd w:fill="FFFFFF" w:val="clear"/>
            <w:vAlign w:val="center"/>
          </w:tcPr>
          <w:p>
            <w:pPr>
              <w:pStyle w:val="TableContents"/>
              <w:bidi w:val="0"/>
              <w:spacing w:before="0" w:after="283"/>
              <w:jc w:val="right"/>
              <w:rPr/>
            </w:pPr>
            <w:r>
              <w:rPr/>
              <w:t>19,896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left"/>
              <w:rPr/>
            </w:pPr>
            <w:r>
              <w:rPr/>
              <w:t>$</w:t>
            </w:r>
            <w:bookmarkStart w:id="264" w:name="xdx_98D_ecustom--AllowanceForCreditLosse"/>
            <w:bookmarkEnd w:id="264"/>
          </w:p>
        </w:tc>
        <w:tc>
          <w:tcPr>
            <w:tcW w:w="108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3" w:type="dxa"/>
            <w:tcBorders/>
            <w:shd w:fill="FFFFFF" w:val="clear"/>
            <w:vAlign w:val="center"/>
          </w:tcPr>
          <w:p>
            <w:pPr>
              <w:pStyle w:val="TableContents"/>
              <w:bidi w:val="0"/>
              <w:spacing w:before="0" w:after="283"/>
              <w:jc w:val="left"/>
              <w:rPr/>
            </w:pPr>
            <w:r>
              <w:rPr/>
              <w:t>$</w:t>
            </w:r>
            <w:bookmarkStart w:id="265" w:name="xdx_98D_eus-gaap--OtherComprehensiveInco"/>
            <w:bookmarkEnd w:id="265"/>
          </w:p>
        </w:tc>
        <w:tc>
          <w:tcPr>
            <w:tcW w:w="1161" w:type="dxa"/>
            <w:tcBorders/>
            <w:shd w:fill="FFFFFF" w:val="clear"/>
            <w:vAlign w:val="center"/>
          </w:tcPr>
          <w:p>
            <w:pPr>
              <w:pStyle w:val="TableContents"/>
              <w:bidi w:val="0"/>
              <w:spacing w:before="0" w:after="283"/>
              <w:jc w:val="right"/>
              <w:rPr/>
            </w:pPr>
            <w:r>
              <w:rPr/>
              <w:t>(74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325" w:type="dxa"/>
            <w:tcBorders/>
            <w:shd w:fill="FFFFFF" w:val="clear"/>
            <w:vAlign w:val="center"/>
          </w:tcPr>
          <w:p>
            <w:pPr>
              <w:pStyle w:val="TableContents"/>
              <w:bidi w:val="0"/>
              <w:spacing w:before="0" w:after="283"/>
              <w:jc w:val="center"/>
              <w:rPr/>
            </w:pPr>
            <w:bookmarkStart w:id="266" w:name="xdx_903_eus-gaap--DebtSecuritiesAvailabl"/>
            <w:bookmarkEnd w:id="266"/>
            <w:r>
              <w:rPr/>
              <w:t>May 15, 2025</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3"/>
        <w:gridCol w:w="60"/>
        <w:gridCol w:w="232"/>
        <w:gridCol w:w="1128"/>
        <w:gridCol w:w="60"/>
        <w:gridCol w:w="60"/>
        <w:gridCol w:w="228"/>
        <w:gridCol w:w="1112"/>
        <w:gridCol w:w="60"/>
        <w:gridCol w:w="60"/>
        <w:gridCol w:w="556"/>
        <w:gridCol w:w="1034"/>
        <w:gridCol w:w="60"/>
        <w:gridCol w:w="60"/>
        <w:gridCol w:w="422"/>
        <w:gridCol w:w="1147"/>
        <w:gridCol w:w="60"/>
        <w:gridCol w:w="60"/>
        <w:gridCol w:w="1743"/>
      </w:tblGrid>
      <w:tr>
        <w:trPr/>
        <w:tc>
          <w:tcPr>
            <w:tcW w:w="20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pPr>
            <w:r>
              <w:rPr/>
              <w:t>Amortized cost basis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pPr>
            <w:r>
              <w:rPr/>
              <w:t>Aggregate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90" w:type="dxa"/>
            <w:gridSpan w:val="2"/>
            <w:tcBorders>
              <w:bottom w:val="single" w:sz="8" w:space="0" w:color="000000"/>
            </w:tcBorders>
            <w:tcMar>
              <w:bottom w:w="28" w:type="dxa"/>
            </w:tcMar>
            <w:vAlign w:val="center"/>
          </w:tcPr>
          <w:p>
            <w:pPr>
              <w:pStyle w:val="TableContents"/>
              <w:bidi w:val="0"/>
              <w:spacing w:before="0" w:after="283"/>
              <w:jc w:val="center"/>
              <w:rPr/>
            </w:pPr>
            <w:r>
              <w:rPr/>
              <w:t>Allowance for credit 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69" w:type="dxa"/>
            <w:gridSpan w:val="2"/>
            <w:tcBorders>
              <w:bottom w:val="single" w:sz="8" w:space="0" w:color="000000"/>
            </w:tcBorders>
            <w:tcMar>
              <w:bottom w:w="28" w:type="dxa"/>
            </w:tcMar>
            <w:vAlign w:val="center"/>
          </w:tcPr>
          <w:p>
            <w:pPr>
              <w:pStyle w:val="TableContents"/>
              <w:bidi w:val="0"/>
              <w:spacing w:before="0" w:after="283"/>
              <w:jc w:val="center"/>
              <w:rPr/>
            </w:pPr>
            <w:r>
              <w:rPr/>
              <w:t>Unrealized Gains (Losses)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3" w:type="dxa"/>
            <w:tcBorders>
              <w:bottom w:val="single" w:sz="8" w:space="0" w:color="000000"/>
            </w:tcBorders>
            <w:tcMar>
              <w:bottom w:w="28" w:type="dxa"/>
            </w:tcMar>
            <w:vAlign w:val="center"/>
          </w:tcPr>
          <w:p>
            <w:pPr>
              <w:pStyle w:val="TableContents"/>
              <w:bidi w:val="0"/>
              <w:spacing w:before="0" w:after="283"/>
              <w:jc w:val="center"/>
              <w:rPr/>
            </w:pPr>
            <w:r>
              <w:rPr/>
              <w:t>Maturity Date Range</w:t>
            </w:r>
          </w:p>
        </w:tc>
      </w:tr>
      <w:tr>
        <w:trPr/>
        <w:tc>
          <w:tcPr>
            <w:tcW w:w="2063" w:type="dxa"/>
            <w:tcBorders/>
            <w:shd w:fill="CCEEFF" w:val="clear"/>
            <w:vAlign w:val="center"/>
          </w:tcPr>
          <w:p>
            <w:pPr>
              <w:pStyle w:val="TableContents"/>
              <w:bidi w:val="0"/>
              <w:spacing w:before="0" w:after="283"/>
              <w:jc w:val="left"/>
              <w:rPr>
                <w:b/>
              </w:rPr>
            </w:pPr>
            <w:r>
              <w:rPr>
                <w:b/>
              </w:rPr>
              <w:t>December 31, 2024</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128"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2" w:type="dxa"/>
            <w:tcBorders/>
            <w:shd w:fill="CCEEFF" w:val="clear"/>
            <w:vAlign w:val="center"/>
          </w:tcPr>
          <w:p>
            <w:pPr>
              <w:pStyle w:val="TableContents"/>
              <w:bidi w:val="0"/>
              <w:spacing w:before="0" w:after="283"/>
              <w:jc w:val="left"/>
              <w:rPr/>
            </w:pPr>
            <w:r>
              <w:rPr/>
              <w:t> </w:t>
            </w:r>
          </w:p>
        </w:tc>
        <w:tc>
          <w:tcPr>
            <w:tcW w:w="114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3" w:type="dxa"/>
            <w:tcBorders/>
            <w:shd w:fill="CCEEFF" w:val="clear"/>
            <w:vAlign w:val="center"/>
          </w:tcPr>
          <w:p>
            <w:pPr>
              <w:pStyle w:val="TableContents"/>
              <w:bidi w:val="0"/>
              <w:spacing w:before="0" w:after="283"/>
              <w:jc w:val="left"/>
              <w:rPr/>
            </w:pPr>
            <w:r>
              <w:rPr/>
              <w:t> </w:t>
            </w:r>
          </w:p>
        </w:tc>
      </w:tr>
      <w:tr>
        <w:trPr/>
        <w:tc>
          <w:tcPr>
            <w:tcW w:w="2063" w:type="dxa"/>
            <w:tcBorders/>
            <w:shd w:fill="FFFFFF" w:val="clear"/>
            <w:vAlign w:val="center"/>
          </w:tcPr>
          <w:p>
            <w:pPr>
              <w:pStyle w:val="TableContents"/>
              <w:bidi w:val="0"/>
              <w:spacing w:before="0" w:after="283"/>
              <w:jc w:val="left"/>
              <w:rPr/>
            </w:pPr>
            <w:r>
              <w:rPr/>
              <w:t>United States government treasury bills</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w:t>
            </w:r>
            <w:bookmarkStart w:id="267" w:name="xdx_98F_ecustom--AvailableForSaleSecurit"/>
            <w:bookmarkEnd w:id="267"/>
          </w:p>
        </w:tc>
        <w:tc>
          <w:tcPr>
            <w:tcW w:w="1128" w:type="dxa"/>
            <w:tcBorders/>
            <w:shd w:fill="FFFFFF" w:val="clear"/>
            <w:vAlign w:val="center"/>
          </w:tcPr>
          <w:p>
            <w:pPr>
              <w:pStyle w:val="TableContents"/>
              <w:bidi w:val="0"/>
              <w:spacing w:before="0" w:after="283"/>
              <w:jc w:val="right"/>
              <w:rPr/>
            </w:pPr>
            <w:r>
              <w:rPr/>
              <w:t>29,751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w:t>
            </w:r>
            <w:bookmarkStart w:id="268" w:name="xdx_980_eus-gaap--AvailableForSaleSecuri"/>
            <w:bookmarkEnd w:id="268"/>
          </w:p>
        </w:tc>
        <w:tc>
          <w:tcPr>
            <w:tcW w:w="1112" w:type="dxa"/>
            <w:tcBorders/>
            <w:shd w:fill="FFFFFF" w:val="clear"/>
            <w:vAlign w:val="center"/>
          </w:tcPr>
          <w:p>
            <w:pPr>
              <w:pStyle w:val="TableContents"/>
              <w:bidi w:val="0"/>
              <w:spacing w:before="0" w:after="283"/>
              <w:jc w:val="right"/>
              <w:rPr/>
            </w:pPr>
            <w:r>
              <w:rPr/>
              <w:t>29,741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left"/>
              <w:rPr/>
            </w:pPr>
            <w:r>
              <w:rPr/>
              <w:t>$</w:t>
            </w:r>
            <w:bookmarkStart w:id="269" w:name="xdx_98D_ecustom--AllowanceForCreditLosse"/>
            <w:bookmarkEnd w:id="269"/>
          </w:p>
        </w:tc>
        <w:tc>
          <w:tcPr>
            <w:tcW w:w="103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2" w:type="dxa"/>
            <w:tcBorders/>
            <w:shd w:fill="FFFFFF" w:val="clear"/>
            <w:vAlign w:val="center"/>
          </w:tcPr>
          <w:p>
            <w:pPr>
              <w:pStyle w:val="TableContents"/>
              <w:bidi w:val="0"/>
              <w:spacing w:before="0" w:after="283"/>
              <w:jc w:val="left"/>
              <w:rPr/>
            </w:pPr>
            <w:r>
              <w:rPr/>
              <w:t>$</w:t>
            </w:r>
            <w:bookmarkStart w:id="270" w:name="xdx_986_eus-gaap--OtherComprehensiveInco"/>
            <w:bookmarkEnd w:id="270"/>
          </w:p>
        </w:tc>
        <w:tc>
          <w:tcPr>
            <w:tcW w:w="1147" w:type="dxa"/>
            <w:tcBorders/>
            <w:shd w:fill="FFFFFF" w:val="clear"/>
            <w:vAlign w:val="center"/>
          </w:tcPr>
          <w:p>
            <w:pPr>
              <w:pStyle w:val="TableContents"/>
              <w:bidi w:val="0"/>
              <w:spacing w:before="0" w:after="283"/>
              <w:jc w:val="right"/>
              <w:rPr/>
            </w:pPr>
            <w:r>
              <w:rPr/>
              <w:t>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3" w:type="dxa"/>
            <w:tcBorders/>
            <w:shd w:fill="FFFFFF" w:val="clear"/>
            <w:vAlign w:val="center"/>
          </w:tcPr>
          <w:p>
            <w:pPr>
              <w:pStyle w:val="TableContents"/>
              <w:bidi w:val="0"/>
              <w:spacing w:before="0" w:after="283"/>
              <w:jc w:val="center"/>
              <w:rPr/>
            </w:pPr>
            <w:bookmarkStart w:id="271" w:name="xdx_900_eus-gaap--DebtSecuritiesAvailabl"/>
            <w:bookmarkEnd w:id="271"/>
            <w:r>
              <w:rPr/>
              <w:t xml:space="preserve">February 15, 2025 - </w:t>
            </w:r>
            <w:bookmarkStart w:id="272" w:name="xdx_90C_eus-gaap--DebtSecuritiesAvailabl"/>
            <w:bookmarkEnd w:id="272"/>
            <w:r>
              <w:rPr/>
              <w:t>May 15, 2025</w:t>
            </w:r>
          </w:p>
        </w:tc>
      </w:tr>
    </w:tbl>
    <w:p>
      <w:pPr>
        <w:pStyle w:val="TextBody"/>
        <w:bidi w:val="0"/>
        <w:spacing w:before="0" w:after="0"/>
        <w:ind w:left="0" w:right="0" w:hanging="0"/>
        <w:jc w:val="both"/>
        <w:rPr>
          <w:caps w:val="false"/>
          <w:smallCaps w:val="false"/>
        </w:rPr>
      </w:pPr>
      <w:bookmarkStart w:id="273" w:name="xdx_8A3_z1pxlfdg9mr"/>
      <w:bookmarkEnd w:id="27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74" w:name="xdx_809_ecustom--TemporaryEquityTextBloc"/>
      <w:bookmarkEnd w:id="274"/>
      <w:r>
        <w:rPr>
          <w:rFonts w:ascii="Times New Roman;Times;Serif" w:hAnsi="Times New Roman;Times;Serif"/>
          <w:b/>
          <w:i w:val="false"/>
          <w:caps w:val="false"/>
          <w:smallCaps w:val="false"/>
          <w:sz w:val="20"/>
        </w:rPr>
        <w:t xml:space="preserve">NOTE 4 - </w:t>
      </w:r>
      <w:bookmarkStart w:id="275" w:name="xdx_823_zY3Q3m3AOl94"/>
      <w:bookmarkEnd w:id="275"/>
      <w:r>
        <w:rPr>
          <w:rFonts w:ascii="Times New Roman;Times;Serif" w:hAnsi="Times New Roman;Times;Serif"/>
          <w:b/>
          <w:i w:val="false"/>
          <w:caps w:val="false"/>
          <w:smallCaps w:val="false"/>
          <w:sz w:val="20"/>
        </w:rPr>
        <w:t xml:space="preserve">SERIES A CONVERTIBLE PREFERRED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7, 2022, the Company issued </w:t>
      </w:r>
      <w:bookmarkStart w:id="276" w:name="xdx_903_ecustom--TemporaryEquityStockIss"/>
      <w:bookmarkEnd w:id="276"/>
      <w:r>
        <w:rPr>
          <w:rFonts w:ascii="Times New Roman;Times;Serif" w:hAnsi="Times New Roman;Times;Serif"/>
          <w:b w:val="false"/>
          <w:i w:val="false"/>
          <w:caps w:val="false"/>
          <w:smallCaps w:val="false"/>
          <w:sz w:val="20"/>
        </w:rPr>
        <w:t>0.3 million shares of Preferred Stock for $</w:t>
      </w:r>
      <w:bookmarkStart w:id="277" w:name="xdx_901_eus-gaap--SharesIssuedPricePerSh"/>
      <w:bookmarkEnd w:id="277"/>
      <w:r>
        <w:rPr>
          <w:rFonts w:ascii="Times New Roman;Times;Serif" w:hAnsi="Times New Roman;Times;Serif"/>
          <w:b w:val="false"/>
          <w:i w:val="false"/>
          <w:caps w:val="false"/>
          <w:smallCaps w:val="false"/>
          <w:sz w:val="20"/>
        </w:rPr>
        <w:t>100 per share to Foxconn, resulting in gross proceeds of $</w:t>
      </w:r>
      <w:bookmarkStart w:id="278" w:name="xdx_900_eus-gaap--ProceedsFromIssuanceOf"/>
      <w:bookmarkEnd w:id="278"/>
      <w:r>
        <w:rPr>
          <w:rFonts w:ascii="Times New Roman;Times;Serif" w:hAnsi="Times New Roman;Times;Serif"/>
          <w:b w:val="false"/>
          <w:i w:val="false"/>
          <w:caps w:val="false"/>
          <w:smallCaps w:val="false"/>
          <w:sz w:val="20"/>
        </w:rPr>
        <w:t>30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addition, following the parties’ agreement to the EV Program (as defined in the Investment Agreement) budget and the EV Program milestones and satisfaction of those EV Program milestones and other conditions set forth in the Investment Agreement, Foxconn was to purchase in two tranches, a total of </w:t>
      </w:r>
      <w:bookmarkStart w:id="279" w:name="xdx_908_ecustom--TemporaryEquityStockIss"/>
      <w:bookmarkEnd w:id="279"/>
      <w:r>
        <w:rPr>
          <w:rFonts w:ascii="Times New Roman;Times;Serif" w:hAnsi="Times New Roman;Times;Serif"/>
          <w:b w:val="false"/>
          <w:i w:val="false"/>
          <w:caps w:val="false"/>
          <w:smallCaps w:val="false"/>
          <w:sz w:val="20"/>
        </w:rPr>
        <w:t>0.7 million additional shares of Preferred Stock at a purchase price of $</w:t>
      </w:r>
      <w:bookmarkStart w:id="280" w:name="xdx_901_eus-gaap--SharesIssuedPricePerSh"/>
      <w:bookmarkEnd w:id="280"/>
      <w:r>
        <w:rPr>
          <w:rFonts w:ascii="Times New Roman;Times;Serif" w:hAnsi="Times New Roman;Times;Serif"/>
          <w:b w:val="false"/>
          <w:i w:val="false"/>
          <w:caps w:val="false"/>
          <w:smallCaps w:val="false"/>
          <w:sz w:val="20"/>
        </w:rPr>
        <w:t>100 per share for aggregate proceeds of $</w:t>
      </w:r>
      <w:bookmarkStart w:id="281" w:name="xdx_90A_eus-gaap--ProceedsFromIssuanceOf"/>
      <w:bookmarkEnd w:id="281"/>
      <w:r>
        <w:rPr>
          <w:rFonts w:ascii="Times New Roman;Times;Serif" w:hAnsi="Times New Roman;Times;Serif"/>
          <w:b w:val="false"/>
          <w:i w:val="false"/>
          <w:caps w:val="false"/>
          <w:smallCaps w:val="false"/>
          <w:sz w:val="20"/>
        </w:rPr>
        <w:t xml:space="preserve">70 million. The first tranche was to be in an amount equal to </w:t>
      </w:r>
      <w:bookmarkStart w:id="282" w:name="xdx_90A_ecustom--TemporaryEquityStockIss"/>
      <w:bookmarkEnd w:id="282"/>
      <w:r>
        <w:rPr>
          <w:rFonts w:ascii="Times New Roman;Times;Serif" w:hAnsi="Times New Roman;Times;Serif"/>
          <w:b w:val="false"/>
          <w:i w:val="false"/>
          <w:caps w:val="false"/>
          <w:smallCaps w:val="false"/>
          <w:sz w:val="20"/>
        </w:rPr>
        <w:t>0.3 million shares for an aggregate purchase price of $</w:t>
      </w:r>
      <w:bookmarkStart w:id="283" w:name="xdx_907_eus-gaap--ProceedsFromIssuanceOf"/>
      <w:bookmarkEnd w:id="283"/>
      <w:r>
        <w:rPr>
          <w:rFonts w:ascii="Times New Roman;Times;Serif" w:hAnsi="Times New Roman;Times;Serif"/>
          <w:b w:val="false"/>
          <w:i w:val="false"/>
          <w:caps w:val="false"/>
          <w:smallCaps w:val="false"/>
          <w:sz w:val="20"/>
        </w:rPr>
        <w:t xml:space="preserve">30 million; the second tranche was to be in an amount equal to </w:t>
      </w:r>
      <w:bookmarkStart w:id="284" w:name="xdx_906_ecustom--TemporaryEquityStockIss"/>
      <w:bookmarkEnd w:id="284"/>
      <w:r>
        <w:rPr>
          <w:rFonts w:ascii="Times New Roman;Times;Serif" w:hAnsi="Times New Roman;Times;Serif"/>
          <w:b w:val="false"/>
          <w:i w:val="false"/>
          <w:caps w:val="false"/>
          <w:smallCaps w:val="false"/>
          <w:sz w:val="20"/>
        </w:rPr>
        <w:t>0.4 million shares for an aggregate purchase price of $</w:t>
      </w:r>
      <w:bookmarkStart w:id="285" w:name="xdx_902_eus-gaap--ProceedsFromIssuanceOf"/>
      <w:bookmarkEnd w:id="285"/>
      <w:r>
        <w:rPr>
          <w:rFonts w:ascii="Times New Roman;Times;Serif" w:hAnsi="Times New Roman;Times;Serif"/>
          <w:b w:val="false"/>
          <w:i w:val="false"/>
          <w:caps w:val="false"/>
          <w:smallCaps w:val="false"/>
          <w:sz w:val="20"/>
        </w:rPr>
        <w:t>40 million. The parties agreed to use commercially reasonable efforts to agree upon the EV Program budget and EV Program milestones no later than May 7,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completion of the Subsequent Preferred Funding would have provided critical liquidity for the Company’s operations. Since April 21, 2023, Foxconn has disputed its obligations under the Investment Agreement to consummate the Subsequent Common Closing and to use necessary efforts to agree upon the EV Program budget and EV Program milestones to facilitate the Subsequent Preferred Funding (each as defined in the Investment Agreement). Foxconn initially asserted that the Company was in breach of the Investment Agreement due to the Company’s previously disclosed receipt of the Nasdaq Notice regarding the Bid Price Requirement. As previously disclosed, Foxconn purported to terminate the Investment Agreement if that purported breach was not cured within 30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continues to believe that the breach allegations by Foxconn are without merit, and that Foxconn was obligated to complete the Subsequent Common Closing on or before May 8, 2023. Despite the Company taking action to satisfy the Bid Price Requirement as of June 7, 2023, and discussions between the parties to seek a resolution regarding the Investment Agreement, Foxconn did not proceed with the Subsequent Common Closing or any Subsequent Preferred Funding. As a result of Foxconn’s actions, the Company was deprived of critical funding necessary for its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filed its Chapter 11 Cases and on that same date the Company commenced the Foxconn Litigation in the Bankruptcy Court seeking relief for fraudulent and tortious conduct as well as breaches of the Investment Agreement and other agreements, the parties’ joint venture agreement, the Foxconn APA, and the CMA that the Company believes were committed by Foxconn. As set forth in the complaint relating to the adversary proceeding, Foxconn’s actions have caused substantial harm to the Company’s operations and prospects and significant damages. See Note 7 – Commitments and Contingencies for additional information. The Foxconn Litigation is Adversary Case No. 23-50414. The descriptions herein with respect to the Preferred Stock and any rights thereunder do not account for the potential effects of the Chapter 11 Cases or the Foxconn Litigation on the Preferred Stock or any rights thereunder. The Company reserves all claims, defenses, and rights with respect to the Chapter 11 Cases, the Foxconn Litigation, the Preferred Stock, and any treatment of Preferred Stock or other interests held by Foxconn or any other party and the descriptions below do not account for the impact of any relief should it be granted.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Preferred Stock, with respect to dividend rights, rights on the distribution of assets on any liquidation, dissolution or winding up of the affairs of the Company and redemption rights, ranks: (a) on a parity basis with each other class or series of any equity interests (“Capital Stock”) of the Company now or hereafter existing, the terms of which expressly provide that such class or series ranks on a parity basis with the Preferred Stock as to such matters (such Capital Stock, “Parity Stock”); (b) junior to each other class or series of Capital Stock of the Company now or hereafter existing, the terms of which expressly provide that such class or series ranks senior to the Preferred Stock as to such matters (such Capital Stock, “Senior Stock”); and (c) senior to the Class A common stock and each other class or series of Capital Stock of the Company now or hereafter existing, the terms of which do not expressly provide that such class or series ranks on a parity basis with, or senior to, the Preferred Stock as to such matters (such Capital Stock, “Junior Stock”). While Foxconn’s beneficial ownership of our Class A common stock meets the </w:t>
      </w:r>
      <w:bookmarkStart w:id="286" w:name="xdx_908_ecustom--BeneficialOwnershipPerc"/>
      <w:bookmarkEnd w:id="286"/>
      <w:r>
        <w:rPr>
          <w:rFonts w:ascii="Times New Roman;Times;Serif" w:hAnsi="Times New Roman;Times;Serif"/>
          <w:b w:val="false"/>
          <w:i w:val="false"/>
          <w:caps w:val="false"/>
          <w:smallCaps w:val="false"/>
          <w:sz w:val="20"/>
        </w:rPr>
        <w:t>25% Ownership Requirement (defined below), Parity Stock and Senior Stock can only be issued with Foxconn’s consent.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Lordstown Motors Corp.</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 provides that, in the event of any liquidation, dissolution or winding up of the affairs of the Company, the holders of Preferred Stock are entitled, out of assets legally available therefor, before any distribution or payment to the holders of any Junior Stock, and subject to the rights of the holders of any Senior Stock or Parity Stock and the rights of the Company’s existing and future creditors, to receive in full a liquidating distribution in cash and in the amount per share of Preferred Stock equal to the greater of (1) the sum of $</w:t>
      </w:r>
      <w:bookmarkStart w:id="287" w:name="xdx_909_eus-gaap--PreferredStockLiquidat"/>
      <w:bookmarkEnd w:id="287"/>
      <w:r>
        <w:rPr>
          <w:rFonts w:ascii="Times New Roman;Times;Serif" w:hAnsi="Times New Roman;Times;Serif"/>
          <w:b w:val="false"/>
          <w:i w:val="false"/>
          <w:caps w:val="false"/>
          <w:smallCaps w:val="false"/>
          <w:sz w:val="20"/>
        </w:rPr>
        <w:t>100 per share plus the accrued unpaid dividends with respect to such share, and (2) the amount the holder would have received had it converted such share into Class A common stock immediately prior to the date of such event.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holders of shares of Preferred Stock are entitled to vote with the holders of Class A common stock on all matters submitted to a vote of stockholders of the Company as a single class with each share of Preferred Stock entitled to a number of votes equal to the number of shares of Class A common stock into which such share could then be converted; provided, that no holder of shares of Preferred Stock will be entitled to vote to the extent that such holder would have the right to a number of votes in respect of such holder’s shares of Class A common stock, Preferred Stock or other capital stock that would exceed the limitations set forth in clauses (i) and (ii) of the definition of Ownership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Designation provides that, commencing on November 7, 2023 (the “Conversion Right Date”), and subject to the Ownership Limitations, the Preferred Stock became convertible at the option of the holder into a number of shares of Class A common stock obtained by dividing the sum of the liquidation preference (i.e., $</w:t>
      </w:r>
      <w:bookmarkStart w:id="288" w:name="xdx_908_eus-gaap--TemporaryEquityLiquida"/>
      <w:bookmarkEnd w:id="288"/>
      <w:r>
        <w:rPr>
          <w:rFonts w:ascii="Times New Roman;Times;Serif" w:hAnsi="Times New Roman;Times;Serif"/>
          <w:b w:val="false"/>
          <w:i w:val="false"/>
          <w:caps w:val="false"/>
          <w:smallCaps w:val="false"/>
          <w:sz w:val="20"/>
        </w:rPr>
        <w:t>100 per share) and all accrued but unpaid dividends with respect to such share as of the applicable conversion date by the conversion price as of the applicable conversion date. The conversion price currently is $</w:t>
      </w:r>
      <w:bookmarkStart w:id="289" w:name="xdx_904_ecustom--TemporaryEquityConversi"/>
      <w:bookmarkEnd w:id="289"/>
      <w:r>
        <w:rPr>
          <w:rFonts w:ascii="Times New Roman;Times;Serif" w:hAnsi="Times New Roman;Times;Serif"/>
          <w:b w:val="false"/>
          <w:i w:val="false"/>
          <w:caps w:val="false"/>
          <w:smallCaps w:val="false"/>
          <w:sz w:val="20"/>
        </w:rPr>
        <w:t xml:space="preserve">29.04 per share and it is subject to customary adjustments. At any time following the third anniversary of the date of issuance, the Company can cause the Preferred Stock to be converted if the volume-weighted average price of the Class A common stock exceeds </w:t>
      </w:r>
      <w:bookmarkStart w:id="290" w:name="xdx_900_ecustom--PreferredStockConvertib"/>
      <w:bookmarkEnd w:id="290"/>
      <w:r>
        <w:rPr>
          <w:rFonts w:ascii="Times New Roman;Times;Serif" w:hAnsi="Times New Roman;Times;Serif"/>
          <w:b w:val="false"/>
          <w:i w:val="false"/>
          <w:caps w:val="false"/>
          <w:smallCaps w:val="false"/>
          <w:sz w:val="20"/>
        </w:rPr>
        <w:t>200% of the Conversion Price for a period of at least twenty trading days in any period of thirty consecutive trading days. Foxconn’s ability to convert is limited by clauses (i) and (ii) of the definition of the Ownership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change of control (as defined in the Certificate of Designation, Preferences and Rights of the Series A Convertible Preferred Stock filed by the Company with the Secretary of State of the State of Delaware (the “Certificate of Designations”)), Foxconn can cause the Company to purchase any or all of its Preferred Stock at a purchase price equal to the greater of its liquidation preference (including any unpaid accrued dividends) and the amount of cash and other property that it would have received had it converted its Preferred Stock prior to the change of control transaction (the “Change of Control Put”).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the Company’s Preferred Stock do not specify an unconditional obligation of the Company to redeem the Preferred Stock on a specific or determinable date, or upon an event certain to occur. The Company notes the existence of the Change of Control Put. However, the ability to execute this put right is contingent on the occurrence of the change of control event, which is not a known or determinable event at time of issuance. Therefore, the Preferred Stock is not considered to be mandatorily redeemable. The conversion of the Preferred Stock is based on fixed conversion price rather than a fixed conversion amount. The value of the Preferred Stock obligation would not vary based on something other than the fair value of the Company’s equity shares or change inversely in relation to the fair value of the Company’s equity shares. Based on these factors, Preferred Stock does not require classification as a liability in accordance with the provisions in ASC 480 “Distinguishing Liabilities from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Preferred Stock is not redeemable at a fixed or determinable date or at the option of the holder. However, the Preferred Stock does include the Change of Control Put, which could allow the holder to redeem the Preferred Stock upon the occurrence of an event. As the Company cannot assert control over any potential event which would qualify as a change of control, the event is not considered to be solely within the control of the issuer, and would require classification in temporary equity (as per ASC 480-10-S99-3A(4)). Accordingly, the Preferred Stock is classified as temporary equity and is separated from permanent equity on the Company’s Balance Sheet.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b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believes that the transaction price associated with the sale of the Preferred Stock to Foxconn was representative of fair value and serves as the basis for initial measurement. The Preferred Stock issued by the Company accrues dividends at the rate of </w:t>
      </w:r>
      <w:bookmarkStart w:id="291" w:name="xdx_90E_eus-gaap--PreferredStockDividend"/>
      <w:bookmarkEnd w:id="291"/>
      <w:r>
        <w:rPr>
          <w:rFonts w:ascii="Times New Roman;Times;Serif" w:hAnsi="Times New Roman;Times;Serif"/>
          <w:b w:val="false"/>
          <w:i w:val="false"/>
          <w:caps w:val="false"/>
          <w:smallCaps w:val="false"/>
          <w:sz w:val="20"/>
        </w:rPr>
        <w:t>8% per annum whether or not declared and/or paid by the Company (cumulative dividends). In addition, the dividends will compound on a quarterly basis (upon each Preferred Dividend Payment Date (as defined in the Certificate of Designations)) to the extent they are not paid by the Company. The Company records the dividends (effective PIK dividends) as they are earned, based on the carrying value of the Preferred Stock at the date they are earned. In addition, the holders of the Preferred Stock participate with any dividends payable in respect of any Junior Stock or Parity Stock. The Company accrued $</w:t>
      </w:r>
      <w:bookmarkStart w:id="292" w:name="xdx_908_eus-gaap--TemporaryEquityAccreti"/>
      <w:bookmarkEnd w:id="292"/>
      <w:r>
        <w:rPr>
          <w:rFonts w:ascii="Times New Roman;Times;Serif" w:hAnsi="Times New Roman;Times;Serif"/>
          <w:b w:val="false"/>
          <w:i w:val="false"/>
          <w:caps w:val="false"/>
          <w:smallCaps w:val="false"/>
          <w:sz w:val="20"/>
        </w:rPr>
        <w:t>0.7 million and $</w:t>
      </w:r>
      <w:bookmarkStart w:id="293" w:name="xdx_90A_eus-gaap--TemporaryEquityAccreti"/>
      <w:bookmarkEnd w:id="293"/>
      <w:r>
        <w:rPr>
          <w:rFonts w:ascii="Times New Roman;Times;Serif" w:hAnsi="Times New Roman;Times;Serif"/>
          <w:b w:val="false"/>
          <w:i w:val="false"/>
          <w:caps w:val="false"/>
          <w:smallCaps w:val="false"/>
          <w:sz w:val="20"/>
        </w:rPr>
        <w:t>0.7 million in dividends during the three months ended March 31, 2025 and 2024, respectively, and had accrued $</w:t>
      </w:r>
      <w:bookmarkStart w:id="294" w:name="xdx_902_eus-gaap--PreferredStockValue_iI"/>
      <w:bookmarkEnd w:id="294"/>
      <w:r>
        <w:rPr>
          <w:rFonts w:ascii="Times New Roman;Times;Serif" w:hAnsi="Times New Roman;Times;Serif"/>
          <w:b w:val="false"/>
          <w:i w:val="false"/>
          <w:caps w:val="false"/>
          <w:smallCaps w:val="false"/>
          <w:sz w:val="20"/>
        </w:rPr>
        <w:t>6.2 million and $</w:t>
      </w:r>
      <w:bookmarkStart w:id="295" w:name="xdx_909_eus-gaap--PreferredStockValue_iI"/>
      <w:bookmarkEnd w:id="295"/>
      <w:r>
        <w:rPr>
          <w:rFonts w:ascii="Times New Roman;Times;Serif" w:hAnsi="Times New Roman;Times;Serif"/>
          <w:b w:val="false"/>
          <w:i w:val="false"/>
          <w:caps w:val="false"/>
          <w:smallCaps w:val="false"/>
          <w:sz w:val="20"/>
        </w:rPr>
        <w:t>5.5 million in aggregate dividends as of March 31, 2025 and December 31, 2024, respectively, with a corresponding adjustment to additional-paid-in-capital common stock in the absence of retained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emergence from bankruptcy, and as of the date of this report, the Preferred Stock remains outstanding and unimpaired. Upon a change of control (as defined in the Certificate of Designation, Preferences and Rights of the Series A Convertible Preferred Stock filed by the Company with the Secretary of State of the State of Delaware), Foxconn can cause the Company to purchase any or all of its Preferred Stock at a purchase price equal to the greater of its $</w:t>
      </w:r>
      <w:bookmarkStart w:id="296" w:name="xdx_90B_eus-gaap--TemporaryEquityLiquida"/>
      <w:bookmarkEnd w:id="296"/>
      <w:r>
        <w:rPr>
          <w:rFonts w:ascii="Times New Roman;Times;Serif" w:hAnsi="Times New Roman;Times;Serif"/>
          <w:b w:val="false"/>
          <w:i w:val="false"/>
          <w:caps w:val="false"/>
          <w:smallCaps w:val="false"/>
          <w:sz w:val="20"/>
        </w:rPr>
        <w:t>30.0 million liquidation preference, plus any unpaid accrued dividends, and the amount of cash and other property that it would have received had it converted its Preferred Stock prior to the change of control transaction (the “Change of Control Put”). The liquidation preference, plus accrued dividends is presented as Mezzanine Equity within the Company’s condensed consolidated balance sheets. As of March 31, 2025 and December 31, 2024, the Company did not consider a change of control to be probable, however the Company notes that there is significant uncertainty regarding the outcome of the Foxconn Litigation which may impact the foregoing, and the Company can provide no assurance regarding such determination.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7" w:name="xdx_80F_eus-gaap--EarningsPerShareTextBl"/>
      <w:bookmarkEnd w:id="297"/>
      <w:r>
        <w:rPr>
          <w:rFonts w:ascii="Times New Roman;Times;Serif" w:hAnsi="Times New Roman;Times;Serif"/>
          <w:b/>
          <w:i w:val="false"/>
          <w:caps w:val="false"/>
          <w:smallCaps w:val="false"/>
          <w:sz w:val="20"/>
        </w:rPr>
        <w:t xml:space="preserve">NOTE 5 - </w:t>
      </w:r>
      <w:bookmarkStart w:id="298" w:name="xdx_82F_z1H3jpobh4yl"/>
      <w:bookmarkEnd w:id="298"/>
      <w:r>
        <w:rPr>
          <w:rFonts w:ascii="Times New Roman;Times;Serif" w:hAnsi="Times New Roman;Times;Serif"/>
          <w:b/>
          <w:i w:val="false"/>
          <w:caps w:val="false"/>
          <w:smallCaps w:val="false"/>
          <w:sz w:val="20"/>
        </w:rPr>
        <w:t>CAPITAL STOCK AND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authorized shares of capital stock totaling </w:t>
      </w:r>
      <w:bookmarkStart w:id="299" w:name="xdx_903_ecustom--SharesAuthorizedCommonA"/>
      <w:bookmarkEnd w:id="299"/>
      <w:r>
        <w:rPr>
          <w:rFonts w:ascii="Times New Roman;Times;Serif" w:hAnsi="Times New Roman;Times;Serif"/>
          <w:b w:val="false"/>
          <w:i w:val="false"/>
          <w:caps w:val="false"/>
          <w:smallCaps w:val="false"/>
          <w:sz w:val="20"/>
        </w:rPr>
        <w:t xml:space="preserve">462 million shares, consisting of (i) </w:t>
      </w:r>
      <w:bookmarkStart w:id="300" w:name="xdx_90B_eus-gaap--CommonStockSharesAutho"/>
      <w:bookmarkEnd w:id="300"/>
      <w:r>
        <w:rPr>
          <w:rFonts w:ascii="Times New Roman;Times;Serif" w:hAnsi="Times New Roman;Times;Serif"/>
          <w:b w:val="false"/>
          <w:i w:val="false"/>
          <w:caps w:val="false"/>
          <w:smallCaps w:val="false"/>
          <w:sz w:val="20"/>
        </w:rPr>
        <w:t xml:space="preserve">450 million shares of Class A common stock and (ii) </w:t>
      </w:r>
      <w:bookmarkStart w:id="301" w:name="xdx_908_eus-gaap--TemporaryEquitySharesA"/>
      <w:bookmarkEnd w:id="301"/>
      <w:r>
        <w:rPr>
          <w:rFonts w:ascii="Times New Roman;Times;Serif" w:hAnsi="Times New Roman;Times;Serif"/>
          <w:b w:val="false"/>
          <w:i w:val="false"/>
          <w:caps w:val="false"/>
          <w:smallCaps w:val="false"/>
          <w:sz w:val="20"/>
        </w:rPr>
        <w:t>12 million shares of preferred stock, each with a par value of $</w:t>
      </w:r>
      <w:bookmarkStart w:id="302" w:name="xdx_906_eus-gaap--TemporaryEquityParOrSt"/>
      <w:bookmarkStart w:id="303" w:name="xdx_900_eus-gaap--CommonStockParOrStated"/>
      <w:bookmarkEnd w:id="302"/>
      <w:bookmarkEnd w:id="303"/>
      <w:r>
        <w:rPr>
          <w:rFonts w:ascii="Times New Roman;Times;Serif" w:hAnsi="Times New Roman;Times;Serif"/>
          <w:b w:val="false"/>
          <w:i w:val="false"/>
          <w:caps w:val="false"/>
          <w:smallCaps w:val="false"/>
          <w:sz w:val="20"/>
        </w:rPr>
        <w:t>0.0001.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 the 2023 Annual Meeting, the stockholders of the Company approved a proposal to amend the Charter to effect a reverse split of the Company’s outstanding shares of Class A common stock at a ratio within a range of between </w:t>
      </w:r>
      <w:bookmarkStart w:id="304" w:name="xdx_902_eus-gaap--StockholdersEquityReve"/>
      <w:bookmarkEnd w:id="304"/>
      <w:r>
        <w:rPr>
          <w:rFonts w:ascii="Times New Roman;Times;Serif" w:hAnsi="Times New Roman;Times;Serif"/>
          <w:b w:val="false"/>
          <w:i w:val="false"/>
          <w:caps w:val="false"/>
          <w:smallCaps w:val="false"/>
          <w:sz w:val="20"/>
        </w:rPr>
        <w:t xml:space="preserve">1:3 and 1:15, with the timing and the exact ratio of the reverse split to be determined by the Board in its sole discretion. The Board authorized the </w:t>
      </w:r>
      <w:bookmarkStart w:id="305" w:name="xdx_90B_eus-gaap--StockholdersEquityReve"/>
      <w:bookmarkEnd w:id="305"/>
      <w:r>
        <w:rPr>
          <w:rFonts w:ascii="Times New Roman;Times;Serif" w:hAnsi="Times New Roman;Times;Serif"/>
          <w:b w:val="false"/>
          <w:i w:val="false"/>
          <w:caps w:val="false"/>
          <w:smallCaps w:val="false"/>
          <w:sz w:val="20"/>
        </w:rPr>
        <w:t>Reverse Stock Split at a 1:15 ratio, which became effective as of May 24, 2023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filed an Amendment to the Charter on May 22, 2023, which provided that, at the Effective Date, </w:t>
      </w:r>
      <w:bookmarkStart w:id="306" w:name="xdx_901_eus-gaap--StockholdersEquityReve"/>
      <w:bookmarkEnd w:id="306"/>
      <w:r>
        <w:rPr>
          <w:rFonts w:ascii="Times New Roman;Times;Serif" w:hAnsi="Times New Roman;Times;Serif"/>
          <w:b w:val="false"/>
          <w:i w:val="false"/>
          <w:caps w:val="false"/>
          <w:smallCaps w:val="false"/>
          <w:sz w:val="20"/>
        </w:rPr>
        <w:t>every 15 shares of the issued and outstanding Class A common stock would automatically be combined into one issued and outstanding share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ASC 260, </w:t>
      </w:r>
      <w:r>
        <w:rPr>
          <w:rFonts w:ascii="Times New Roman;Times;Serif" w:hAnsi="Times New Roman;Times;Serif"/>
          <w:b w:val="false"/>
          <w:i/>
          <w:caps w:val="false"/>
          <w:smallCaps w:val="false"/>
          <w:sz w:val="20"/>
        </w:rPr>
        <w:t>Earnings Per Share</w:t>
      </w:r>
      <w:r>
        <w:rPr>
          <w:rFonts w:ascii="Times New Roman;Times;Serif" w:hAnsi="Times New Roman;Times;Serif"/>
          <w:b w:val="false"/>
          <w:i w:val="false"/>
          <w:caps w:val="false"/>
          <w:smallCaps w:val="false"/>
          <w:sz w:val="20"/>
        </w:rPr>
        <w:t>, requires the presentation of basic and diluted earnings per share (“EPS”). Basic EPS is calculated based on the weighted average number of shares outstanding during the period. Dilutive EPS is calculated to include any dilutive effect of our share equivalents.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b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7" w:name="xdx_899_eus-gaap--ScheduleOfAntidilutive"/>
      <w:bookmarkEnd w:id="307"/>
      <w:r>
        <w:rPr>
          <w:rFonts w:ascii="Times New Roman;Times;Serif" w:hAnsi="Times New Roman;Times;Serif"/>
          <w:b w:val="false"/>
          <w:i w:val="false"/>
          <w:caps w:val="false"/>
          <w:smallCaps w:val="false"/>
          <w:sz w:val="20"/>
        </w:rPr>
        <w:t>The following outstanding potentially dilutive common stock equivalents have been excluded from the computation of diluted net loss per share attributable to common shareholders for the three months ended March 31, 2025 and 2024, respectively, due to their anti-dilutive effect (in thousands):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08" w:name="xdx_8B9_zllKRkCDRqV9"/>
      <w:bookmarkEnd w:id="308"/>
      <w:r>
        <w:rPr>
          <w:rFonts w:ascii="Times New Roman;Times;Serif" w:hAnsi="Times New Roman;Times;Serif"/>
          <w:b w:val="false"/>
          <w:i w:val="false"/>
          <w:caps w:val="false"/>
          <w:smallCaps w:val="false"/>
          <w:sz w:val="20"/>
        </w:rPr>
        <w:t>SCHEDULE OF OUTSTANDING POTENTIALLY DILUTIVE COMMON STOCK EQUIVALENTS</w:t>
      </w:r>
    </w:p>
    <w:tbl>
      <w:tblPr>
        <w:tblW w:w="8878" w:type="dxa"/>
        <w:jc w:val="left"/>
        <w:tblInd w:w="0" w:type="dxa"/>
        <w:tblLayout w:type="fixed"/>
        <w:tblCellMar>
          <w:top w:w="0" w:type="dxa"/>
          <w:left w:w="0" w:type="dxa"/>
          <w:bottom w:w="0" w:type="dxa"/>
          <w:right w:w="0" w:type="dxa"/>
        </w:tblCellMar>
      </w:tblPr>
      <w:tblGrid>
        <w:gridCol w:w="2405"/>
        <w:gridCol w:w="60"/>
        <w:gridCol w:w="298"/>
        <w:gridCol w:w="2811"/>
        <w:gridCol w:w="60"/>
        <w:gridCol w:w="60"/>
        <w:gridCol w:w="298"/>
        <w:gridCol w:w="2811"/>
        <w:gridCol w:w="75"/>
      </w:tblGrid>
      <w:tr>
        <w:trPr/>
        <w:tc>
          <w:tcPr>
            <w:tcW w:w="24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2024</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05" w:type="dxa"/>
            <w:tcBorders/>
            <w:shd w:fill="CCEEFF" w:val="clear"/>
            <w:vAlign w:val="center"/>
          </w:tcPr>
          <w:p>
            <w:pPr>
              <w:pStyle w:val="TableContents"/>
              <w:bidi w:val="0"/>
              <w:spacing w:before="0" w:after="283"/>
              <w:jc w:val="left"/>
              <w:rPr/>
            </w:pPr>
            <w:r>
              <w:rPr/>
              <w:t>Foxconn Preferred Stock</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bookmarkStart w:id="309" w:name="xdx_98E_eus-gaap--AntidilutiveSecurities"/>
            <w:bookmarkEnd w:id="309"/>
          </w:p>
        </w:tc>
        <w:tc>
          <w:tcPr>
            <w:tcW w:w="2811" w:type="dxa"/>
            <w:tcBorders/>
            <w:shd w:fill="CCEEFF" w:val="clear"/>
            <w:vAlign w:val="center"/>
          </w:tcPr>
          <w:p>
            <w:pPr>
              <w:pStyle w:val="TableContents"/>
              <w:bidi w:val="0"/>
              <w:spacing w:before="0" w:after="283"/>
              <w:jc w:val="right"/>
              <w:rPr/>
            </w:pPr>
            <w:r>
              <w:rPr/>
              <w:t>1,245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bookmarkStart w:id="310" w:name="xdx_987_eus-gaap--AntidilutiveSecurities"/>
            <w:bookmarkEnd w:id="310"/>
          </w:p>
        </w:tc>
        <w:tc>
          <w:tcPr>
            <w:tcW w:w="2811" w:type="dxa"/>
            <w:tcBorders/>
            <w:shd w:fill="CCEEFF" w:val="clear"/>
            <w:vAlign w:val="center"/>
          </w:tcPr>
          <w:p>
            <w:pPr>
              <w:pStyle w:val="TableContents"/>
              <w:bidi w:val="0"/>
              <w:spacing w:before="0" w:after="283"/>
              <w:jc w:val="right"/>
              <w:rPr/>
            </w:pPr>
            <w:r>
              <w:rPr/>
              <w:t>1,150</w:t>
            </w:r>
          </w:p>
        </w:tc>
        <w:tc>
          <w:tcPr>
            <w:tcW w:w="75"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Foxconn Warrants</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bookmarkStart w:id="311" w:name="xdx_98D_eus-gaap--AntidilutiveSecurities"/>
            <w:bookmarkEnd w:id="311"/>
          </w:p>
        </w:tc>
        <w:tc>
          <w:tcPr>
            <w:tcW w:w="2811" w:type="dxa"/>
            <w:tcBorders/>
            <w:shd w:fill="FFFFFF" w:val="clear"/>
            <w:vAlign w:val="center"/>
          </w:tcPr>
          <w:p>
            <w:pPr>
              <w:pStyle w:val="TableContents"/>
              <w:bidi w:val="0"/>
              <w:spacing w:before="0" w:after="283"/>
              <w:jc w:val="right"/>
              <w:rPr/>
            </w:pPr>
            <w:r>
              <w:rPr/>
              <w:t>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bookmarkStart w:id="312" w:name="xdx_983_eus-gaap--AntidilutiveSecurities"/>
            <w:bookmarkEnd w:id="312"/>
          </w:p>
        </w:tc>
        <w:tc>
          <w:tcPr>
            <w:tcW w:w="2811" w:type="dxa"/>
            <w:tcBorders/>
            <w:shd w:fill="FFFFFF" w:val="clear"/>
            <w:vAlign w:val="center"/>
          </w:tcPr>
          <w:p>
            <w:pPr>
              <w:pStyle w:val="TableContents"/>
              <w:bidi w:val="0"/>
              <w:spacing w:before="0" w:after="283"/>
              <w:jc w:val="right"/>
              <w:rPr/>
            </w:pPr>
            <w:r>
              <w:rPr/>
              <w:t>113</w:t>
            </w:r>
          </w:p>
        </w:tc>
        <w:tc>
          <w:tcPr>
            <w:tcW w:w="75"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Private Placement Warrants</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13" w:name="xdx_986_eus-gaap--AntidilutiveSecurities"/>
            <w:bookmarkEnd w:id="313"/>
          </w:p>
        </w:tc>
        <w:tc>
          <w:tcPr>
            <w:tcW w:w="2811" w:type="dxa"/>
            <w:tcBorders>
              <w:bottom w:val="single" w:sz="8" w:space="0" w:color="000000"/>
            </w:tcBorders>
            <w:shd w:fill="CCEEFF" w:val="clear"/>
            <w:tcMar>
              <w:bottom w:w="28" w:type="dxa"/>
            </w:tcMar>
            <w:vAlign w:val="center"/>
          </w:tcPr>
          <w:p>
            <w:pPr>
              <w:pStyle w:val="TableContents"/>
              <w:bidi w:val="0"/>
              <w:spacing w:before="0" w:after="283"/>
              <w:jc w:val="right"/>
              <w:rPr/>
            </w:pPr>
            <w:r>
              <w:rPr/>
              <w:t>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14" w:name="xdx_987_eus-gaap--AntidilutiveSecurities"/>
            <w:bookmarkEnd w:id="314"/>
          </w:p>
        </w:tc>
        <w:tc>
          <w:tcPr>
            <w:tcW w:w="2811" w:type="dxa"/>
            <w:tcBorders>
              <w:bottom w:val="single" w:sz="8" w:space="0" w:color="000000"/>
            </w:tcBorders>
            <w:shd w:fill="CCEEFF" w:val="clear"/>
            <w:tcMar>
              <w:bottom w:w="28" w:type="dxa"/>
            </w:tcMar>
            <w:vAlign w:val="center"/>
          </w:tcPr>
          <w:p>
            <w:pPr>
              <w:pStyle w:val="TableContents"/>
              <w:bidi w:val="0"/>
              <w:spacing w:before="0" w:after="283"/>
              <w:jc w:val="right"/>
              <w:rPr/>
            </w:pPr>
            <w:r>
              <w:rPr/>
              <w:t>154</w:t>
            </w:r>
          </w:p>
        </w:tc>
        <w:tc>
          <w:tcPr>
            <w:tcW w:w="75"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15" w:name="xdx_980_eus-gaap--AntidilutiveSecurities"/>
            <w:bookmarkEnd w:id="315"/>
          </w:p>
        </w:tc>
        <w:tc>
          <w:tcPr>
            <w:tcW w:w="2811" w:type="dxa"/>
            <w:tcBorders>
              <w:bottom w:val="double" w:sz="6" w:space="0" w:color="000000"/>
            </w:tcBorders>
            <w:shd w:fill="FFFFFF" w:val="clear"/>
            <w:tcMar>
              <w:bottom w:w="28" w:type="dxa"/>
            </w:tcMar>
            <w:vAlign w:val="center"/>
          </w:tcPr>
          <w:p>
            <w:pPr>
              <w:pStyle w:val="TableContents"/>
              <w:bidi w:val="0"/>
              <w:spacing w:before="0" w:after="283"/>
              <w:jc w:val="right"/>
              <w:rPr/>
            </w:pPr>
            <w:r>
              <w:rPr/>
              <w:t>1,512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16" w:name="xdx_98D_eus-gaap--AntidilutiveSecurities"/>
            <w:bookmarkEnd w:id="316"/>
          </w:p>
        </w:tc>
        <w:tc>
          <w:tcPr>
            <w:tcW w:w="2811" w:type="dxa"/>
            <w:tcBorders>
              <w:bottom w:val="double" w:sz="6" w:space="0" w:color="000000"/>
            </w:tcBorders>
            <w:shd w:fill="FFFFFF" w:val="clear"/>
            <w:tcMar>
              <w:bottom w:w="28" w:type="dxa"/>
            </w:tcMar>
            <w:vAlign w:val="center"/>
          </w:tcPr>
          <w:p>
            <w:pPr>
              <w:pStyle w:val="TableContents"/>
              <w:bidi w:val="0"/>
              <w:spacing w:before="0" w:after="283"/>
              <w:jc w:val="right"/>
              <w:rPr/>
            </w:pPr>
            <w:r>
              <w:rPr/>
              <w:t>1,417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200"/>
        <w:gridCol w:w="3665"/>
      </w:tblGrid>
      <w:tr>
        <w:trPr/>
        <w:tc>
          <w:tcPr>
            <w:tcW w:w="200" w:type="dxa"/>
            <w:tcBorders/>
            <w:vAlign w:val="center"/>
          </w:tcPr>
          <w:p>
            <w:pPr>
              <w:pStyle w:val="TableContents"/>
              <w:bidi w:val="0"/>
              <w:spacing w:before="0" w:after="283"/>
              <w:jc w:val="right"/>
              <w:rPr>
                <w:rFonts w:ascii="Times New Roman;Times;Serif" w:hAnsi="Times New Roman;Times;Serif"/>
                <w:sz w:val="20"/>
              </w:rPr>
            </w:pPr>
            <w:bookmarkStart w:id="317" w:name="xdx_F03_zysxd0w1ULxd"/>
            <w:bookmarkEnd w:id="317"/>
            <w:r>
              <w:rPr>
                <w:rFonts w:ascii="Times New Roman;Times;Serif" w:hAnsi="Times New Roman;Times;Serif"/>
                <w:sz w:val="20"/>
              </w:rPr>
              <w:t>1)</w:t>
            </w:r>
          </w:p>
        </w:tc>
        <w:tc>
          <w:tcPr>
            <w:tcW w:w="3665" w:type="dxa"/>
            <w:tcBorders/>
            <w:vAlign w:val="center"/>
          </w:tcPr>
          <w:p>
            <w:pPr>
              <w:pStyle w:val="TableContents"/>
              <w:bidi w:val="0"/>
              <w:spacing w:before="0" w:after="283"/>
              <w:jc w:val="both"/>
              <w:rPr>
                <w:rFonts w:ascii="Times New Roman;Times;Serif" w:hAnsi="Times New Roman;Times;Serif"/>
                <w:sz w:val="20"/>
              </w:rPr>
            </w:pPr>
            <w:bookmarkStart w:id="318" w:name="xdx_F1E_zijfTs7VGLEg"/>
            <w:bookmarkEnd w:id="318"/>
            <w:r>
              <w:rPr>
                <w:rFonts w:ascii="Times New Roman;Times;Serif" w:hAnsi="Times New Roman;Times;Serif"/>
                <w:sz w:val="20"/>
              </w:rPr>
              <w:t>Foxconn Warrants expired on May 11, 2025.</w:t>
            </w:r>
          </w:p>
        </w:tc>
      </w:tr>
    </w:tbl>
    <w:tbl>
      <w:tblPr>
        <w:tblW w:w="5605" w:type="dxa"/>
        <w:jc w:val="left"/>
        <w:tblInd w:w="0" w:type="dxa"/>
        <w:tblLayout w:type="fixed"/>
        <w:tblCellMar>
          <w:top w:w="0" w:type="dxa"/>
          <w:left w:w="0" w:type="dxa"/>
          <w:bottom w:w="0" w:type="dxa"/>
          <w:right w:w="0" w:type="dxa"/>
        </w:tblCellMar>
      </w:tblPr>
      <w:tblGrid>
        <w:gridCol w:w="200"/>
        <w:gridCol w:w="5405"/>
      </w:tblGrid>
      <w:tr>
        <w:trPr/>
        <w:tc>
          <w:tcPr>
            <w:tcW w:w="200" w:type="dxa"/>
            <w:tcBorders/>
            <w:vAlign w:val="center"/>
          </w:tcPr>
          <w:p>
            <w:pPr>
              <w:pStyle w:val="TableContents"/>
              <w:bidi w:val="0"/>
              <w:spacing w:before="0" w:after="283"/>
              <w:jc w:val="right"/>
              <w:rPr>
                <w:rFonts w:ascii="Times New Roman;Times;Serif" w:hAnsi="Times New Roman;Times;Serif"/>
                <w:sz w:val="20"/>
              </w:rPr>
            </w:pPr>
            <w:bookmarkStart w:id="319" w:name="xdx_F0E_zW380MRKvT2l"/>
            <w:bookmarkEnd w:id="319"/>
            <w:r>
              <w:rPr>
                <w:rFonts w:ascii="Times New Roman;Times;Serif" w:hAnsi="Times New Roman;Times;Serif"/>
                <w:sz w:val="20"/>
              </w:rPr>
              <w:t>2)</w:t>
            </w:r>
          </w:p>
        </w:tc>
        <w:tc>
          <w:tcPr>
            <w:tcW w:w="5405" w:type="dxa"/>
            <w:tcBorders/>
            <w:vAlign w:val="center"/>
          </w:tcPr>
          <w:p>
            <w:pPr>
              <w:pStyle w:val="TableContents"/>
              <w:bidi w:val="0"/>
              <w:spacing w:before="0" w:after="283"/>
              <w:jc w:val="both"/>
              <w:rPr>
                <w:rFonts w:ascii="Times New Roman;Times;Serif" w:hAnsi="Times New Roman;Times;Serif"/>
                <w:sz w:val="20"/>
              </w:rPr>
            </w:pPr>
            <w:bookmarkStart w:id="320" w:name="xdx_F1A_ze7FBx4ZV5Bj"/>
            <w:bookmarkEnd w:id="320"/>
            <w:r>
              <w:rPr>
                <w:rFonts w:ascii="Times New Roman;Times;Serif" w:hAnsi="Times New Roman;Times;Serif"/>
                <w:sz w:val="20"/>
              </w:rPr>
              <w:t>Private Placement Warrants are due to expire on October 23, 2025.</w:t>
            </w:r>
          </w:p>
        </w:tc>
      </w:tr>
    </w:tbl>
    <w:p>
      <w:pPr>
        <w:pStyle w:val="TextBody"/>
        <w:bidi w:val="0"/>
        <w:spacing w:before="0" w:after="0"/>
        <w:ind w:left="0" w:right="0" w:hanging="0"/>
        <w:jc w:val="both"/>
        <w:rPr>
          <w:caps w:val="false"/>
          <w:smallCaps w:val="false"/>
        </w:rPr>
      </w:pPr>
      <w:bookmarkStart w:id="321" w:name="xdx_8A4_zcg31KskgYF2"/>
      <w:bookmarkEnd w:id="321"/>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2" w:name="xdx_802_eus-gaap--DisclosureOfCompensati"/>
      <w:bookmarkEnd w:id="322"/>
      <w:r>
        <w:rPr>
          <w:rFonts w:ascii="Times New Roman;Times;Serif" w:hAnsi="Times New Roman;Times;Serif"/>
          <w:b/>
          <w:i w:val="false"/>
          <w:caps w:val="false"/>
          <w:smallCaps w:val="false"/>
          <w:sz w:val="20"/>
        </w:rPr>
        <w:t xml:space="preserve">NOTE 6 - </w:t>
      </w:r>
      <w:bookmarkStart w:id="323" w:name="xdx_825_zt9r12shybP5"/>
      <w:bookmarkEnd w:id="323"/>
      <w:r>
        <w:rPr>
          <w:rFonts w:ascii="Times New Roman;Times;Serif" w:hAnsi="Times New Roman;Times;Serif"/>
          <w:b/>
          <w:i w:val="false"/>
          <w:caps w:val="false"/>
          <w:smallCaps w:val="false"/>
          <w:sz w:val="20"/>
        </w:rPr>
        <w:t>STOCK 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vesting and settlement of any unvested equity awards was suspended during the pendency of the Chapter 11 Cases. Upon emergence, the suspended awards were settled if the vesting conditions had been satisfied. All vested options to purchase Class A common stock that remain outstanding as of the date the Company emerged remain outstanding in accordance with their terms and the terms of the Plan and any options not exercised within </w:t>
      </w:r>
      <w:bookmarkStart w:id="324" w:name="xdx_90D_ecustom--TerminationPeriodForOpt"/>
      <w:bookmarkEnd w:id="324"/>
      <w:r>
        <w:rPr>
          <w:rFonts w:ascii="Times New Roman;Times;Serif" w:hAnsi="Times New Roman;Times;Serif"/>
          <w:b w:val="false"/>
          <w:i w:val="false"/>
          <w:caps w:val="false"/>
          <w:smallCaps w:val="false"/>
          <w:sz w:val="20"/>
        </w:rPr>
        <w:t>three months of an officer’s termination of employment or a director’s termination of board service with the Company will be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Prior to emergence, the Company and each of its Named Executive Officers (“NEO’s) were parties to employment agreements that provided for certain payments, including the accelerated vesting of equity awards, to the NEO upon the NEO’s termination of employment by the Company without “Cause” or by the NEO’s choice with “Good Reason”. Accordingly, upon emergence, the Company issued </w:t>
      </w:r>
      <w:bookmarkStart w:id="325" w:name="xdx_904_ecustom--SharesIssuedForAwardsVe"/>
      <w:bookmarkEnd w:id="325"/>
      <w:r>
        <w:rPr>
          <w:rFonts w:ascii="Times New Roman;Times;Serif" w:hAnsi="Times New Roman;Times;Serif"/>
          <w:b w:val="false"/>
          <w:i w:val="false"/>
          <w:caps w:val="false"/>
          <w:smallCaps w:val="false"/>
          <w:sz w:val="20"/>
        </w:rPr>
        <w:t xml:space="preserve">101,947 shares of Class A common stock to satisfy equity awards that vested during the pendency of the Chapter 11 Cases, and </w:t>
      </w:r>
      <w:bookmarkStart w:id="326" w:name="xdx_90F_eus-gaap--SharebasedCompensation"/>
      <w:bookmarkEnd w:id="326"/>
      <w:r>
        <w:rPr>
          <w:rFonts w:ascii="Times New Roman;Times;Serif" w:hAnsi="Times New Roman;Times;Serif"/>
          <w:b w:val="false"/>
          <w:i w:val="false"/>
          <w:caps w:val="false"/>
          <w:smallCaps w:val="false"/>
          <w:sz w:val="20"/>
        </w:rPr>
        <w:t>102,889 shares of Class A common stock related to the accelerated vesting of the NEO awards. The accelerated vesting of the NEO awards resulted in the recognition of $</w:t>
      </w:r>
      <w:bookmarkStart w:id="327" w:name="xdx_909_eus-gaap--ShareBasedCompensation"/>
      <w:bookmarkEnd w:id="327"/>
      <w:r>
        <w:rPr>
          <w:rFonts w:ascii="Times New Roman;Times;Serif" w:hAnsi="Times New Roman;Times;Serif"/>
          <w:b w:val="false"/>
          <w:i w:val="false"/>
          <w:caps w:val="false"/>
          <w:smallCaps w:val="false"/>
          <w:sz w:val="20"/>
        </w:rPr>
        <w:t>2.6 million of stock compensation expense during the first quarter of 2024. The remaining $</w:t>
      </w:r>
      <w:bookmarkStart w:id="328" w:name="xdx_902_ecustom--ShareBasedPaymentArrang"/>
      <w:bookmarkEnd w:id="328"/>
      <w:r>
        <w:rPr>
          <w:rFonts w:ascii="Times New Roman;Times;Serif" w:hAnsi="Times New Roman;Times;Serif"/>
          <w:b w:val="false"/>
          <w:i w:val="false"/>
          <w:caps w:val="false"/>
          <w:smallCaps w:val="false"/>
          <w:sz w:val="20"/>
        </w:rPr>
        <w:t>0.8 million of stock compensation expense during the first quarter of 2024 related to non-accelerated stock-based compensation for other employees prior to emergence.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accordance with the Plan, on March 14, 2024, the Board of Directors approved, adopted and ratified an amendment to the Company’s 2020 Equity Incentive Plan, as amended to increase the number of shares of Class A common stock reserved for issuance thereunder to an aggregate of </w:t>
      </w:r>
      <w:bookmarkStart w:id="329" w:name="xdx_908_eus-gaap--CommonStockCapitalShar"/>
      <w:bookmarkEnd w:id="329"/>
      <w:r>
        <w:rPr>
          <w:rFonts w:ascii="Times New Roman;Times;Serif" w:hAnsi="Times New Roman;Times;Serif"/>
          <w:b w:val="false"/>
          <w:i w:val="false"/>
          <w:caps w:val="false"/>
          <w:smallCaps w:val="false"/>
          <w:sz w:val="20"/>
        </w:rPr>
        <w:t>3,000,000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13, 2024, the Compensation Committee of the Board of Directors of the Company adopted a modified director compensation plan for the five outside directors that constitute the Board of Directors. The director compensation plan includes a three-year</w:t>
      </w:r>
      <w:bookmarkStart w:id="330" w:name="xdx_906_ecustom--ShareBasedPaymentArrang"/>
      <w:bookmarkEnd w:id="330"/>
      <w:r>
        <w:rPr>
          <w:rFonts w:ascii="Times New Roman;Times;Serif" w:hAnsi="Times New Roman;Times;Serif"/>
          <w:b w:val="false"/>
          <w:i w:val="false"/>
          <w:caps w:val="false"/>
          <w:smallCaps w:val="false"/>
          <w:sz w:val="20"/>
        </w:rPr>
        <w:t>3 grant under the Company’s 2020 Equity Compensation Plan of restricted stock units (“RSUs”) with a fair market value of $</w:t>
      </w:r>
      <w:bookmarkStart w:id="331" w:name="xdx_906_ecustom--ShareBasedPaymentArrang"/>
      <w:bookmarkEnd w:id="331"/>
      <w:r>
        <w:rPr>
          <w:rFonts w:ascii="Times New Roman;Times;Serif" w:hAnsi="Times New Roman;Times;Serif"/>
          <w:b w:val="false"/>
          <w:i w:val="false"/>
          <w:caps w:val="false"/>
          <w:smallCaps w:val="false"/>
          <w:sz w:val="20"/>
        </w:rPr>
        <w:t>8.0 thousand per director per quarter ($</w:t>
      </w:r>
      <w:bookmarkStart w:id="332" w:name="xdx_903_ecustom--ShareBasedPaymentArrang"/>
      <w:bookmarkEnd w:id="332"/>
      <w:r>
        <w:rPr>
          <w:rFonts w:ascii="Times New Roman;Times;Serif" w:hAnsi="Times New Roman;Times;Serif"/>
          <w:b w:val="false"/>
          <w:i w:val="false"/>
          <w:caps w:val="false"/>
          <w:smallCaps w:val="false"/>
          <w:sz w:val="20"/>
        </w:rPr>
        <w:t>96.0 thousand per director in the aggregate), based on the closing price per share of the Company’s common stock on May 13, 2024. The RSUs granted cover service on the Board through the first quarter of 2027 and vest quarterly through January 30, 2027, subject to acceleration on the occurrence of certain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26 and December 4, 2024, the Compensation Committee of the Board of Directors of the Company adopted the director compensation plan for 2025 which includes cash payments of $</w:t>
      </w:r>
      <w:bookmarkStart w:id="333" w:name="xdx_905_eus-gaap--ShareBasedCompensation"/>
      <w:bookmarkStart w:id="334" w:name="xdx_906_eus-gaap--ShareBasedCompensation"/>
      <w:bookmarkEnd w:id="333"/>
      <w:bookmarkEnd w:id="334"/>
      <w:r>
        <w:rPr>
          <w:rFonts w:ascii="Times New Roman;Times;Serif" w:hAnsi="Times New Roman;Times;Serif"/>
          <w:b w:val="false"/>
          <w:i w:val="false"/>
          <w:caps w:val="false"/>
          <w:smallCaps w:val="false"/>
          <w:sz w:val="20"/>
        </w:rPr>
        <w:t>140.0 thousand per year ($</w:t>
      </w:r>
      <w:bookmarkStart w:id="335" w:name="xdx_908_eus-gaap--ShareBasedCompensation"/>
      <w:bookmarkStart w:id="336" w:name="xdx_902_eus-gaap--ShareBasedCompensation"/>
      <w:bookmarkEnd w:id="335"/>
      <w:bookmarkEnd w:id="336"/>
      <w:r>
        <w:rPr>
          <w:rFonts w:ascii="Times New Roman;Times;Serif" w:hAnsi="Times New Roman;Times;Serif"/>
          <w:b w:val="false"/>
          <w:i w:val="false"/>
          <w:caps w:val="false"/>
          <w:smallCaps w:val="false"/>
          <w:sz w:val="20"/>
        </w:rPr>
        <w:t>210.0 thousand for the board of director chair (the “Chair)) and an annual RSU grant with a fair market value of $</w:t>
      </w:r>
      <w:bookmarkStart w:id="337" w:name="xdx_905_eus-gaap--ShareBasedCompensation"/>
      <w:bookmarkStart w:id="338" w:name="xdx_905_eus-gaap--ShareBasedCompensation"/>
      <w:bookmarkEnd w:id="337"/>
      <w:bookmarkEnd w:id="338"/>
      <w:r>
        <w:rPr>
          <w:rFonts w:ascii="Times New Roman;Times;Serif" w:hAnsi="Times New Roman;Times;Serif"/>
          <w:b w:val="false"/>
          <w:i w:val="false"/>
          <w:caps w:val="false"/>
          <w:smallCaps w:val="false"/>
          <w:sz w:val="20"/>
        </w:rPr>
        <w:t>100.0 thousand ($</w:t>
      </w:r>
      <w:bookmarkStart w:id="339" w:name="xdx_90F_eus-gaap--ShareBasedCompensation"/>
      <w:bookmarkStart w:id="340" w:name="xdx_909_eus-gaap--ShareBasedCompensation"/>
      <w:bookmarkEnd w:id="339"/>
      <w:bookmarkEnd w:id="340"/>
      <w:r>
        <w:rPr>
          <w:rFonts w:ascii="Times New Roman;Times;Serif" w:hAnsi="Times New Roman;Times;Serif"/>
          <w:b w:val="false"/>
          <w:i w:val="false"/>
          <w:caps w:val="false"/>
          <w:smallCaps w:val="false"/>
          <w:sz w:val="20"/>
        </w:rPr>
        <w:t>150.0 thousand for Chair), vesting in substantially equal tranches on the first two anniversaries of the grant date. The grant date is the first trading day in January of each year (i.e., January 2, 2025). The fair value shall be determined based on the fair market value as of the grant date using the closing price on the grant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of shares in respect to vested RSUs will occur as such shares vest, unless a director makes an irrevocable election to defer settlement (i.e., on the earliest of (x) five years after the grant date, (y) a change in control event, or (z) separation from service). Such election must be made in the calendar year prior to RSUs being granted. All Company directors elected this deferral in December 2024 related to RSU granted to Board of Directors for 2025 service.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b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2025 and 2024, the Company recognized $</w:t>
      </w:r>
      <w:bookmarkStart w:id="341" w:name="xdx_903_eus-gaap--AllocatedShareBasedCom"/>
      <w:bookmarkEnd w:id="341"/>
      <w:r>
        <w:rPr>
          <w:rFonts w:ascii="Times New Roman;Times;Serif" w:hAnsi="Times New Roman;Times;Serif"/>
          <w:b w:val="false"/>
          <w:i w:val="false"/>
          <w:caps w:val="false"/>
          <w:smallCaps w:val="false"/>
          <w:sz w:val="20"/>
        </w:rPr>
        <w:t>0.1 million and $</w:t>
      </w:r>
      <w:bookmarkStart w:id="342" w:name="xdx_907_eus-gaap--AllocatedShareBasedCom"/>
      <w:bookmarkEnd w:id="342"/>
      <w:r>
        <w:rPr>
          <w:rFonts w:ascii="Times New Roman;Times;Serif" w:hAnsi="Times New Roman;Times;Serif"/>
          <w:b w:val="false"/>
          <w:i w:val="false"/>
          <w:caps w:val="false"/>
          <w:smallCaps w:val="false"/>
          <w:sz w:val="20"/>
        </w:rPr>
        <w:t>3.4 million of stock-based compensation expense, respectively, which was included in selling, general, and administrative expense on the condensed consolidated financial statements. As of March 31, 2025, there was $</w:t>
      </w:r>
      <w:bookmarkStart w:id="343" w:name="xdx_904_eus-gaap--EmployeeServiceShareBa"/>
      <w:bookmarkEnd w:id="343"/>
      <w:r>
        <w:rPr>
          <w:rFonts w:ascii="Times New Roman;Times;Serif" w:hAnsi="Times New Roman;Times;Serif"/>
          <w:b w:val="false"/>
          <w:i w:val="false"/>
          <w:caps w:val="false"/>
          <w:smallCaps w:val="false"/>
          <w:sz w:val="20"/>
        </w:rPr>
        <w:t xml:space="preserve">0.8 million of unrecognized stock-based compensation related to non-vested awards that is expected to be recognized over a weighted average period of </w:t>
      </w:r>
      <w:bookmarkStart w:id="344" w:name="xdx_90D_eus-gaap--ShareBasedCompensation"/>
      <w:bookmarkEnd w:id="344"/>
      <w:r>
        <w:rPr>
          <w:rFonts w:ascii="Times New Roman;Times;Serif" w:hAnsi="Times New Roman;Times;Serif"/>
          <w:b w:val="false"/>
          <w:i w:val="false"/>
          <w:caps w:val="false"/>
          <w:smallCaps w:val="false"/>
          <w:sz w:val="20"/>
        </w:rPr>
        <w:t>1.79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5" w:name="xdx_80C_eus-gaap--CommitmentsAndContinge"/>
      <w:bookmarkEnd w:id="345"/>
      <w:r>
        <w:rPr>
          <w:rFonts w:ascii="Times New Roman;Times;Serif" w:hAnsi="Times New Roman;Times;Serif"/>
          <w:b/>
          <w:i w:val="false"/>
          <w:caps w:val="false"/>
          <w:smallCaps w:val="false"/>
          <w:sz w:val="20"/>
        </w:rPr>
        <w:t xml:space="preserve">NOTE 7 - </w:t>
      </w:r>
      <w:bookmarkStart w:id="346" w:name="xdx_822_z8OQgfGPaJ8h"/>
      <w:bookmarkEnd w:id="346"/>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Voluntary Chapter 11 Proceedings, Liabilities Subject to Compromise and Other Potential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and its subsidiaries commenced the Chapter 11 Cases in the Bankruptcy Court. See Note 1 - Description of Organization and Business Operations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filing the Chapter 11 petitions, until our emergence from bankruptcy on March 14, 2024, the Company operated as debtor-in-possession under the jurisdiction of the Bankruptcy Court and in accordance with the applicable provisions of the Bankruptcy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received the Bankruptcy Court’s approval of its customary motions filed on June 27, 2023, which authorized the Company to conduct its business activities in the ordinary course, including among other things and subject to the terms and conditions of such orders: (i) pay employees’ wages and related obligations; (ii) pay certain taxes; (iii) pay critical vendors; (iv) continue to honor certain customer obligations; (v) maintain their insurance program; (vi) continue their cash management system; and (vii) establish certain procedures to protect any potential value of the Company’s NOLs.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8, 2023, the Bankruptcy Court approved procedures for the Company to conduct a comprehensive marketing and sale process for some, all, or substantially all of their assets in order to maximize the value of those assets. The marketing process culminated in the Company entering into the LandX Asset Purchase Agreement on March 29, 2023, providing for the sale of </w:t>
      </w:r>
      <w:r>
        <w:rPr>
          <w:rFonts w:ascii="Times New Roman;Times;Serif" w:hAnsi="Times New Roman;Times;Serif"/>
          <w:b w:val="false"/>
          <w:i w:val="false"/>
          <w:caps w:val="false"/>
          <w:smallCaps w:val="false"/>
          <w:sz w:val="20"/>
          <w:shd w:fill="FFFFFF" w:val="clear"/>
        </w:rPr>
        <w:t>specified assets of the Company related to the design, production and sale of electric light duty vehicles focused on the commercial fleet market free and clear of liens, claims, encumbrances, and other interests, and assume certain specified liabilities of the Company for a total purchase price of $</w:t>
      </w:r>
      <w:bookmarkStart w:id="347" w:name="xdx_900_eus-gaap--PaymentsToAcquireProdu"/>
      <w:bookmarkEnd w:id="347"/>
      <w:r>
        <w:rPr>
          <w:rFonts w:ascii="Times New Roman;Times;Serif" w:hAnsi="Times New Roman;Times;Serif"/>
          <w:b w:val="false"/>
          <w:i w:val="false"/>
          <w:caps w:val="false"/>
          <w:smallCaps w:val="false"/>
          <w:sz w:val="20"/>
          <w:shd w:fill="FFFFFF" w:val="clear"/>
        </w:rPr>
        <w:t xml:space="preserve">10.2 million in cash. This transaction closed on October 27, 2023. See Note </w:t>
      </w: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shd w:fill="FFFFFF" w:val="clear"/>
        </w:rPr>
        <w:t>- Description of Organization and Business Operations - Description of Business.</w:t>
      </w:r>
    </w:p>
    <w:p>
      <w:pPr>
        <w:pStyle w:val="TextBody"/>
        <w:bidi w:val="0"/>
        <w:spacing w:before="0" w:after="0"/>
        <w:ind w:left="0" w:right="0" w:firstLine="14"/>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been subject to extensive pending and threatened legal proceedings arising in the ordinary course of business and has already incurred, and expects to continue to incur, significant legal expenses in defending against these claims. The Company sought and achieved resolution of many of these matters as part of the Chapter 11 Cases and has and may in the future enter into further discussions regarding settlement of these matters and may enter into settlement agreements if it believes it is in the best interest of the Company’s stakeholders. The Company records a liability for loss contingencies in the condensed consolidated financial statements when a loss is known or considered probable and the amount can be reasonably estimated. Legal fees and costs of litigation, settlement by the Company or adverse decisions with respect to the matters disclosed may result in a liability that is not insured or that is in excess of insurance coverage and could significantly exceed our current accrual and ability to pay and be, individually or in the aggregate, material to the Company’s consolidated results of operations, financial condition or cash flows, and diminish or eliminate any assets available for any distribution to creditors and Interest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filing of the Chapter 11 Cases resulted in an initial automatic stay of legal proceedings against the Company, as further described below. On July 27, 2023, the Bankruptcy Court modified the automatic stay that was in effect at the time of filing the Chapter 11 Cases to allow the Karma Action (defined below) to proceed against the Company in the District Court (defined below) and that matter was settled, as further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stockholder derivative suits filed on behalf of the Company against certain of its officers and directors and certain former DiamondPeak directors prior to the Chapter 11 Cases, the derivative claims asserted in those suits became the property of the Company pursuant to the Bankruptcy Court’s order confirming the Plan. The Company appointed an independent committee of directors to evaluate such claims with the assistance and advice of special litigation counsel, to make a recommendation as to the disposition of such claims, including, among other things, whether to pursue or release some or all of those claims against some or all of those officers and directors. Ultimately, such claims were retained by the Company and not released under the Plan.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b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Ohio Securities Class Action opt-out claims (discussed below), the Post-Petition Securities Action and any other similar claims for damages arising from the purchase or sale of the Class A common stock, Section 510(b) the Bankruptcy Code treats such claims as subordinated to all claims or Interests that are senior to the Class A common stock and having the same priority as the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Bankruptcy Court established October 10, 2023, as the general bar date for all creditors (except governmental entities) to file their proofs of claim or interest, and December 26, 2023, as the bar date for all governmental entities, which was extended until January 5, 2024, in the case of the SEC or that may arise due to our obligations under the Highway Safety Act of 1970 (the “Safety Act”) administered by the National Highway Traffic Safety Administration (“NHTSA”) described under “NHTSA Matters” below. The deadline to assert rejection damage claims and administrative expense claims has passed. The ability of creditors to amend previously filed proofs of claim, both in terms of amount and nature of claim, will be governed in accordance with applicable law. Furthermore, proofs of claim have been filed asserting unliquidated damages or claims in respect of certain indemnifications or otherwise that we may not be able to estimate or may be materially more than we estimate. The amount of such liability may diminish the assets available to satisfy general unsecured claims. There is substantial risk of litigation by and against the Company or its indemnified directors and officers with respect to such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deadline for parties to file proofs of claim arising from the Company’s rejection of an executory contract or unexpired lease, and proofs of claim for administrative expense claims, was April 15,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rejection damages and administrative expense claims were filed, all but one of which has been settled or withdrawn.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Liabilities subject to compromise” are recorded at the expected or estimated amount of the total allowed claim, however, the ultimate settlement of these liabilities remains subject to analysis and negotiation, approval of the Bankruptcy Court and the other factors discussed above, and any unliquidated claims may be settled or resolved for materially different amounts. These amounts are also subject to adjustments if we make changes to our assumptions or estimates related to unliquidated claims as additional information becomes available to us. Such adjustments may be material, and the Company will continue to evaluate the amount and classification of its pre-petition liabilities. Any additional liabilities that are subject to compromise will be recognized accordingly, and the aggregate amount of “Liabilities subject to compromise” may change materially.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emergence from bankruptcy, the Company recorded $</w:t>
      </w:r>
      <w:bookmarkStart w:id="348" w:name="xdx_903_eus-gaap--RestrictedCashCurrent_"/>
      <w:bookmarkEnd w:id="348"/>
      <w:r>
        <w:rPr>
          <w:rFonts w:ascii="Times New Roman;Times;Serif" w:hAnsi="Times New Roman;Times;Serif"/>
          <w:b w:val="false"/>
          <w:i w:val="false"/>
          <w:caps w:val="false"/>
          <w:smallCaps w:val="false"/>
          <w:sz w:val="20"/>
        </w:rPr>
        <w:t>60.7 million in restricted cash as required by the Plan of Reorganization for bankruptcy and administrative claim settlements and pre-emergence bankruptcy professional fees. Post emergence the Company settled claims and pre-emergence bankruptcy professional fees totaling $</w:t>
      </w:r>
      <w:bookmarkStart w:id="349" w:name="xdx_90E_eus-gaap--BankruptcyClaimsAmount"/>
      <w:bookmarkEnd w:id="349"/>
      <w:r>
        <w:rPr>
          <w:rFonts w:ascii="Times New Roman;Times;Serif" w:hAnsi="Times New Roman;Times;Serif"/>
          <w:b w:val="false"/>
          <w:i w:val="false"/>
          <w:caps w:val="false"/>
          <w:smallCaps w:val="false"/>
          <w:sz w:val="20"/>
        </w:rPr>
        <w:t>37.6 million, resulting in a restricted cash balance of $</w:t>
      </w:r>
      <w:bookmarkStart w:id="350" w:name="xdx_900_eus-gaap--RestrictedCashCurrent_"/>
      <w:bookmarkEnd w:id="350"/>
      <w:r>
        <w:rPr>
          <w:rFonts w:ascii="Times New Roman;Times;Serif" w:hAnsi="Times New Roman;Times;Serif"/>
          <w:b w:val="false"/>
          <w:i w:val="false"/>
          <w:caps w:val="false"/>
          <w:smallCaps w:val="false"/>
          <w:sz w:val="20"/>
        </w:rPr>
        <w:t>3.2 million and a restricted short-term investments balance of $</w:t>
      </w:r>
      <w:bookmarkStart w:id="351" w:name="xdx_908_eus-gaap--OtherShortTermInvestme"/>
      <w:bookmarkEnd w:id="351"/>
      <w:r>
        <w:rPr>
          <w:rFonts w:ascii="Times New Roman;Times;Serif" w:hAnsi="Times New Roman;Times;Serif"/>
          <w:b w:val="false"/>
          <w:i w:val="false"/>
          <w:caps w:val="false"/>
          <w:smallCaps w:val="false"/>
          <w:sz w:val="20"/>
        </w:rPr>
        <w:t>19.9 million as of March 31, 2025. In accordance with Plan, the Claims Ombudsman had until the end of the GUC Reserve Adjustment Period (as defined in the Plan) to request an increase in the reserve, if he believed the existing reserve would be insufficient to fund all allowed and disputed unsecured claims. The Claims Ombudsman made no such request, and the GUC Reserve Adjustment Period concluded in September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Concurrently, the Company recorded a liability totaling $</w:t>
      </w:r>
      <w:bookmarkStart w:id="352" w:name="xdx_909_eus-gaap--LiabilitiesSubjectToCo"/>
      <w:bookmarkEnd w:id="352"/>
      <w:r>
        <w:rPr>
          <w:rFonts w:ascii="Times New Roman;Times;Serif" w:hAnsi="Times New Roman;Times;Serif"/>
          <w:b w:val="false"/>
          <w:i w:val="false"/>
          <w:caps w:val="false"/>
          <w:smallCaps w:val="false"/>
          <w:sz w:val="20"/>
        </w:rPr>
        <w:t>29.9 million upon emergence from bankruptcy within liabilities subject to compromise, which was reflective of the expected allowed claims amounts in accordance with ASC 852-10. After emerging from bankruptcy, the Company settled liabilities subject to compromise since emergence from bankruptcy in the amount totaling $</w:t>
      </w:r>
      <w:bookmarkStart w:id="353" w:name="xdx_903_eus-gaap--LiabilitiesSubjectToCo"/>
      <w:bookmarkEnd w:id="353"/>
      <w:r>
        <w:rPr>
          <w:rFonts w:ascii="Times New Roman;Times;Serif" w:hAnsi="Times New Roman;Times;Serif"/>
          <w:b w:val="false"/>
          <w:i w:val="false"/>
          <w:caps w:val="false"/>
          <w:smallCaps w:val="false"/>
          <w:sz w:val="20"/>
        </w:rPr>
        <w:t>20.3 million, resulting in a liabilities subject to compromise balance of $</w:t>
      </w:r>
      <w:bookmarkStart w:id="354" w:name="xdx_90F_eus-gaap--LiabilitiesSubjectToCo"/>
      <w:bookmarkEnd w:id="354"/>
      <w:r>
        <w:rPr>
          <w:rFonts w:ascii="Times New Roman;Times;Serif" w:hAnsi="Times New Roman;Times;Serif"/>
          <w:b w:val="false"/>
          <w:i w:val="false"/>
          <w:caps w:val="false"/>
          <w:smallCaps w:val="false"/>
          <w:sz w:val="20"/>
        </w:rPr>
        <w:t>9.6 million as of March 31, 2025. This balance reflects both undisputed and partially disputed amounts the Company may owe.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liabilities for legal proceedings and potential related obligations may include amounts for the securities litigation, government claims and indemnification obligations described in more detail below or other claims that may be asserted against the Company and may or may not be offset by insurance. Changes in the Company’s operations in connection with the Chapter 11 Cases reduced the Company’s need to maintain insurance coverage at previous levels or to carry certain insurance policies. The amount accrued as of March 31, 2025 was estimated based on available information and legal advice, the potential resolution of these matters in light of historical negotiations with the parties, and the potential impact of the outcome of one or more claims on related matters, but does not take into account the impact of the applicable provisions of the Bankruptcy Code, the terms of the Plan, ongoing discussions with the parties thereto and other stakeholders or actual amounts that may be asserted in Claims submitted in the Chapter 11 Cases or for indemnification as these factors cannot yet be determined and are subject to substantial uncertainty. Accordingly, the accrued amount may be adjusted in the future based on new developments and it does not reflect a full range of possible outcomes for these proceedings, or the full amount of any damages alleged, which are significantly higher.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b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Insurance Matters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notified by its primary insurer under its post-merger directors and officers insurance policy that the insurer is taking the position that no coverage is available for the Ohio Securities Class Action, various shareholder derivative actions, the consolidated stockholder class action, various demands for inspection of books and records, the SEC investigation, and the investigation by the United States Attorney’s Office for the Southern District of New York described below, and certain indemnification obligations, under an exclusion to the policy called the “retroactive date exclusion.” The insurer has identified other potential coverage issues as well. Excess coverage attaches only after the underlying insurance has been exhausted, and generally applies in conformance with the terms of the underlying insurance. As a result of the denial of coverage, no or limited insurance may be available to us to reimburse our expenses or cover any potential losses for these matters, which could be significant. The insurers in our Side A directors and officers (“D&amp;O”) insurance program, providing coverage for individual directors and officers in derivative actions and certain other situations, have issued a reservation of rights letter which, while not denying coverage, has cast doubt on the availability of coverage for at least some individuals and/or claims. The Company continues to analyze the insurer’s position and intends to pursue any available coverage under this policy and other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25, 2024, the Company filed a complaint in the United States Bankruptcy Court for the District of Delaware seeking a declaration that the Company is entitled to coverage from the 2020-2022 primary layer D&amp;O liability insurance company for costs to defend certain lawsuits and respond to certain SEC and DOJ investigations. The primary policy had a face limit of $</w:t>
      </w:r>
      <w:bookmarkStart w:id="355" w:name="xdx_901_ecustom--PolicyFacialLimit_iI_pn"/>
      <w:bookmarkEnd w:id="355"/>
      <w:r>
        <w:rPr>
          <w:rFonts w:ascii="Times New Roman;Times;Serif" w:hAnsi="Times New Roman;Times;Serif"/>
          <w:b w:val="false"/>
          <w:i w:val="false"/>
          <w:caps w:val="false"/>
          <w:smallCaps w:val="false"/>
          <w:sz w:val="20"/>
        </w:rPr>
        <w:t>5 million. The Company filed a memorandum of law in support of its motion for summary judgment with the Court on November 4, 2024. In response, the primary layer insurer moved to dismiss and filed a competing lawsuit in New York State court seeking a declaration that there is no coverage for the same lawsuits and SEC and DOJ investigations. No damages are sought against the Company. The motion to dismiss is 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directors and officers have also stated that they intend to pursue coverage for their defense costs related to these lawsuits and the Bankruptcy Court has ordered that they coordinate with the Company on these efforts in order to maximize the amount of coverage potentially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Ohio Securities Class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bookmarkStart w:id="356" w:name="xdx_902_eus-gaap--LossContingencyNewClai"/>
      <w:bookmarkEnd w:id="356"/>
      <w:r>
        <w:rPr>
          <w:rFonts w:ascii="Times New Roman;Times;Serif" w:hAnsi="Times New Roman;Times;Serif"/>
          <w:b w:val="false"/>
          <w:i w:val="false"/>
          <w:caps w:val="false"/>
          <w:smallCaps w:val="false"/>
          <w:sz w:val="20"/>
          <w:shd w:fill="FFFFFF" w:val="clear"/>
        </w:rPr>
        <w:t>Six related putative securities class action lawsuits were filed against the Company and certain of its current and former officers and directors and former DiamondPeak directors between March 18, 2021 and May 14, 2021 in the U.S. District Court for the Northern District of Ohio (Rico v. Lordstown Motors Corp., et al.; Palumbo v. Lordstown Motors Corp., et al.; Zuod v. Lordstown Motors Corp., et al.; Brury v. Lordstown Motors Corp., et al.; Romano v. Lordstown Motors Corp., et al.; and FNY Managed Accounts LLC v. Lordstown Motors Corp., et al.). The matters have been consolidated and the Court appointed George Troicky as lead plaintiff and Labaton Sucharow LLP as lead plaintiff’s counsel (the “Ohio Securities Class Action”). On March 10, 2021, lead plaintiff and several additional named plaintiffs filed their consolidated amended complaint, asserting violations of federal securities laws under Section 10(b), Section 14(a), Section 20(a), and Section 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a motion to dismiss, which is fully briefed as of March 3, 2023. The Company filed a suggestion of bankruptcy on June 28, 2023, and filed an amended suggestion of bankruptcy on July 11, 2023, which notified the court of the filing of the Chapter 11 Cases and resulting automatic stay. On August 28, 2023, the court denied the pending motion to dismiss, without prejudice, given the notice of the automatic stay, subject to potential re-filing by the Defendants following the lifting of the stay.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Plan settled the Ohio Securities Class Action, with the lead plaintiff receiving (i) $</w:t>
      </w:r>
      <w:bookmarkStart w:id="357" w:name="xdx_90D_eus-gaap--DebtorReorganizationIt"/>
      <w:bookmarkEnd w:id="357"/>
      <w:r>
        <w:rPr>
          <w:rFonts w:ascii="Times New Roman;Times;Serif" w:hAnsi="Times New Roman;Times;Serif"/>
          <w:b w:val="false"/>
          <w:i w:val="false"/>
          <w:caps w:val="false"/>
          <w:smallCaps w:val="false"/>
          <w:sz w:val="20"/>
          <w:shd w:fill="FFFFFF" w:val="clear"/>
        </w:rPr>
        <w:t>3 million in cash and (ii) up to an additional $</w:t>
      </w:r>
      <w:bookmarkStart w:id="358" w:name="xdx_90A_ecustom--DebtorReorganizationIte"/>
      <w:bookmarkEnd w:id="358"/>
      <w:r>
        <w:rPr>
          <w:rFonts w:ascii="Times New Roman;Times;Serif" w:hAnsi="Times New Roman;Times;Serif"/>
          <w:b w:val="false"/>
          <w:i w:val="false"/>
          <w:caps w:val="false"/>
          <w:smallCaps w:val="false"/>
          <w:sz w:val="20"/>
          <w:shd w:fill="FFFFFF" w:val="clear"/>
        </w:rPr>
        <w:t xml:space="preserve">7 million, consisting of (a) </w:t>
      </w:r>
      <w:bookmarkStart w:id="359" w:name="xdx_907_ecustom--DebtorReorganizationIte"/>
      <w:bookmarkEnd w:id="359"/>
      <w:r>
        <w:rPr>
          <w:rFonts w:ascii="Times New Roman;Times;Serif" w:hAnsi="Times New Roman;Times;Serif"/>
          <w:b w:val="false"/>
          <w:i w:val="false"/>
          <w:caps w:val="false"/>
          <w:smallCaps w:val="false"/>
          <w:sz w:val="20"/>
          <w:shd w:fill="FFFFFF" w:val="clear"/>
        </w:rPr>
        <w:t xml:space="preserve">25% of all net litigation proceeds received by the Company on Retained Causes of Action (if any); and (b) the lesser of (x) </w:t>
      </w:r>
      <w:bookmarkStart w:id="360" w:name="xdx_902_ecustom--DebtorReorganizationIte"/>
      <w:bookmarkEnd w:id="360"/>
      <w:r>
        <w:rPr>
          <w:rFonts w:ascii="Times New Roman;Times;Serif" w:hAnsi="Times New Roman;Times;Serif"/>
          <w:b w:val="false"/>
          <w:i w:val="false"/>
          <w:caps w:val="false"/>
          <w:smallCaps w:val="false"/>
          <w:sz w:val="20"/>
          <w:shd w:fill="FFFFFF" w:val="clear"/>
        </w:rPr>
        <w:t>16% of any distribution made by the Company on account of Foxconn’s preferred stock liquidation preference, and (y) $</w:t>
      </w:r>
      <w:bookmarkStart w:id="361" w:name="xdx_90E_ecustom--DebtorReorganizationIte"/>
      <w:bookmarkEnd w:id="361"/>
      <w:r>
        <w:rPr>
          <w:rFonts w:ascii="Times New Roman;Times;Serif" w:hAnsi="Times New Roman;Times;Serif"/>
          <w:b w:val="false"/>
          <w:i w:val="false"/>
          <w:caps w:val="false"/>
          <w:smallCaps w:val="false"/>
          <w:sz w:val="20"/>
          <w:shd w:fill="FFFFFF" w:val="clear"/>
        </w:rPr>
        <w:t xml:space="preserve">5 million, on behalf of the Ohio Settlement Class (as defined in the Plan).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b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Derivative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2" w:name="xdx_909_eus-gaap--LossContingencyNewClai"/>
      <w:bookmarkEnd w:id="362"/>
      <w:r>
        <w:rPr>
          <w:rFonts w:ascii="Times New Roman;Times;Serif" w:hAnsi="Times New Roman;Times;Serif"/>
          <w:b w:val="false"/>
          <w:i w:val="false"/>
          <w:caps w:val="false"/>
          <w:smallCaps w:val="false"/>
          <w:sz w:val="20"/>
        </w:rPr>
        <w:t>Four related stockholder derivative lawsuits were filed against certain Company officers and directors, former DiamondPeak directors, and against the Company as a nominal defendant between April 28, 2021 and July 9, 2021 in the U.S. District Court for the District of Delaware (Cohen, et al. v. Burns, et al.; Kelley, et al. v. Burns, et al.; Patterson, et al. v. Burns, et al.; and Sarabia v. Burns, et al.). The derivative actions in the District Court of Delaware have been consolidated. On August 27, 2021, plaintiffs filed a consolidated amended complaint, asserting violations of Section 10(b), Section 14(a), Section 20(a) and Section 21D of the Exchange Act and Rule 10b-5 thereunder, breach of fiduciary duties, insider selling, and unjust enrichment, all relating to vehicle pre-orders, production timeline, and the merger with DiamondPeak. On October 11, 2021, defendants filed a motion to stay this consolidated derivative action pending resolution of the motion to dismiss in the consolidated securities class action. On March 7, 2023, the court granted in part defendants’ motion to stay, staying the action until the resolution of the motion to dismiss in the consolidated securities class action, but requiring the parties to submit a status report if the motion to dismiss was not resolved by March 3, 2023. The court further determined to dismiss without a motion, on the grounds that the claim was premature, plaintiffs’ claim for contribution for violations of Sections 10(b) and 21D of the Exchange Act without prejudice. The parties filed a joint status report as required because the motion to dismiss in the consolidated securities class action was not resolved as of March 3, 2023. The parties filed additional court-ordered joint status reports on October 28, 2022, January 6, 2023 and April 3, 2023. On April 4, 2023, the Court ordered the parties to submit a letter brief addressing whether the Court should lift the stay. On April 14, 2023, the parties submitted a joint letter requesting that the Court not lift the stay. On April 17, 2023, the court lifted the stay and ordered the parties to meet and confer by May 8, 2023 and submit a proposed case-management plan. On May 9, 2023, the court reinstated the stay and ordered the parties to advise the court of any developments in the consolidated securities class action or material changes to Lordstown’s condition. The Company filed a suggestion of bankruptcy on June 27, 2023, which notified the court of the filing of the Chapter 11 Cases and resulting automatic stay. The court entered an order acknowledging the effect of the automatic stay on June 28, 2023. An independent committee of directors evaluated the derivative claims with the assistance and advice of special litigation counsel to make a recommendation as to the disposition of such claims. Ultimately, such claims were retained by the Company and not released under the Plan. On March 12, 2025, the pending District of Delaware action was dismissed pursuant to a notice of voluntary dismissal.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related stockholder derivative lawsuit was filed in U.S. District Court for the Northern District of Ohio on June 30, 2021 (Thai v. Burns, et al.), asserting violations of Section 10(b), Section 14(a), Section 20(a) and Section 21D of the Exchange Act and Rule 10b-5 thereunder, breach of fiduciary duties, unjust enrichment, abuse of control, gross mismanagement, and waste, based on similar facts as the consolidated derivative action in the District Court of Delaware.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The Company filed a suggestion of bankruptcy on June 28, 2023, and filed an amended suggestion of bankruptcy on July 19, 2023, which notified the court of the filing of the Chapter 11 Cases and resulting automatic stay.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Another related stockholder derivative lawsuit was filed in the Delaware Court of Chancery on December 2, 2021 (Cormier v. Burns, et al. (C.A. No. 2021-1049)), asserting breach of fiduciary duties, insider selling, and unjust enrichment, based on similar facts as the federal derivative actions. An additional related stockholder derivative lawsuit was filed in the Delaware Court of Chancery on February 18, 2023 (Jackson v. Burns, et al. (C.A. No. 2023-0164)), also asserting breach of fiduciary duties, unjust enrichment, and insider selling, based on similar facts as the federal derivative actions. On April 19, 2023, the parties in Cormier and Jackson filed a stipulation and proposed order consolidating the two actions, staying the litigation until the resolution of the motion to dismiss in the consolidated securities class action and appointing Schubert Jonckheer &amp; Kolbe LLP and Lifshitz Law PLLC as Co-Lead Counsel. On May 10, 2023, the court granted the parties’ proposed stipulation and order to consolidate the actions, and to stay the consolidated action pending the resolution of the motion to dismiss in the consolidated securities class action. While the action remains stayed, on June 24, 2023, the plaintiffs filed a consolidated complaint asserting similar claims, and substituting a new plaintiff (Ed Lomont) for Cormier, who no longer appears to be a named plaintiff in the consolidated action. On June 27, 2023, the Company filed a suggestion of bankruptcy, which notified the court of the filing of the Chapter 11 Cases and resulting automatic stay.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b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DiamondPeak Delaware Class Action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3" w:name="xdx_908_ecustom--NumberOfPutativeClassAc"/>
      <w:bookmarkEnd w:id="363"/>
      <w:r>
        <w:rPr>
          <w:rFonts w:ascii="Times New Roman;Times;Serif" w:hAnsi="Times New Roman;Times;Serif"/>
          <w:b w:val="false"/>
          <w:i w:val="false"/>
          <w:caps w:val="false"/>
          <w:smallCaps w:val="false"/>
          <w:sz w:val="20"/>
        </w:rPr>
        <w:t>Two putative class action lawsuits were filed against former DiamondPeak directors and DiamondPeak Sponsor LLC on December 8 and 13, 2021 in the Delaware Court of Chancery (</w:t>
      </w:r>
      <w:r>
        <w:rPr>
          <w:rFonts w:ascii="Times New Roman;Times;Serif" w:hAnsi="Times New Roman;Times;Serif"/>
          <w:b w:val="false"/>
          <w:i/>
          <w:caps w:val="false"/>
          <w:smallCaps w:val="false"/>
          <w:sz w:val="20"/>
        </w:rPr>
        <w:t>Hebert v. Hamamoto, et al.</w:t>
      </w:r>
      <w:r>
        <w:rPr>
          <w:rFonts w:ascii="Times New Roman;Times;Serif" w:hAnsi="Times New Roman;Times;Serif"/>
          <w:b w:val="false"/>
          <w:i w:val="false"/>
          <w:caps w:val="false"/>
          <w:smallCaps w:val="false"/>
          <w:sz w:val="20"/>
        </w:rPr>
        <w:t xml:space="preserve"> (C.A. No. 2021-1066); and </w:t>
      </w:r>
      <w:r>
        <w:rPr>
          <w:rFonts w:ascii="Times New Roman;Times;Serif" w:hAnsi="Times New Roman;Times;Serif"/>
          <w:b w:val="false"/>
          <w:i/>
          <w:caps w:val="false"/>
          <w:smallCaps w:val="false"/>
          <w:sz w:val="20"/>
        </w:rPr>
        <w:t>Amin v Hamamoto, et al.</w:t>
      </w:r>
      <w:r>
        <w:rPr>
          <w:rFonts w:ascii="Times New Roman;Times;Serif" w:hAnsi="Times New Roman;Times;Serif"/>
          <w:b w:val="false"/>
          <w:i w:val="false"/>
          <w:caps w:val="false"/>
          <w:smallCaps w:val="false"/>
          <w:sz w:val="20"/>
        </w:rPr>
        <w:t xml:space="preserve"> (C.A. No. 2021-1085)) (collectively, the “Delaware Class Action Litigation”). The plaintiffs purport to represent a class of investors in DiamondPeak and assert breach of 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February 9, 2023, the parties filed a stipulation and proposed order consolidating the two putative class action lawsuits, appointing Hebert and Amin as co-lead plaintiffs, appointing Bernstein Litowitz Berger &amp; Grossmann LLP and Pomerantz LLP as co-lead counsel and setting a briefing schedule for the motions to dismiss and motions to stay. The motions to stay were fully briefed as of February 23, 2023 and the court held oral argument on February 28, 2023. On March 7, 2023, the court denied the motion to stay. On March 10, 2023, defendants filed their brief in support of their motion to dismiss. The motion to dismiss was fully briefed on April 27, 2023, and was scheduled for oral argument on May 10, 2023. On May 6, 2023, defendants withdrew the motion to dismiss without prejudice. On July 22, 2023, co-lead plaintiffs filed an amended class action complaint asserting similar claims. Defendants filed a motion to dismiss the amended class action complaint on October 14, 2023. Plaintiffs’ answering brief and Defendants’ reply brief were due on November 18 and December 9, 2023, respectively. Oral argument on the motion to dismiss was scheduled for January 6, 2023. On January 5, 2023, the defendants withdrew their motion to dismiss. On February 2, 2023, the court issued a case scheduling order setting forth pre-trial deadlines and a date for trial in March 2024. On February 3, 2023, defendants filed their answer to plaintiffs’ amended class action complaint. On February 7, 2023, plaintiffs served the Company, as a non-party, with a subpoena for certain information, which the Company responded to on February 21,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June 9, 2023, the court granted in part and denied in part the plaintiffs’ motion to compel regarding the appropriate scope of the Company’s response to the subpoena. On July 5, 2023, in the Chapter 11 Cases, the Company filed (i) an adversary complaint seeking injunctive relief to extend the automatic stay to the plaintiffs in the Delaware Class Action Litigation, initiating the adversary proceeding captioned </w:t>
      </w:r>
      <w:r>
        <w:rPr>
          <w:rFonts w:ascii="Times New Roman;Times;Serif" w:hAnsi="Times New Roman;Times;Serif"/>
          <w:b w:val="false"/>
          <w:i/>
          <w:caps w:val="false"/>
          <w:smallCaps w:val="false"/>
          <w:sz w:val="20"/>
        </w:rPr>
        <w:t>Lordstown Motors Corp. v. Amin</w:t>
      </w:r>
      <w:r>
        <w:rPr>
          <w:rFonts w:ascii="Times New Roman;Times;Serif" w:hAnsi="Times New Roman;Times;Serif"/>
          <w:b w:val="false"/>
          <w:i w:val="false"/>
          <w:caps w:val="false"/>
          <w:smallCaps w:val="false"/>
          <w:sz w:val="20"/>
        </w:rPr>
        <w:t>, Adv. Proc. No. 23-50428 (Bankr. D. Del.) and (ii) a motion and brief in support thereof, seeking a preliminary injunction extending the automatic stay to the Delaware Class Action Litigation. On August 3, 2023, the Bankruptcy Court denied the Company’s preliminary injunction motion. On July 21, 2023, plaintiffs filed a motion for class certification in the Delaware Class Action Litigation. The parties have advised the Company that they have reached an agreement to resolve this matter, and the former DiamondPeak directors are seeking indemnification from the Company with respect to a portion of the settlement amount. The Company believes it has defenses to such indemnification claims, including that such indemnification claims are subject to subordination pursuant to applicable law, and, if allowed, should receive the treatment set forth in Article III B.8 of the Plan. The proceedings remain subject to uncertainties inherent in the litigation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2024, the Company and the former DiamondPeak directors entered into a settlement agreement pursuant to which, among other things, such former directors’ claims against the Company were settled.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received </w:t>
      </w:r>
      <w:bookmarkStart w:id="364" w:name="xdx_90C_ecustom--LossContingencyNumberOf"/>
      <w:bookmarkEnd w:id="364"/>
      <w:r>
        <w:rPr>
          <w:rFonts w:ascii="Times New Roman;Times;Serif" w:hAnsi="Times New Roman;Times;Serif"/>
          <w:b w:val="false"/>
          <w:i w:val="false"/>
          <w:caps w:val="false"/>
          <w:smallCaps w:val="false"/>
          <w:sz w:val="20"/>
        </w:rPr>
        <w:t>two subpoenas from the SEC for the production of documents and information, including relating to the merger between DiamondPeak and Legacy Lordstown and pre-orders of vehicles, and the Company was informed by the U.S. Attorney’s Office for the Southern District of New York that it is investigating these matters. The Company cooperated, and will continue to cooperate, with these and any other regulatory or governmental investigations and inquiries. Ultimately, the SEC filed a claim against the Company for $</w:t>
      </w:r>
      <w:bookmarkStart w:id="365" w:name="xdx_908_eus-gaap--BankruptcyClaimsAmount"/>
      <w:bookmarkEnd w:id="365"/>
      <w:r>
        <w:rPr>
          <w:rFonts w:ascii="Times New Roman;Times;Serif" w:hAnsi="Times New Roman;Times;Serif"/>
          <w:b w:val="false"/>
          <w:i w:val="false"/>
          <w:caps w:val="false"/>
          <w:smallCaps w:val="false"/>
          <w:sz w:val="20"/>
        </w:rPr>
        <w:t>45.0 million (the “SEC Claim”). The Company settled the SEC Claim by (i) settling the Ohio Securities Class Action and (ii) making an offer of settlement to the SEC, which was approved by the SEC on February 29, 2024. Upon the Company’s emergence from bankruptcy, the SEC Claim was deemed withdrawn pursuant to the terms of the offer of settlement and the Plan. See the section in this Note 7 titled “Ohio Securities Class Action” for additional information regarding the Company’s continuing contingent obligations related to the Ohio Securities Class Action settlement. No amounts attributable to the Company’s settlement of the SEC Claim were paid or are payable to the SEC.</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b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have potential indemnification obligations with respect to the current and former directors named in the above-referenced actions, which obligations may be significant and may not be covered by the Company’s applicable directors and officers insurance. The Company believes it has defenses to certain of these potential indemnification obligations, including that such claims for indemnification are subject to subordination pursuant to applicable law, and, if allowed, should receive the treatment set forth in Article III.B.8 of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Foxconn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series of transactions with affiliates of Foxconn, beginning with the Agreement in Principle that was announced on September 30, 2021, pursuant to which the Company entered into definitive agreements to sell our manufacturing facility in Lordstown, Ohio under an asset purchase agreement (the “Foxconn APA”) and outsource manufacturing of the Endurance to Foxconn under a contract manufacturing agreement (the “CMA”). On November 7, 2022, the Company entered into an investment agreement with Foxconn under which Foxconn agreed to make additional equity investments in the Company (the “Investment Agreement”). The Investment Agreement superseded and replaced an earlier joint venture agreement. The Foxconn APA, the CMA and the Investment Agreement together are herein referred to as the “Foxconn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commenced the Foxconn Litigation in the Bankruptcy Court seeking relief for breaches of the Investment Agreement, the Foxconn APA and the CMA and fraudulent and tortious actions that the Company believes were committed by Foxconn. See the following section and Note 1 - Description of Business - Foxconn Litigation for additional information. The Investment Agreement and the CMA were rejected pursuant to the Plan upon the Company’s emergence from bankruptcy. The Foxconn APA transaction was consummated before the Chapter 11 Cases. Refer to Note 4 - Series A Convertible Preferred Stock for additional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Foxconn 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the Company commenced the Foxconn Litigation in the Bankruptcy Court seeking relief for breaches of the Investment Agreement and other agreements and fraudulent and tortious actions that the Company believes were committed by Foxconn, which have caused substantial harm to our operations and prospects and significant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 2024, the Bankruptcy Court entered an opinion and order partially denying and partially granting the Foxconn Adversary Motion to Dismiss, which was subsequently amended on October 1, 2024. </w:t>
      </w:r>
      <w:bookmarkStart w:id="366" w:name="xdx_905_ecustom--LossContingencyClaimsSu"/>
      <w:bookmarkEnd w:id="366"/>
      <w:r>
        <w:rPr>
          <w:rFonts w:ascii="Times New Roman;Times;Serif" w:hAnsi="Times New Roman;Times;Serif"/>
          <w:b w:val="false"/>
          <w:i w:val="false"/>
          <w:caps w:val="false"/>
          <w:smallCaps w:val="false"/>
          <w:sz w:val="20"/>
        </w:rPr>
        <w:t xml:space="preserve">Nine of the Company’s claims survived the motion to dismiss on the grounds that the Company pled viable claims against Foxconn and the claims were not subject to mandatory arbitration. The Court also dismissed </w:t>
      </w:r>
      <w:bookmarkStart w:id="367" w:name="xdx_90E_eus-gaap--LossContingencyClaimsD"/>
      <w:bookmarkEnd w:id="367"/>
      <w:r>
        <w:rPr>
          <w:rFonts w:ascii="Times New Roman;Times;Serif" w:hAnsi="Times New Roman;Times;Serif"/>
          <w:b w:val="false"/>
          <w:i w:val="false"/>
          <w:caps w:val="false"/>
          <w:smallCaps w:val="false"/>
          <w:sz w:val="20"/>
        </w:rPr>
        <w:t>two of the Company’s claims in favor of arbitration. The order is presently being appealed by Foxconn. The Bankruptcy Court has stayed litigation of the claims that it ruled were not subject to arbitration pending that appeal. The Court also allowed that the two dismissed claims should proceed to arbitration.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the District Court proceedings, the Company and Foxconn engaged in a mediation effort. On January 15, 2025, the Company informed the District Court that the mediation did not result in a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2025, the Company moved the District Court to allow the appeal to be heard directly by the Court of Appeals for the Third Circuit. That motion is pending.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vigorously pursuing the litigation.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br/>
        <w:t>f/k/a Lordstown Motors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Post-Petition Securities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26, 2023, a putative class action lawsuit was filed in the U.S. District Court for the Northern District of Ohio by Bandol Lim (“Plaintiff Lim”), individually and on behalf of other stockholders asserting violations of Section 10(b), Section 20(a) of the Exchange Act and Rule 10b-5 thereunder relating to the Company’s disclosure regarding its relationship with Foxconn and the Foxconn Transactions (the “Post-Petition Securities Action”). The lawsuit names Edward Hightower, Adam Kroll, and Daniel Ninivaggi as Defendants (“Defendants”) in their capacities as Company officers and/or directors. Defendants dispute the allegations and intend to vigorously defend against the suit. None of the Debtors is named as a Defendant in the Post-Petition Securities Action. Plaintiff Lim and RIDE Investor Group each filed motions for appointment as lead plaintiff in the Post-Petition Securities Action. On September 30, 2024, the Post-Petition Securities Action was dismissed in full on the grounds that none of the allegations were actionable. Separately, each of the members of the RIDE Investor Group filed proofs of claim (the “RIDE Proofs of Claims”) against the Company, purportedly on behalf of themselves and the putative class in the Post-Petition Securities Action, in an unliquidated amount. The RIDE Investor Group has not sought authority from the Bankruptcy Court to file its purported class proofs of claim. The Plan constituted an objection to each of the RIDE Proofs of Claim, and on October 25, 2024, the Company filed additional objections to the RIDE Proofs of Claim on various grounds. Each of the RIDE Proofs of Claim was disallowed by Bankruptcy Court order, and the Company bears no liability for such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NHTSA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obligations under the Safety Act administered by NHTSA for the vehicles it has manufactured and sold continued in force during the pendency of and following the Chapter 11 Cases. During the Chapter 11 Cases, the Company’s obligations were treated as a claim of the United States government against the Company. The Plan did not discharge the Company from claims arising after emergence from bankruptcy, nor did it preclude or enjoin the enforcement of any police or regulatory power. The Company has repurchased all but two of the vehicles that were sold (other than the vehicles sold to LAS Capital or its affiliates, for which it assumed warranty, product liability and recall liabilities). The Company cannot predict the extent of the liability that may arise from the Safety Act obligations for vehicles the Company has already manufactured and sold, or any claims that may be asserted by NHTSA.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68" w:name="xdx_809_eus-gaap--RelatedPartyTransactio"/>
      <w:bookmarkEnd w:id="368"/>
      <w:r>
        <w:rPr>
          <w:rFonts w:ascii="Times New Roman;Times;Serif" w:hAnsi="Times New Roman;Times;Serif"/>
          <w:b/>
          <w:i w:val="false"/>
          <w:caps w:val="false"/>
          <w:smallCaps w:val="false"/>
          <w:sz w:val="20"/>
        </w:rPr>
        <w:t xml:space="preserve">NOTE 8 - </w:t>
      </w:r>
      <w:bookmarkStart w:id="369" w:name="xdx_824_zo9ygoMF1Cta"/>
      <w:bookmarkEnd w:id="369"/>
      <w:r>
        <w:rPr>
          <w:rFonts w:ascii="Times New Roman;Times;Serif" w:hAnsi="Times New Roman;Times;Serif"/>
          <w:b/>
          <w:i w:val="false"/>
          <w:caps w:val="false"/>
          <w:smallCaps w:val="false"/>
          <w:sz w:val="20"/>
        </w:rPr>
        <w:t>RELATED PARTY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Investment Agreement, Foxconn made additional equity investments in the Company, whereby it became a related party under the Company’s Related Party Transaction Policy as a </w:t>
      </w:r>
      <w:bookmarkStart w:id="370" w:name="xdx_903_ecustom--RelatedPartyTransaction"/>
      <w:bookmarkEnd w:id="370"/>
      <w:r>
        <w:rPr>
          <w:rFonts w:ascii="Times New Roman;Times;Serif" w:hAnsi="Times New Roman;Times;Serif"/>
          <w:b w:val="false"/>
          <w:i w:val="false"/>
          <w:caps w:val="false"/>
          <w:smallCaps w:val="false"/>
          <w:sz w:val="20"/>
        </w:rPr>
        <w:t xml:space="preserve">5% or more beneficial owner of the Company’s Class A common stock. For the three months ended March 31, 2025 and 2024, the Company made </w:t>
      </w:r>
      <w:bookmarkStart w:id="371" w:name="xdx_90C_ecustom--PaymentsToRelatedPartie"/>
      <w:bookmarkEnd w:id="371"/>
      <w:r>
        <w:rPr>
          <w:rFonts w:ascii="Times New Roman;Times;Serif" w:hAnsi="Times New Roman;Times;Serif"/>
          <w:b w:val="false"/>
          <w:i w:val="false"/>
          <w:caps w:val="false"/>
          <w:smallCaps w:val="false"/>
          <w:sz w:val="20"/>
        </w:rPr>
        <w:t xml:space="preserve">no payments, and had </w:t>
      </w:r>
      <w:bookmarkStart w:id="372" w:name="xdx_904_eus-gaap--OtherLiabilities_iI_do"/>
      <w:bookmarkEnd w:id="372"/>
      <w:r>
        <w:rPr>
          <w:rFonts w:ascii="Times New Roman;Times;Serif" w:hAnsi="Times New Roman;Times;Serif"/>
          <w:b w:val="false"/>
          <w:i w:val="false"/>
          <w:caps w:val="false"/>
          <w:smallCaps w:val="false"/>
          <w:sz w:val="20"/>
        </w:rPr>
        <w:t>no amounts payable, to Foxconn.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Gallagher, the Company’s Chief Executive Officer, is a principal of M3 Partners, LP (“M3 Partners”). M3 Partners served as the Equity Committee’s financial consultant during the bankruptcy proceedings. Upon emergence from bankruptcy, the Company engaged M3 Partners to provide executive management and support services pursuant to the terms of an engagement agreement (the “Engagement Agreement”). Mr. Gallagher has been, and will remain, employed by M3 Partners and will provide his services pursuant to the Engagement Agreement. Pursuant to the Engagement Agreement, M3 Partners’ fees are calculated on an hourly basis. The Company incurred approximately $</w:t>
      </w:r>
      <w:bookmarkStart w:id="373" w:name="xdx_907_eus-gaap--ProfessionalFees_pn5n6"/>
      <w:bookmarkEnd w:id="373"/>
      <w:r>
        <w:rPr>
          <w:rFonts w:ascii="Times New Roman;Times;Serif" w:hAnsi="Times New Roman;Times;Serif"/>
          <w:b w:val="false"/>
          <w:i w:val="false"/>
          <w:caps w:val="false"/>
          <w:smallCaps w:val="false"/>
          <w:sz w:val="20"/>
        </w:rPr>
        <w:t>0.3 million and $</w:t>
      </w:r>
      <w:bookmarkStart w:id="374" w:name="xdx_908_eus-gaap--ProfessionalFees_pn5n6"/>
      <w:bookmarkEnd w:id="374"/>
      <w:r>
        <w:rPr>
          <w:rFonts w:ascii="Times New Roman;Times;Serif" w:hAnsi="Times New Roman;Times;Serif"/>
          <w:b w:val="false"/>
          <w:i w:val="false"/>
          <w:caps w:val="false"/>
          <w:smallCaps w:val="false"/>
          <w:sz w:val="20"/>
        </w:rPr>
        <w:t>0.1 million in fees payable to M3 Partners under the Engagement Agreement for the three months ended March 31, 2025 and 2024, respectively, which is included in selling, general, and administrative expenses within the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5" w:name="xdx_80E_eus-gaap--SubsequentEventsTextBl"/>
      <w:bookmarkEnd w:id="375"/>
      <w:r>
        <w:rPr>
          <w:rFonts w:ascii="Times New Roman;Times;Serif" w:hAnsi="Times New Roman;Times;Serif"/>
          <w:b/>
          <w:i w:val="false"/>
          <w:caps w:val="false"/>
          <w:smallCaps w:val="false"/>
          <w:sz w:val="20"/>
        </w:rPr>
        <w:t xml:space="preserve">NOTE 9 - </w:t>
      </w:r>
      <w:bookmarkStart w:id="376" w:name="xdx_828_zEXW2CeA7CM"/>
      <w:bookmarkEnd w:id="376"/>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up to the date that the financial statements were issued. Based upon this review, the Company did not identify any subsequent events that would have required adjustment or disclosure in the financial statements.</w:t>
      </w:r>
    </w:p>
    <w:p>
      <w:pPr>
        <w:pStyle w:val="TextBody"/>
        <w:bidi w:val="0"/>
        <w:spacing w:before="0" w:after="0"/>
        <w:ind w:left="0" w:right="0" w:hanging="0"/>
        <w:jc w:val="both"/>
        <w:rPr>
          <w:caps w:val="false"/>
          <w:smallCaps w:val="false"/>
        </w:rPr>
      </w:pPr>
      <w:bookmarkStart w:id="377" w:name="xdx_813_znxLxUfHzkHa"/>
      <w:bookmarkEnd w:id="377"/>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78" w:name="Y-001"/>
      <w:bookmarkEnd w:id="378"/>
      <w:r>
        <w:rPr>
          <w:rFonts w:ascii="Times New Roman;Times;Serif" w:hAnsi="Times New Roman;Times;Serif"/>
          <w:b/>
          <w:i w:val="false"/>
          <w:caps w:val="false"/>
          <w:smallCaps w:val="false"/>
          <w:sz w:val="20"/>
        </w:rPr>
        <w:t>Item 2. Management’s Discussion &amp;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Management’s Discussion and Analysis of Financial Condition and Results of Operations (“MD&amp;A”) should be read in conjunction with the accompanying condensed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and Part II Item 1A. Risk Factors for a discussion of these risks and uncertainties, including without limitation, with respect to the Chapter 11 Cases, our emergence from bankruptcy and our liquidity, capital resources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27, 2023, Lordstown Motors Corp. and its subsidiaries commenced voluntary proceedings under chapter 11 (the “Chapter 11 Cases”) of the U.S. Bankruptcy Code in the U.S. Bankruptcy Court for the District of Delaware (the “Bankruptcy Court”). On September 1, 2023, we filed with the Bankruptcy Court a plan of reorganization and related disclosure statement (as amended from time to time, the “Proposed Plan”). On November 1, 2023, the Bankruptcy Court entered the Disclosure Statement Order and, thereafter, we solicited votes from their creditors and shareholders for approval of the Proposed Plan. On January 31, 2024, we filed the as-approved Proposed Plan with the Bankruptcy Court. On March 5, 2024, the Bankruptcy Court entered a confirmation order confirming the Proposed Plan (as confirmed, the “Plan”). Following the entry of the confirmation order and all conditions to effectiveness of the Plan being satisfied, we emerged from bankruptcy on March 14, 2024 under the name “Nu Ride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Bankruptcy Court established October 10, 2023, as the general bar date for all creditors (except governmental entities) to file their proofs of claim or interest, and December 26, 2023, as the bar date for all governmental entities, which was extended until January 5, 2024, in the case of the SEC. The deadline to assert rejection damage claims and administrative expense claims has passed.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emergence: (i) the Foxconn Litigation and other retained causes of action of the Company were preserved and may be prosecuted; (ii) claims filed in the bankruptcy will continue to be resolved pursuant to the claims resolution process with allowed claims being treated in accordance with the Plan; (iii) distributions to holders of allowed claims and allowed Interests will be made subject to the provisions of the Plan of Reorganization, and (iv) we will continue to conduct business and may enter into transactions, including business combinations, or otherwise, that could permit the Company an opportunity to create value, including through use of the NOLs.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emergence, a new Board of Directors was appointed pursuant to the Plan and all remaining full-time employees, including the Company’s pre-emergence executive officers, were terminated. The Board of Directors oversees and directs the administration of the Company’s operations, in accordance with the Plan and the Company’s charter and by-laws. Some former employees continue to provide services to the Company as consultants. Our Chief Executive Officer, who is the sole executive officer, was elected by the new Board of Directors in accordance with the Plan, as of the date we emerged from bankruptcy.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operations during the three months ended March 31, 2025 have consisted of actions and related expenditures associated with completing the Chapter 11 Cases and emerging from bankruptcy, resolving substantial litigation, claims reconciliation, financial reporting and regulatory compliance. Our assets consist of cash, cash equivalents, short-term investments, and restricted short-term investments. Additional potential assets, such as the Foxconn Litigation claims, claims the Company may have against other parties, and NOLs, are not reflected in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our emergence from bankruptcy on March 14, 2024, our results for the three months ended March 31, 2025, reflect the accounting assumptions and treatment caused by the Chapter 11 Cases and the Plan and may not be representative of our operations and results going forward. See Part I - Item 1A. Risk Factors for further discussion of the risks associated with our emergence from bankruptcy, our liquidity, capital resources and financial condition, and the use of estimates and resulting uncertainty in establishing our presented financial results, among other risks.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 for the three months ended March 31, 2025 and 2024</w:t>
      </w:r>
    </w:p>
    <w:p>
      <w:pPr>
        <w:pStyle w:val="TextBody"/>
        <w:bidi w:val="0"/>
        <w:spacing w:before="0" w:after="0"/>
        <w:ind w:left="0" w:right="0" w:hanging="0"/>
        <w:jc w:val="both"/>
        <w:rPr>
          <w:caps w:val="false"/>
          <w:smallCaps w:val="false"/>
        </w:rPr>
      </w:pPr>
      <w:r>
        <w:rPr>
          <w:caps w:val="false"/>
          <w:smallCaps w:val="false"/>
        </w:rPr>
        <w:t> </w:t>
      </w:r>
    </w:p>
    <w:tbl>
      <w:tblPr>
        <w:tblW w:w="7310" w:type="dxa"/>
        <w:jc w:val="left"/>
        <w:tblInd w:w="0" w:type="dxa"/>
        <w:tblLayout w:type="fixed"/>
        <w:tblCellMar>
          <w:top w:w="0" w:type="dxa"/>
          <w:left w:w="0" w:type="dxa"/>
          <w:bottom w:w="0" w:type="dxa"/>
          <w:right w:w="0" w:type="dxa"/>
        </w:tblCellMar>
      </w:tblPr>
      <w:tblGrid>
        <w:gridCol w:w="4055"/>
        <w:gridCol w:w="60"/>
        <w:gridCol w:w="125"/>
        <w:gridCol w:w="1355"/>
        <w:gridCol w:w="80"/>
        <w:gridCol w:w="60"/>
        <w:gridCol w:w="125"/>
        <w:gridCol w:w="1355"/>
        <w:gridCol w:w="95"/>
      </w:tblGrid>
      <w:tr>
        <w:trPr/>
        <w:tc>
          <w:tcPr>
            <w:tcW w:w="405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100" w:type="dxa"/>
            <w:gridSpan w:val="6"/>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thousands) </w:t>
              <w:br/>
              <w:t>(Unaudited)</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w:t>
              <w:br/>
              <w:t>months ended</w:t>
              <w:br/>
              <w:t>March 31, 2025</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w:t>
              <w:br/>
              <w:t>months ended</w:t>
              <w:br/>
              <w:t>March 31, 2024</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5,243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settlement and litigation benefit,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(544</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Reorganization items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9,484</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(9,484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Realized gain on debt securities available for sale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and interest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1,109</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before income taxes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 (benefit)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05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accrued preferred stock dividend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05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common shareholders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(1,920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(9,128</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Selling, General and Administrative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(“SG&amp;A”) totaled $1.9 million for the three months ended March 31, 2025 compared to $5.2 million for the three months ended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SG&amp;A for the three months ended March 31, 2025 consisted entirely of personnel and professional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SG&amp;A for the three months ended March 31, 2024 consisted primarily of $3.6 million in personnel and professional fees, including $2.6 million in accelerated stock compensation expense, and insurance premium amortization of $2.8 million, partially offset by adjustments to non-bankruptcy related legal and professional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settlement and litigation benefit,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Legal settlement and litigation benefit, net totaling $0.2 million represents adjustments to accrued liabilities subject to compromise from claims as a result of the final settlement of claims for the three months ended March 31, 2025. For the three months ended March 31, 2024, the Company recorded $0.5 million of legal settlement and litigation benefit, net as a result of setting claims.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Reorganization Items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Reorganization items represent the expenses directly and incrementally resulting from the Chapter 11 Cases filed on June 27, 2023. For the three months ended March 31, 2025, no reorganization items were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2024, reorganization items consisted of $3.6 million in legal fees and $1.1 million in consulting fees.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had cash and cash equivalents of approximately $28.0 million, excluding restricted cash of restricted of approximately $3.2 million, and restricted short-term investments of approximately $19.9 million, and an accumulated deficit of $1.2 billion at March 31, 2025, and a net loss of $1.2 million for the three months ended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liquidity and ability to continue as a going concern is dependent upon, among other things: (i) the resolution of significant contingent and other claims, liabilities (see Note 7 - Commitments and Contingencies) and (ii) the outcome of our efforts to realize value, if any, from the Company’s retained causes of action, including the Foxconn Litigation, and other remaining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professional fees and other costs in connection with preparation for and prosecution of the Chapter 11 Cases and expect to continue to incur significant professional fees and costs. In addition, we are subject to significant contingent unliquidated liabilities, the full scope of which is uncertain at this time (see Note 7 - Commitments and Contingencies). Furthermore, under the Plan, we are conducting a process to reconcile the claims asserted that has resulted in approximately $19.9 million of the Company’s short-term investments being restricted for settling outstanding claims against the Company, including litigation and indemnification claims. Pursuant to the Bankruptcy Code, the Company is first required to pay all administrative claims in full. Under the Plan, the Company established an escrow for the payment of certain professional fees incurred in connection with the Chapter 11 Cases (“Professional Fee Escrow”), which was fully paid out as of September 30, 2024. The Professional Fee Escrow was established based upon estimates and assumptions as of the date the Company emerged from bankruptcy. The Plan also required the Company to establish a $45 million reserve for allowed and disputed claims of general unsecured creditors (the “Claims Reserve”), including interest (although there can be no assurance the Company will be able to pay such claims in full, with interest). As of March 31, 2025, $22.3 million was included in cash and short-term investments, which represents the initial Claims Reserve of $45 million, less $22.7 million which was released from the Claims Reserve related to the claims reconciliation process including $13.8 million of payments to creditors in connection with the Plan and $8.9 million released from the Claims Reserve as a result of claim settlements that were less than the Claims Reserve. Pursuant to the Plan (which includes certain exceptions), upon emergence (i) the Claims Ombudsman was appointed to oversee the administration of claims asserted against the Company by general unsecured creditors and (ii) a trustee was appointed to oversee the litigation claims held by the trust, which may be funded with certain retained causes of action of the Company, as determined by the Board. Holders of certain unsecured claims are expected to be entitled to receive post-petition interest on their claim amount as of the later of the date the claim was due to be paid, or the petition date. Therefore, if the claims resolution process takes longer than anticipated, the total liability to settle claims will increase to reflect the increased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of the Claims Reserve is subject to change and could increase materially if amounts paid in respect of unliquidated claims are greater than anticipated. The Claims Reserve is adjusted downward as payments are made for allowed claims and may also be adjusted downward as claims are resolved or otherwise as a result of the claims resolution process. There is also risk of additional litigation and claims that may be asserted after the Chapter 11 Cases against the Company or its indemnified directors and officers that may be known or unknown and the Company may not have the resources to adequately defend or dispute such claims due to the Chapter 11 Cases. The Company cannot provide any assurances as to what the Company’s total actual liabilities will be based on any such claims. To the extent that the Claims Reserve is insufficient to pay general unsecured creditors in full with interest, such deficiency will be payable from certain other assets of the Company, as set forth in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assets consist of cash and cash equivalents, restricted cash, short-term investments, restricted short-term investments, the Foxconn Litigation claims, the claims the Company may have against other parties, and NOLs.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Risk Factors under Part I - Item 1A in our Annual Report on Form 10-K and Part II - Item 1A below for further discussion of the risks associated with our limited capital resources and loss exposures, among other risks.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Summary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summary of the Company’s cash flow data for the period indicated:</w:t>
      </w:r>
    </w:p>
    <w:p>
      <w:pPr>
        <w:pStyle w:val="TextBody"/>
        <w:bidi w:val="0"/>
        <w:spacing w:before="0" w:after="0"/>
        <w:ind w:left="0" w:right="0" w:hanging="0"/>
        <w:jc w:val="both"/>
        <w:rPr>
          <w:caps w:val="false"/>
          <w:smallCaps w:val="false"/>
        </w:rPr>
      </w:pPr>
      <w:r>
        <w:rPr>
          <w:caps w:val="false"/>
          <w:smallCaps w:val="false"/>
        </w:rPr>
        <w:t> </w:t>
      </w:r>
    </w:p>
    <w:tbl>
      <w:tblPr>
        <w:tblW w:w="9878" w:type="dxa"/>
        <w:jc w:val="left"/>
        <w:tblInd w:w="0" w:type="dxa"/>
        <w:tblLayout w:type="fixed"/>
        <w:tblCellMar>
          <w:top w:w="0" w:type="dxa"/>
          <w:left w:w="0" w:type="dxa"/>
          <w:bottom w:w="0" w:type="dxa"/>
          <w:right w:w="0" w:type="dxa"/>
        </w:tblCellMar>
      </w:tblPr>
      <w:tblGrid>
        <w:gridCol w:w="3365"/>
        <w:gridCol w:w="60"/>
        <w:gridCol w:w="543"/>
        <w:gridCol w:w="2566"/>
        <w:gridCol w:w="80"/>
        <w:gridCol w:w="60"/>
        <w:gridCol w:w="580"/>
        <w:gridCol w:w="2529"/>
        <w:gridCol w:w="95"/>
      </w:tblGrid>
      <w:tr>
        <w:trPr/>
        <w:tc>
          <w:tcPr>
            <w:tcW w:w="336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1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2025</w:t>
            </w:r>
          </w:p>
        </w:tc>
        <w:tc>
          <w:tcPr>
            <w:tcW w:w="8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10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 March 31, 2024</w:t>
            </w:r>
          </w:p>
        </w:tc>
        <w:tc>
          <w:tcPr>
            <w:tcW w:w="9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6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(1,840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(9,555</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4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6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29"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4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66"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529"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Used in 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decreased by $7.7 million for the three months ended March 31, 2025 compared to the same period in 2024. The Company’s net loss, as adjusted to reconcile cash used by operating activities was $1.2 million for the three months ended March 31, 2025, compared to $8.5 million for same period in 2024. The $1.8 million of cash used in operating activities for the three months ended March 31, 2025 was comprised of the $1.2 million net loss for the period, as adjusted to reconcile cash used by operating activities for the three months ended March 31, 2025 which included $0.2 million of realized gain on debt securities available for sale, $0.5 million of changes in operating assets and liabilities, partially offset by $0.1 million of stock-based compensations. The $9.6 million of cash used in operating activities for the three months ended March 31, 2024 was comprised of the $8.5 million net loss for the period, as adjusted to reconcile cash used by operating activities for the three months ended March 31, 2024, which included $4.5 million of changes in operating assets and liabilities, partially offset by $3.4 million of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Provided by Investing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provided by investing activities was $10.0 million for the three months ended March 31, 2025, which was entirely related to maturities of short-term investments. The Company had no investing activities for the three months ended March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Net Cash Used in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2025, the Company had no financing activities. For the three months ended March 31, 2024, financing activities were limited to the issuance of Class A common stock associated with the Company’s 2020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 obligations, assets or liabilities, which would be considered off-balance sheet arrangements as of March 31, 2025. The Company does not participate in transactions that create relationships with unconsolidated entities or financial partnerships, often referred to as variable interest entities, which would have been established for the purpose of facilitating off-balance sheet arrangements. The Company has not entered into any off-balance sheet financing arrangements, established any special purpose entities, guaranteed any debt or commitments of other entities, or purchased any non-financial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Liabilities Subject to Compromise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filing the Chapter 11 Cases, the Company has operated as a debtor-in-possession under the jurisdiction of the Bankruptcy Court and in accordance with the applicable provisions of the Bankruptcy Code. In the accompanying Balance Sheet, the “Liabilities subject to compromise” line is reflective of expected allowed claim amounts in accordance with ASC 852-10 and are subject to change materially based on the proceedings and continued consideration of claims that may be modified, allowed, or disallowed. Refer to Note 7 - Commitments and Contingencies for further detail.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Accounting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2 </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Summary of Significant Accounting Policies to the condensed consolidated financial statements for more information about recent accounting pronouncements, the timing of their adoption, and management’s assessment, to the extent they have made one, of their potential impact on the Company’s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79" w:name="Y-002"/>
      <w:bookmarkEnd w:id="379"/>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the Company is not required to provide the information required by this item.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0" w:name="Y-003"/>
      <w:bookmarkEnd w:id="380"/>
      <w:r>
        <w:rPr>
          <w:rFonts w:ascii="Times New Roman;Times;Serif" w:hAnsi="Times New Roman;Times;Serif"/>
          <w:b/>
          <w:i w:val="false"/>
          <w:caps w:val="false"/>
          <w:smallCaps w:val="false"/>
          <w:sz w:val="20"/>
        </w:rPr>
        <w:t xml:space="preserve">Item 4. Controls and Procedures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Management’s Evaluation of our 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(as defined in Rules 13a-15(e) and 15d-15(e) under the Exchange Act)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activities, and procedures designed to ensure that information required to be disclosed in company reports filed or submitted under the Exchange Act is accumulated and communicated to management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The design of disclosure controls and procedures must reflect the fact that there are resource constraints, and the benefits must be considered relative to their costs and the nature of operating activities. Internal control over financial reporting also can be circumvented by collusion or improper override.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As required by Rules 13a-15 and 15d-15 under the Exchange Act, our Chief Executive Officer, who also serves as our Chief Financial Officer, carried out an evaluation of the effectiveness of the design and operation of our disclosure controls and procedures as of March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 over financial reporting (as such term is defined in Rules 13a-15(f) and 15d-15(f) of the Exchange Act) during the quarter ended March 31, 2025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 limited nature of our operations, our controls primarily relate to financial reporting and payment of our expenses. As a result of eliminating personnel, including full-time employees, we have enhanced our oversight of accounting and payment processing with increased executive involvement and support from consultants and advisors to facilitate the presentation of information with respect to our operations that is accurate and complete. Our Chief Executive Officer also serves as our Chief Financial Officer.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381" w:name="Y-004"/>
      <w:bookmarkEnd w:id="381"/>
      <w:r>
        <w:rPr>
          <w:rFonts w:ascii="Times New Roman;Times;Serif" w:hAnsi="Times New Roman;Times;Serif"/>
          <w:b/>
          <w:i w:val="false"/>
          <w:caps w:val="false"/>
          <w:smallCaps w:val="false"/>
          <w:sz w:val="20"/>
        </w:rPr>
        <w:t>PART II: 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2" w:name="Y-005"/>
      <w:bookmarkEnd w:id="382"/>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description of our legal proceedings, see Note 7 - Commitments and Contingencies of the notes to the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3" w:name="Y-006"/>
      <w:bookmarkEnd w:id="383"/>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common stock involves a high degree of risk. You should carefully consider the risks set forth in the section captured “Risk Factors” in our Annual Report on Form 10-K for the year ended December 31, 2024, filed with the SEC on March 28, 2025, before making an investment decision. During the period covered by this Quarterly Report on Form 10-Q, there have been no material changes to the risk factors previously discussed in the Company’s SEC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84" w:name="Y-007"/>
      <w:bookmarkEnd w:id="384"/>
      <w:r>
        <w:rPr>
          <w:rFonts w:ascii="Times New Roman;Times;Serif" w:hAnsi="Times New Roman;Times;Serif"/>
          <w:b/>
          <w:i w:val="false"/>
          <w:caps w:val="false"/>
          <w:smallCaps w:val="false"/>
          <w:sz w:val="20"/>
        </w:rPr>
        <w:t>Item 2. Unregistered Sales of Equity Securities and 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 2025, Andrew Sole was granted 140,389 restricted stock units and each of the Company’s other directors was granted 67,786 restricted stock units, in each case, that vest in two equal annual installments beginning on January 2, 2026 (the “RSU Awards”). Each restricted stock unit represents a contingent right to receive one share of the Company’s Class A common stock. The issuance of the RSU Awards was exempt from registration pursuant to Section 4(a)(2)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85" w:name="Y-008"/>
      <w:bookmarkEnd w:id="385"/>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86" w:name="Y-009"/>
      <w:bookmarkEnd w:id="386"/>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87" w:name="Y-010"/>
      <w:bookmarkEnd w:id="387"/>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During the quarter ended March 31, 2025, none of our directors or officers </w:t>
      </w:r>
      <w:bookmarkStart w:id="388" w:name="xdx_906_eecd--NonRule10b51ArrAdoptedFlag"/>
      <w:bookmarkStart w:id="389" w:name="xdx_90F_eecd--Rule10b51ArrAdoptedFlag_db"/>
      <w:bookmarkEnd w:id="388"/>
      <w:bookmarkEnd w:id="389"/>
      <w:r>
        <w:rPr>
          <w:rFonts w:ascii="Times New Roman;Times;Serif" w:hAnsi="Times New Roman;Times;Serif"/>
          <w:b w:val="false"/>
          <w:i w:val="false"/>
          <w:caps w:val="false"/>
          <w:smallCaps w:val="false"/>
          <w:sz w:val="20"/>
        </w:rPr>
        <w:t xml:space="preserve">adopted or </w:t>
      </w:r>
      <w:bookmarkStart w:id="390" w:name="xdx_900_eecd--NonRule10b51ArrTrmntdFlag_"/>
      <w:bookmarkStart w:id="391" w:name="xdx_906_eecd--Rule10b51ArrTrmntdFlag_dbF"/>
      <w:bookmarkEnd w:id="390"/>
      <w:bookmarkEnd w:id="391"/>
      <w:r>
        <w:rPr>
          <w:rFonts w:ascii="Times New Roman;Times;Serif" w:hAnsi="Times New Roman;Times;Serif"/>
          <w:b w:val="false"/>
          <w:i w:val="false"/>
          <w:caps w:val="false"/>
          <w:smallCaps w:val="false"/>
          <w:sz w:val="20"/>
        </w:rPr>
        <w:t>terminated any “Rule 10b5-1 trading arrangement” or “non-Rule 10b5-1 trading arrangement,” (as each term is defined in Item 408(c) of Regulation S-K).</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92" w:name="Y-011"/>
      <w:bookmarkEnd w:id="392"/>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04"/>
        <w:gridCol w:w="60"/>
        <w:gridCol w:w="9341"/>
      </w:tblGrid>
      <w:tr>
        <w:trPr/>
        <w:tc>
          <w:tcPr>
            <w:tcW w:w="804" w:type="dxa"/>
            <w:tcBorders>
              <w:bottom w:val="single" w:sz="8" w:space="0" w:color="000000"/>
            </w:tcBorders>
            <w:vAlign w:val="center"/>
          </w:tcPr>
          <w:p>
            <w:pPr>
              <w:pStyle w:val="TableContents"/>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tcMar>
              <w:bottom w:w="0" w:type="dxa"/>
            </w:tcMar>
            <w:vAlign w:val="center"/>
          </w:tcPr>
          <w:p>
            <w:pPr>
              <w:pStyle w:val="TableContents"/>
              <w:bidi w:val="0"/>
              <w:spacing w:before="0" w:after="283"/>
              <w:jc w:val="left"/>
              <w:rPr/>
            </w:pPr>
            <w:r>
              <w:rPr/>
              <w:t> </w:t>
            </w:r>
          </w:p>
        </w:tc>
        <w:tc>
          <w:tcPr>
            <w:tcW w:w="9341"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jc w:val="left"/>
              <w:rPr/>
            </w:pPr>
            <w:r>
              <w:rPr/>
              <w:t> </w:t>
            </w:r>
          </w:p>
        </w:tc>
        <w:tc>
          <w:tcPr>
            <w:tcW w:w="9341"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Third Amended and Restated Certificate of Incorporation (incorporated by reference to Exhibit 3.1 to the Company’s Current Report on Form 8-K filed with the SEC on March 15, 2024).</w:t>
              </w:r>
            </w:hyperlink>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jc w:val="left"/>
              <w:rPr/>
            </w:pPr>
            <w:r>
              <w:rPr/>
              <w:t> </w:t>
            </w:r>
          </w:p>
        </w:tc>
        <w:tc>
          <w:tcPr>
            <w:tcW w:w="9341" w:type="dxa"/>
            <w:tcBorders/>
            <w:tcMar>
              <w:bottom w:w="0" w:type="dxa"/>
            </w:tcM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Second Amended and Restated Bylaws (incorporated by reference to Exhibit 3.2 to the Company’s Current Report on Form 8-K filed with the SEC on March 15, 2024).</w:t>
              </w:r>
            </w:hyperlink>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jc w:val="left"/>
              <w:rPr/>
            </w:pPr>
            <w:r>
              <w:rPr/>
              <w:t> </w:t>
            </w:r>
          </w:p>
        </w:tc>
        <w:tc>
          <w:tcPr>
            <w:tcW w:w="9341" w:type="dxa"/>
            <w:tcBorders/>
            <w:tcMar>
              <w:bottom w:w="0" w:type="dxa"/>
            </w:tcM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Certificate of Designation, Preferences and Rights of Series A Convertible Preferred Stock (incorporated by reference to the Company’s Current Report on Form 8-K, filed with the SEC on November 22, 2022)</w:t>
              </w:r>
            </w:hyperlink>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tcMar>
              <w:bottom w:w="0" w:type="dxa"/>
            </w:tcMar>
            <w:vAlign w:val="center"/>
          </w:tcPr>
          <w:p>
            <w:pPr>
              <w:pStyle w:val="TableContents"/>
              <w:bidi w:val="0"/>
              <w:spacing w:before="0" w:after="283"/>
              <w:jc w:val="left"/>
              <w:rPr/>
            </w:pPr>
            <w:r>
              <w:rPr/>
              <w:t> </w:t>
            </w:r>
          </w:p>
        </w:tc>
        <w:tc>
          <w:tcPr>
            <w:tcW w:w="9341" w:type="dxa"/>
            <w:tcBorders/>
            <w:tcMar>
              <w:bottom w:w="0" w:type="dxa"/>
            </w:tcMar>
            <w:vAlign w:val="center"/>
          </w:tcPr>
          <w:p>
            <w:pPr>
              <w:pStyle w:val="TableContents"/>
              <w:bidi w:val="0"/>
              <w:spacing w:before="0" w:after="283"/>
              <w:jc w:val="both"/>
              <w:rPr/>
            </w:pPr>
            <w:hyperlink w:anchor="ex31-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Rule 13a-14(a) /15d-14(a), as adopted pursuant to Section 302 of the Sarbanes-Oxley Act of 2002</w:t>
              </w:r>
            </w:hyperlink>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tcMar>
              <w:bottom w:w="0" w:type="dxa"/>
            </w:tcMar>
            <w:vAlign w:val="center"/>
          </w:tcPr>
          <w:p>
            <w:pPr>
              <w:pStyle w:val="TableContents"/>
              <w:bidi w:val="0"/>
              <w:spacing w:before="0" w:after="283"/>
              <w:jc w:val="left"/>
              <w:rPr/>
            </w:pPr>
            <w:r>
              <w:rPr/>
              <w:t> </w:t>
            </w:r>
          </w:p>
        </w:tc>
        <w:tc>
          <w:tcPr>
            <w:tcW w:w="9341" w:type="dxa"/>
            <w:tcBorders/>
            <w:tcMar>
              <w:bottom w:w="0" w:type="dxa"/>
            </w:tcMar>
            <w:vAlign w:val="center"/>
          </w:tcPr>
          <w:p>
            <w:pPr>
              <w:pStyle w:val="TableContents"/>
              <w:bidi w:val="0"/>
              <w:spacing w:before="0" w:after="283"/>
              <w:jc w:val="both"/>
              <w:rPr/>
            </w:pPr>
            <w:hyperlink w:anchor="ex32-1.htm">
              <w:r>
                <w:rPr>
                  <w:rStyle w:val="InternetLink"/>
                  <w:rFonts w:ascii="Times New Roman;Times;Serif" w:hAnsi="Times New Roman;Times;Serif"/>
                  <w:b w:val="false"/>
                  <w:i w:val="false"/>
                  <w:caps w:val="false"/>
                  <w:smallCaps w:val="false"/>
                  <w:sz w:val="20"/>
                </w:rPr>
                <w:t>Certification of Principal Executive Officer and Principal Financial Officer pursuant to 18 U.S.C. Section 1350, as adopted pursuant to Section 906 of the Sarbanes-Oxley Act of 2002</w:t>
              </w:r>
            </w:hyperlink>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tcMar>
              <w:bottom w:w="0" w:type="dxa"/>
            </w:tcMar>
            <w:vAlign w:val="center"/>
          </w:tcPr>
          <w:p>
            <w:pPr>
              <w:pStyle w:val="TableContents"/>
              <w:bidi w:val="0"/>
              <w:spacing w:before="0" w:after="283"/>
              <w:jc w:val="left"/>
              <w:rPr/>
            </w:pPr>
            <w:r>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Instance Document - the instance document does not appear in the Interactive Data File because its XBRL tags are embedded within the Inline XBRL document</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101.SCH* </w:t>
            </w:r>
          </w:p>
        </w:tc>
        <w:tc>
          <w:tcPr>
            <w:tcW w:w="60" w:type="dxa"/>
            <w:tcBorders/>
            <w:tcMar>
              <w:bottom w:w="0" w:type="dxa"/>
            </w:tcMar>
            <w:vAlign w:val="center"/>
          </w:tcPr>
          <w:p>
            <w:pPr>
              <w:pStyle w:val="TableContents"/>
              <w:bidi w:val="0"/>
              <w:spacing w:before="0" w:after="283"/>
              <w:jc w:val="left"/>
              <w:rPr/>
            </w:pPr>
            <w:r>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Schema Document</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101.CAL* </w:t>
            </w:r>
          </w:p>
        </w:tc>
        <w:tc>
          <w:tcPr>
            <w:tcW w:w="60" w:type="dxa"/>
            <w:tcBorders/>
            <w:tcMar>
              <w:bottom w:w="0" w:type="dxa"/>
            </w:tcMar>
            <w:vAlign w:val="center"/>
          </w:tcPr>
          <w:p>
            <w:pPr>
              <w:pStyle w:val="TableContents"/>
              <w:bidi w:val="0"/>
              <w:spacing w:before="0" w:after="283"/>
              <w:jc w:val="left"/>
              <w:rPr/>
            </w:pPr>
            <w:r>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Calculation Linkbase Document</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tcMar>
              <w:bottom w:w="0" w:type="dxa"/>
            </w:tcMar>
            <w:vAlign w:val="center"/>
          </w:tcPr>
          <w:p>
            <w:pPr>
              <w:pStyle w:val="TableContents"/>
              <w:bidi w:val="0"/>
              <w:spacing w:before="0" w:after="283"/>
              <w:jc w:val="left"/>
              <w:rPr/>
            </w:pPr>
            <w:r>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Definition Linkbase Document</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tcMar>
              <w:bottom w:w="0" w:type="dxa"/>
            </w:tcMar>
            <w:vAlign w:val="center"/>
          </w:tcPr>
          <w:p>
            <w:pPr>
              <w:pStyle w:val="TableContents"/>
              <w:bidi w:val="0"/>
              <w:spacing w:before="0" w:after="283"/>
              <w:jc w:val="left"/>
              <w:rPr/>
            </w:pPr>
            <w:r>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Label Linkbase Document</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tcMar>
              <w:bottom w:w="0" w:type="dxa"/>
            </w:tcMar>
            <w:vAlign w:val="center"/>
          </w:tcPr>
          <w:p>
            <w:pPr>
              <w:pStyle w:val="TableContents"/>
              <w:bidi w:val="0"/>
              <w:spacing w:before="0" w:after="283"/>
              <w:jc w:val="left"/>
              <w:rPr/>
            </w:pPr>
            <w:r>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Presentation Linkbase Document</w:t>
            </w:r>
          </w:p>
        </w:tc>
      </w:tr>
      <w:tr>
        <w:trPr/>
        <w:tc>
          <w:tcPr>
            <w:tcW w:w="80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934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 The cover page interactive data file does not appear in the Interactive Data File because its XBRL tags are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1900" w:type="dxa"/>
        <w:jc w:val="left"/>
        <w:tblInd w:w="0" w:type="dxa"/>
        <w:tblLayout w:type="fixed"/>
        <w:tblCellMar>
          <w:top w:w="0" w:type="dxa"/>
          <w:left w:w="0" w:type="dxa"/>
          <w:bottom w:w="0" w:type="dxa"/>
          <w:right w:w="0" w:type="dxa"/>
        </w:tblCellMar>
      </w:tblPr>
      <w:tblGrid>
        <w:gridCol w:w="75"/>
        <w:gridCol w:w="230"/>
        <w:gridCol w:w="15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tbl>
      <w:tblPr>
        <w:tblW w:w="7050" w:type="dxa"/>
        <w:jc w:val="left"/>
        <w:tblInd w:w="0" w:type="dxa"/>
        <w:tblLayout w:type="fixed"/>
        <w:tblCellMar>
          <w:top w:w="0" w:type="dxa"/>
          <w:left w:w="0" w:type="dxa"/>
          <w:bottom w:w="0" w:type="dxa"/>
          <w:right w:w="0" w:type="dxa"/>
        </w:tblCellMar>
      </w:tblPr>
      <w:tblGrid>
        <w:gridCol w:w="1685"/>
        <w:gridCol w:w="545"/>
        <w:gridCol w:w="4820"/>
      </w:tblGrid>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82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 RIDE INC.</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8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6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 2025</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482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William Gallagher</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Gallagher</w:t>
            </w:r>
          </w:p>
        </w:tc>
      </w:tr>
      <w:tr>
        <w:trPr/>
        <w:tc>
          <w:tcPr>
            <w:tcW w:w="168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48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Secretary, and Treasurer</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caps w:val="false"/>
          <w:smallCaps w:val="false"/>
        </w:rPr>
      </w:pPr>
      <w:bookmarkStart w:id="393" w:name="ex31-1.htm"/>
      <w:bookmarkStart w:id="394" w:name="ksex311"/>
      <w:bookmarkEnd w:id="393"/>
      <w:bookmarkEnd w:id="394"/>
      <w:r>
        <w:rPr>
          <w:caps w:val="false"/>
          <w:smallCaps w:val="false"/>
        </w:rPr>
        <w:t> </w:t>
      </w:r>
      <w:r>
        <w:br w:type="page"/>
      </w:r>
    </w:p>
    <w:p>
      <w:pPr>
        <w:pStyle w:val="TextBody"/>
        <w:bidi w:val="0"/>
        <w:spacing w:before="0" w:after="0"/>
        <w:ind w:left="0" w:right="0" w:hanging="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720"/>
        <w:jc w:val="center"/>
        <w:rPr>
          <w:caps w:val="false"/>
          <w:smallCaps w:val="false"/>
        </w:rPr>
      </w:pPr>
      <w:r>
        <w:rPr>
          <w:caps w:val="false"/>
          <w:smallCaps w:val="false"/>
        </w:rPr>
        <w:t> </w:t>
      </w:r>
    </w:p>
    <w:p>
      <w:pPr>
        <w:pStyle w:val="TextBody"/>
        <w:bidi w:val="0"/>
        <w:spacing w:before="0" w:after="0"/>
        <w:ind w:left="0" w:right="0" w:hanging="72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 xml:space="preserve">CERTIFICATION PURSUANT TO SECTION 302 </w:t>
      </w:r>
    </w:p>
    <w:p>
      <w:pPr>
        <w:pStyle w:val="TextBody"/>
        <w:bidi w:val="0"/>
        <w:spacing w:before="0" w:after="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OF THE SARBANES-OXLEY ACT OF 2002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William Gallagher,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Nu Ride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I am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 have disclosed, based on my most recent evaluation of internal control over financial reporting, to the registrant’s auditors and the audit committee of the registrant’s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1775"/>
        <w:gridCol w:w="2840"/>
      </w:tblGrid>
      <w:tr>
        <w:trPr/>
        <w:tc>
          <w:tcPr>
            <w:tcW w:w="17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[__], 2025</w:t>
            </w:r>
          </w:p>
        </w:tc>
        <w:tc>
          <w:tcPr>
            <w:tcW w:w="28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75"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75"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William Gallagher</w:t>
            </w:r>
          </w:p>
        </w:tc>
      </w:tr>
      <w:tr>
        <w:trPr/>
        <w:tc>
          <w:tcPr>
            <w:tcW w:w="1775"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Gallagher</w:t>
            </w:r>
          </w:p>
        </w:tc>
      </w:tr>
      <w:tr>
        <w:trPr/>
        <w:tc>
          <w:tcPr>
            <w:tcW w:w="1775"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Secretary, and Treasurer</w:t>
            </w:r>
          </w:p>
        </w:tc>
      </w:tr>
      <w:tr>
        <w:trPr/>
        <w:tc>
          <w:tcPr>
            <w:tcW w:w="1775" w:type="dxa"/>
            <w:tcBorders/>
            <w:vAlign w:val="center"/>
          </w:tcPr>
          <w:p>
            <w:pPr>
              <w:pStyle w:val="TableContents"/>
              <w:bidi w:val="0"/>
              <w:spacing w:before="0" w:after="283"/>
              <w:jc w:val="left"/>
              <w:rPr>
                <w:caps w:val="false"/>
                <w:smallCaps w:val="false"/>
              </w:rPr>
            </w:pPr>
            <w:r>
              <w:rPr>
                <w:caps w:val="false"/>
                <w:smallCaps w:val="false"/>
              </w:rPr>
              <w:t> </w:t>
            </w:r>
          </w:p>
        </w:tc>
        <w:tc>
          <w:tcPr>
            <w:tcW w:w="284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95" w:name="ex32-1.htm"/>
      <w:bookmarkStart w:id="396" w:name="ksex321"/>
      <w:bookmarkEnd w:id="395"/>
      <w:bookmarkEnd w:id="39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 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on Form 10-Q of Nu Ride Inc. (the “Company”) for the period ended March 31, 2025, as filed with the Securities and Exchange Commission on the date hereof (the “Report”), I, William Gallagher, Chief Executive Officer, President, Secretary, and Treasurer of the Company, certify, pursuant to 18 U.S.C. Section 1350, as adopted pursuant to Section 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as amended;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6510" w:type="dxa"/>
        <w:jc w:val="left"/>
        <w:tblInd w:w="0" w:type="dxa"/>
        <w:tblLayout w:type="fixed"/>
        <w:tblCellMar>
          <w:top w:w="0" w:type="dxa"/>
          <w:left w:w="0" w:type="dxa"/>
          <w:bottom w:w="0" w:type="dxa"/>
          <w:right w:w="0" w:type="dxa"/>
        </w:tblCellMar>
      </w:tblPr>
      <w:tblGrid>
        <w:gridCol w:w="1295"/>
        <w:gridCol w:w="320"/>
        <w:gridCol w:w="4895"/>
      </w:tblGrid>
      <w:tr>
        <w:trPr/>
        <w:tc>
          <w:tcPr>
            <w:tcW w:w="1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[__], 2025</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9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4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William Gallagher</w:t>
            </w:r>
          </w:p>
        </w:tc>
      </w:tr>
      <w:tr>
        <w:trPr/>
        <w:tc>
          <w:tcPr>
            <w:tcW w:w="129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Gallagher</w:t>
            </w:r>
          </w:p>
        </w:tc>
      </w:tr>
      <w:tr>
        <w:trPr/>
        <w:tc>
          <w:tcPr>
            <w:tcW w:w="129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President, Secretary, and Treasurer</w:t>
            </w:r>
          </w:p>
        </w:tc>
      </w:tr>
      <w:tr>
        <w:trPr/>
        <w:tc>
          <w:tcPr>
            <w:tcW w:w="129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4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 and Principal Financial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9546/000110465924034627/tm248893d1_ex3-1.htm" TargetMode="External"/><Relationship Id="rId3" Type="http://schemas.openxmlformats.org/officeDocument/2006/relationships/hyperlink" Target="https://www.sec.gov/Archives/edgar/data/1759546/000110465924034627/tm248893d1_ex3-2.htm" TargetMode="External"/><Relationship Id="rId4" Type="http://schemas.openxmlformats.org/officeDocument/2006/relationships/hyperlink" Target="https://www.sec.gov/ix?doc=/Archives/edgar/data/1759546/000110465922121019/tm2231108d1_8k.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19045</Words>
  <Characters>103470</Characters>
  <CharactersWithSpaces>123137</CharactersWithSpaces>
  <Paragraphs>2921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